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CFC" w:rsidRPr="00FE29B1" w:rsidRDefault="00514CFC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:rsidR="00514CFC" w:rsidRDefault="00514CFC">
      <w:pPr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514CFC" w:rsidRPr="00514CFC" w:rsidRDefault="00514CFC" w:rsidP="00514CFC">
      <w:pPr>
        <w:rPr>
          <w:rFonts w:ascii="宋体" w:eastAsia="宋体" w:hAnsi="宋体"/>
          <w:b/>
          <w:bCs/>
          <w:sz w:val="18"/>
          <w:szCs w:val="18"/>
        </w:rPr>
      </w:pPr>
    </w:p>
    <w:p w:rsidR="00514CFC" w:rsidRDefault="00514CFC" w:rsidP="00115A46">
      <w:pPr>
        <w:rPr>
          <w:rFonts w:ascii="仿宋_GB2312" w:hAnsi="宋体"/>
          <w:kern w:val="0"/>
        </w:rPr>
      </w:pPr>
      <w:bookmarkStart w:id="0" w:name="letterNumber"/>
    </w:p>
    <w:p w:rsidR="00993B75" w:rsidRPr="00FE29B1" w:rsidRDefault="00993B75" w:rsidP="00FE29B1">
      <w:pPr>
        <w:rPr>
          <w:rFonts w:ascii="仿宋_GB2312" w:hAnsi="宋体"/>
          <w:kern w:val="0"/>
          <w:sz w:val="21"/>
          <w:szCs w:val="21"/>
        </w:rPr>
      </w:pPr>
    </w:p>
    <w:p w:rsidR="00993B75" w:rsidRDefault="00993B75" w:rsidP="00514CFC">
      <w:pPr>
        <w:jc w:val="center"/>
        <w:rPr>
          <w:rFonts w:ascii="仿宋_GB2312" w:hAnsi="宋体"/>
          <w:kern w:val="0"/>
          <w:sz w:val="21"/>
          <w:szCs w:val="21"/>
        </w:rPr>
      </w:pPr>
    </w:p>
    <w:p w:rsidR="000B6B9E" w:rsidRDefault="00514CFC" w:rsidP="00FE29B1">
      <w:pPr>
        <w:jc w:val="center"/>
        <w:rPr>
          <w:rFonts w:ascii="仿宋_GB2312" w:hAnsi="宋体"/>
          <w:kern w:val="0"/>
          <w:sz w:val="21"/>
          <w:szCs w:val="21"/>
        </w:rPr>
      </w:pPr>
      <w:r w:rsidRPr="00FC0353">
        <w:rPr>
          <w:rFonts w:ascii="仿宋_GB2312" w:hAnsi="宋体" w:hint="eastAsia"/>
          <w:w w:val="91"/>
          <w:kern w:val="0"/>
          <w:fitText w:val="3158" w:id="1979357184"/>
        </w:rPr>
        <w:t>洛涧市监〔</w:t>
      </w:r>
      <w:r w:rsidRPr="00FC0353">
        <w:rPr>
          <w:rFonts w:ascii="仿宋_GB2312" w:hAnsi="宋体"/>
          <w:w w:val="91"/>
          <w:kern w:val="0"/>
          <w:fitText w:val="3158" w:id="1979357184"/>
        </w:rPr>
        <w:t>201</w:t>
      </w:r>
      <w:r w:rsidRPr="00FC0353">
        <w:rPr>
          <w:rFonts w:ascii="仿宋_GB2312" w:hAnsi="宋体" w:hint="eastAsia"/>
          <w:w w:val="91"/>
          <w:kern w:val="0"/>
          <w:fitText w:val="3158" w:id="1979357184"/>
        </w:rPr>
        <w:t>9</w:t>
      </w:r>
      <w:r w:rsidRPr="00FC0353">
        <w:rPr>
          <w:rFonts w:ascii="仿宋_GB2312" w:hAnsi="宋体"/>
          <w:w w:val="91"/>
          <w:kern w:val="0"/>
          <w:fitText w:val="3158" w:id="1979357184"/>
        </w:rPr>
        <w:t>〕</w:t>
      </w:r>
      <w:r w:rsidR="00CE7F40" w:rsidRPr="00FC0353">
        <w:rPr>
          <w:rFonts w:ascii="仿宋_GB2312" w:hAnsi="宋体" w:hint="eastAsia"/>
          <w:w w:val="91"/>
          <w:kern w:val="0"/>
          <w:fitText w:val="3158" w:id="1979357184"/>
        </w:rPr>
        <w:t>2</w:t>
      </w:r>
      <w:r w:rsidR="000B6B9E" w:rsidRPr="00FC0353">
        <w:rPr>
          <w:rFonts w:ascii="仿宋_GB2312" w:hAnsi="宋体" w:hint="eastAsia"/>
          <w:w w:val="91"/>
          <w:kern w:val="0"/>
          <w:fitText w:val="3158" w:id="1979357184"/>
        </w:rPr>
        <w:t>8</w:t>
      </w:r>
      <w:r w:rsidRPr="00FC0353">
        <w:rPr>
          <w:rFonts w:ascii="仿宋_GB2312" w:hAnsi="宋体"/>
          <w:spacing w:val="11"/>
          <w:w w:val="91"/>
          <w:kern w:val="0"/>
          <w:fitText w:val="3158" w:id="1979357184"/>
        </w:rPr>
        <w:t>号</w:t>
      </w:r>
      <w:bookmarkEnd w:id="0"/>
    </w:p>
    <w:p w:rsidR="00FE29B1" w:rsidRPr="00FE29B1" w:rsidRDefault="00FE29B1" w:rsidP="00FE29B1">
      <w:pPr>
        <w:jc w:val="center"/>
        <w:rPr>
          <w:rFonts w:ascii="仿宋_GB2312" w:hAnsi="宋体"/>
          <w:kern w:val="0"/>
          <w:sz w:val="21"/>
          <w:szCs w:val="21"/>
        </w:rPr>
      </w:pPr>
    </w:p>
    <w:p w:rsidR="000B6B9E" w:rsidRPr="00D069B0" w:rsidRDefault="000B6B9E" w:rsidP="000B6B9E">
      <w:pPr>
        <w:widowControl/>
        <w:spacing w:line="600" w:lineRule="atLeast"/>
        <w:jc w:val="center"/>
        <w:rPr>
          <w:rFonts w:asciiTheme="minorEastAsia" w:eastAsiaTheme="minorEastAsia" w:hAnsiTheme="minorEastAsia" w:cs="宋体"/>
          <w:b/>
          <w:bCs/>
          <w:color w:val="333333"/>
          <w:kern w:val="0"/>
          <w:sz w:val="44"/>
          <w:szCs w:val="44"/>
        </w:rPr>
      </w:pPr>
      <w:r w:rsidRPr="00D069B0">
        <w:rPr>
          <w:rFonts w:asciiTheme="minorEastAsia" w:eastAsiaTheme="minorEastAsia" w:hAnsiTheme="minorEastAsia" w:cs="宋体" w:hint="eastAsia"/>
          <w:b/>
          <w:bCs/>
          <w:color w:val="333333"/>
          <w:kern w:val="0"/>
          <w:sz w:val="44"/>
          <w:szCs w:val="44"/>
        </w:rPr>
        <w:t>洛阳市涧西区市场监督管理局</w:t>
      </w:r>
    </w:p>
    <w:p w:rsidR="000B6B9E" w:rsidRPr="00D069B0" w:rsidRDefault="000B6B9E" w:rsidP="000B6B9E">
      <w:pPr>
        <w:widowControl/>
        <w:spacing w:line="600" w:lineRule="atLeast"/>
        <w:jc w:val="center"/>
        <w:rPr>
          <w:rFonts w:asciiTheme="minorEastAsia" w:eastAsiaTheme="minorEastAsia" w:hAnsiTheme="minorEastAsia" w:cs="宋体"/>
          <w:b/>
          <w:bCs/>
          <w:color w:val="333333"/>
          <w:kern w:val="0"/>
          <w:sz w:val="44"/>
          <w:szCs w:val="44"/>
        </w:rPr>
      </w:pPr>
      <w:r w:rsidRPr="00D069B0">
        <w:rPr>
          <w:rFonts w:asciiTheme="minorEastAsia" w:eastAsiaTheme="minorEastAsia" w:hAnsiTheme="minorEastAsia" w:cs="宋体"/>
          <w:b/>
          <w:bCs/>
          <w:color w:val="333333"/>
          <w:kern w:val="0"/>
          <w:sz w:val="44"/>
          <w:szCs w:val="44"/>
        </w:rPr>
        <w:t>关于开展2019</w:t>
      </w:r>
      <w:r w:rsidRPr="00D069B0">
        <w:rPr>
          <w:rFonts w:asciiTheme="minorEastAsia" w:eastAsiaTheme="minorEastAsia" w:hAnsiTheme="minorEastAsia" w:cs="宋体" w:hint="eastAsia"/>
          <w:b/>
          <w:bCs/>
          <w:color w:val="333333"/>
          <w:kern w:val="0"/>
          <w:sz w:val="44"/>
          <w:szCs w:val="44"/>
        </w:rPr>
        <w:t>-2020</w:t>
      </w:r>
      <w:r w:rsidRPr="00D069B0">
        <w:rPr>
          <w:rFonts w:asciiTheme="minorEastAsia" w:eastAsiaTheme="minorEastAsia" w:hAnsiTheme="minorEastAsia" w:cs="宋体"/>
          <w:b/>
          <w:bCs/>
          <w:color w:val="333333"/>
          <w:kern w:val="0"/>
          <w:sz w:val="44"/>
          <w:szCs w:val="44"/>
        </w:rPr>
        <w:t>年</w:t>
      </w:r>
      <w:r w:rsidRPr="00D069B0">
        <w:rPr>
          <w:rFonts w:asciiTheme="minorEastAsia" w:eastAsiaTheme="minorEastAsia" w:hAnsiTheme="minorEastAsia" w:cs="宋体" w:hint="eastAsia"/>
          <w:b/>
          <w:bCs/>
          <w:color w:val="333333"/>
          <w:kern w:val="0"/>
          <w:sz w:val="44"/>
          <w:szCs w:val="44"/>
        </w:rPr>
        <w:t>专利导航实验区</w:t>
      </w:r>
    </w:p>
    <w:p w:rsidR="000B6B9E" w:rsidRPr="00D069B0" w:rsidRDefault="000B6B9E" w:rsidP="000B6B9E">
      <w:pPr>
        <w:widowControl/>
        <w:spacing w:line="600" w:lineRule="atLeast"/>
        <w:jc w:val="center"/>
        <w:rPr>
          <w:rFonts w:asciiTheme="minorEastAsia" w:eastAsiaTheme="minorEastAsia" w:hAnsiTheme="minorEastAsia" w:cs="宋体"/>
          <w:b/>
          <w:bCs/>
          <w:color w:val="333333"/>
          <w:kern w:val="0"/>
          <w:sz w:val="44"/>
          <w:szCs w:val="44"/>
        </w:rPr>
      </w:pPr>
      <w:r w:rsidRPr="00D069B0">
        <w:rPr>
          <w:rFonts w:asciiTheme="minorEastAsia" w:eastAsiaTheme="minorEastAsia" w:hAnsiTheme="minorEastAsia" w:cs="宋体" w:hint="eastAsia"/>
          <w:b/>
          <w:bCs/>
          <w:color w:val="333333"/>
          <w:kern w:val="0"/>
          <w:sz w:val="44"/>
          <w:szCs w:val="44"/>
        </w:rPr>
        <w:t>建设项目的</w:t>
      </w:r>
      <w:r w:rsidRPr="00D069B0">
        <w:rPr>
          <w:rFonts w:asciiTheme="minorEastAsia" w:eastAsiaTheme="minorEastAsia" w:hAnsiTheme="minorEastAsia" w:cs="宋体"/>
          <w:b/>
          <w:bCs/>
          <w:color w:val="333333"/>
          <w:kern w:val="0"/>
          <w:sz w:val="44"/>
          <w:szCs w:val="44"/>
        </w:rPr>
        <w:t>通知</w:t>
      </w:r>
    </w:p>
    <w:p w:rsidR="00D069B0" w:rsidRDefault="00D069B0" w:rsidP="004D2FC1">
      <w:pPr>
        <w:widowControl/>
        <w:wordWrap w:val="0"/>
        <w:spacing w:line="560" w:lineRule="exact"/>
        <w:jc w:val="left"/>
        <w:rPr>
          <w:rFonts w:ascii="仿宋_GB2312" w:hAnsi="宋体" w:cs="宋体"/>
          <w:kern w:val="0"/>
        </w:rPr>
      </w:pPr>
    </w:p>
    <w:p w:rsidR="004D2FC1" w:rsidRDefault="000B6B9E" w:rsidP="004D2FC1">
      <w:pPr>
        <w:widowControl/>
        <w:wordWrap w:val="0"/>
        <w:spacing w:line="560" w:lineRule="exac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>各有关企事业单位，知识产权服务机构：</w:t>
      </w:r>
    </w:p>
    <w:p w:rsidR="000B6B9E" w:rsidRPr="000B6B9E" w:rsidRDefault="000B6B9E" w:rsidP="004D2FC1">
      <w:pPr>
        <w:widowControl/>
        <w:wordWrap w:val="0"/>
        <w:spacing w:line="560" w:lineRule="exact"/>
        <w:ind w:firstLineChars="200" w:firstLine="640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>为贯彻落实《国务院关于新形势下加快知识产权强国建设的若干意见》（国发〔2015〕71号）和《国务院关于印发“十三五”国家知识产权保护和运用规划的通知》（国发〔2016〕86号）有关部署，落实河南省知识产权局批准的专利导航实验区建设，加快推进国家知识产权示范区和知识产权运营服务体系建设，充分释放知识产权综合运用效应，促进经济创新力和竞争力不断提高，服务高质量发展，区财政、区市场监管局在河南省拨付专项资金的基础上，2019-2020年专利导航实验区转入第二阶段项目建设，现将企业与服务机构开展的项目及有关事项通知如下：</w:t>
      </w:r>
    </w:p>
    <w:p w:rsidR="000B6B9E" w:rsidRPr="00D069B0" w:rsidRDefault="000B6B9E" w:rsidP="004D2FC1">
      <w:pPr>
        <w:widowControl/>
        <w:wordWrap w:val="0"/>
        <w:spacing w:line="580" w:lineRule="atLeast"/>
        <w:jc w:val="left"/>
        <w:rPr>
          <w:rFonts w:ascii="黑体" w:eastAsia="黑体" w:hAnsi="黑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lastRenderedPageBreak/>
        <w:t xml:space="preserve">　　</w:t>
      </w:r>
      <w:r w:rsidRPr="00D069B0">
        <w:rPr>
          <w:rFonts w:ascii="黑体" w:eastAsia="黑体" w:hAnsi="黑体" w:cs="宋体" w:hint="eastAsia"/>
          <w:kern w:val="0"/>
        </w:rPr>
        <w:t>一、总体要求</w:t>
      </w:r>
    </w:p>
    <w:p w:rsidR="000B6B9E" w:rsidRPr="00D069B0" w:rsidRDefault="000B6B9E" w:rsidP="004D2FC1">
      <w:pPr>
        <w:widowControl/>
        <w:wordWrap w:val="0"/>
        <w:spacing w:line="580" w:lineRule="atLeast"/>
        <w:jc w:val="left"/>
        <w:rPr>
          <w:rFonts w:ascii="楷体" w:eastAsia="楷体" w:hAnsi="楷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</w:t>
      </w:r>
      <w:r w:rsidRPr="00D069B0">
        <w:rPr>
          <w:rFonts w:ascii="楷体" w:eastAsia="楷体" w:hAnsi="楷体" w:cs="宋体" w:hint="eastAsia"/>
          <w:kern w:val="0"/>
        </w:rPr>
        <w:t>（一）工作思路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以习近平新时代中国特色社会主义思想及党的十九大精神为指导，牢固树立和贯彻创新、协调、绿色、开放、共享的发展理念，更好发挥知识产权的市场激励机制和产权安排机制作用，强化创新驱动，助推产业高质量发展，不断增强我区经济创新力和竞争力。在导航实验区建设第一阶段工作基础上，以创新资源集聚度高、辐射带动作用强、知识产权支撑区域发展需求迫切的重点项目为载体，开展知识产权运营服务体系建设，加强改革创新，促进体系融合和要素互补，强化资源集聚和开放共享，发挥政府和企业两个积极性，用好政府和市场“两只手”，以知识产权各门类全链条运营为牵引，探索知识产权引领创新经济、品牌经济和特色产业高质量发展的全新路径。</w:t>
      </w:r>
    </w:p>
    <w:p w:rsidR="000B6B9E" w:rsidRPr="00D069B0" w:rsidRDefault="000B6B9E" w:rsidP="00D069B0">
      <w:pPr>
        <w:widowControl/>
        <w:wordWrap w:val="0"/>
        <w:spacing w:line="580" w:lineRule="atLeast"/>
        <w:jc w:val="left"/>
        <w:rPr>
          <w:rFonts w:ascii="楷体" w:eastAsia="楷体" w:hAnsi="楷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</w:t>
      </w:r>
      <w:r w:rsidRPr="00D069B0">
        <w:rPr>
          <w:rFonts w:ascii="楷体" w:eastAsia="楷体" w:hAnsi="楷体" w:cs="宋体" w:hint="eastAsia"/>
          <w:kern w:val="0"/>
        </w:rPr>
        <w:t>（二）基本原则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政府引导、企业为主。按照导航实验区明确的目标任务，对承担导航实验区建设项目的企业，采取项目购买服务的方式，尽量减轻企业经济负担。区政府（市场监管局）是知识产权运营服务体系建设的责任主体，负责制定工作方案，建立工作推进机制，抓好组织实施。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改革创新、市场导向。促进知识产权的制度运用和权利经营，坚持企业的市场主体地位和知识产权的市场价值取向，积极发挥</w:t>
      </w:r>
      <w:r w:rsidRPr="000B6B9E">
        <w:rPr>
          <w:rFonts w:ascii="仿宋_GB2312" w:hAnsi="宋体" w:cs="宋体" w:hint="eastAsia"/>
          <w:kern w:val="0"/>
        </w:rPr>
        <w:lastRenderedPageBreak/>
        <w:t>市场在的资源配置的主体作用和政府的引导作用，深化知识产权领域“放管服”改革，充分释放创新主体知识产权运营活力。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政策集成、融合发展。发挥财政资金引导作用，加强政策集成和资源集聚，着力打通知识产权运营链条，完善知识产权服务体系，促进平台、机构、资本、制造业和服务业等要素融合发展，推动知识产权运营与实体产业相互融合、相互支撑。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跟踪问效、奖补结合。业务主管部门建立专家指导机制，加强专业指导，全面实施绩效管理，在资金分配时充分考虑第一阶段项目完成的情况，对第一阶段项目已经完成，资金未到位的项目纳入支持重点，密切跟踪项目实施情况和工作成效，在剩余资金拨付时与绩效考核结果挂钩。</w:t>
      </w:r>
    </w:p>
    <w:p w:rsidR="000B6B9E" w:rsidRPr="00D069B0" w:rsidRDefault="000B6B9E" w:rsidP="00D069B0">
      <w:pPr>
        <w:widowControl/>
        <w:wordWrap w:val="0"/>
        <w:spacing w:line="580" w:lineRule="atLeast"/>
        <w:jc w:val="left"/>
        <w:rPr>
          <w:rFonts w:ascii="楷体" w:eastAsia="楷体" w:hAnsi="楷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</w:t>
      </w:r>
      <w:r w:rsidR="00125318">
        <w:rPr>
          <w:rFonts w:ascii="仿宋_GB2312" w:hAnsi="宋体" w:cs="宋体" w:hint="eastAsia"/>
          <w:kern w:val="0"/>
        </w:rPr>
        <w:t xml:space="preserve"> </w:t>
      </w:r>
      <w:r w:rsidRPr="00D069B0">
        <w:rPr>
          <w:rFonts w:ascii="楷体" w:eastAsia="楷体" w:hAnsi="楷体" w:cs="宋体" w:hint="eastAsia"/>
          <w:kern w:val="0"/>
        </w:rPr>
        <w:t>（三）绩效目标</w:t>
      </w:r>
    </w:p>
    <w:p w:rsidR="000B6B9E" w:rsidRDefault="000B6B9E" w:rsidP="00125318">
      <w:pPr>
        <w:widowControl/>
        <w:wordWrap w:val="0"/>
        <w:spacing w:line="580" w:lineRule="atLeast"/>
        <w:ind w:firstLine="645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>1.知识产权支撑区域发展。导航实验区知识产权创新、保护、运用、管理和服务水平显著提升，服务产业发展能力显著提升；建设知识产权运营服务集聚区，培育5家以上、年销售收入5000万元以上的高新技术企业；开展产业规划类专利导航项目1个；</w:t>
      </w:r>
      <w:r w:rsidR="00D069B0">
        <w:rPr>
          <w:rFonts w:hint="eastAsia"/>
        </w:rPr>
        <w:t>云峰国际</w:t>
      </w:r>
      <w:r w:rsidR="00D069B0">
        <w:t>B</w:t>
      </w:r>
      <w:r w:rsidR="00D069B0">
        <w:rPr>
          <w:rFonts w:hint="eastAsia"/>
        </w:rPr>
        <w:t>座六楼涉嫌传销诈骗。</w:t>
      </w:r>
      <w:r w:rsidRPr="000B6B9E">
        <w:rPr>
          <w:rFonts w:ascii="仿宋_GB2312" w:hAnsi="宋体" w:cs="宋体" w:hint="eastAsia"/>
          <w:kern w:val="0"/>
        </w:rPr>
        <w:t>强商标海外布局与实施。</w:t>
      </w:r>
    </w:p>
    <w:p w:rsidR="00125318" w:rsidRPr="00125318" w:rsidRDefault="00125318" w:rsidP="00125318">
      <w:pPr>
        <w:widowControl/>
        <w:wordWrap w:val="0"/>
        <w:spacing w:before="225" w:line="450" w:lineRule="atLeast"/>
        <w:jc w:val="left"/>
        <w:rPr>
          <w:rFonts w:ascii="仿宋_GB2312" w:hAnsi="仿宋" w:cs="宋体"/>
          <w:kern w:val="0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　  </w:t>
      </w:r>
      <w:r w:rsidRPr="00125318">
        <w:rPr>
          <w:rFonts w:ascii="仿宋_GB2312" w:hAnsi="宋体" w:cs="宋体" w:hint="eastAsia"/>
          <w:kern w:val="0"/>
          <w:sz w:val="24"/>
          <w:szCs w:val="24"/>
        </w:rPr>
        <w:t xml:space="preserve"> </w:t>
      </w:r>
      <w:r w:rsidRPr="00125318">
        <w:rPr>
          <w:rFonts w:ascii="仿宋_GB2312" w:hAnsi="仿宋" w:cs="宋体" w:hint="eastAsia"/>
          <w:kern w:val="0"/>
        </w:rPr>
        <w:t>2.提升知识产权产出质量。形成5个以上规模较大、布局合理、对产业发展和国际竞争力具有支撑保障作用的高价值专利组合，其中发明专利数量不低于50件，PCT申请不低于10件；加强商标海外布局与实施。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lastRenderedPageBreak/>
        <w:t xml:space="preserve">　　3.提高知识产权运用能力。创新能力强、知识产权工作基础扎实的企业、高等学校、科研院所知识产权管理规范贯标数量达到10家以上；专业知识产权托管服务累计覆盖中小微企业100家以上；知识产权交易、许可额年均增幅20%以上。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4.拓展知识产权金融服务。专利、商标品牌质押融资金额，知识产权保险金额年均增幅30%以上，质押次数年均增幅30%以上；积极推进专利商标混合质押。</w:t>
      </w:r>
    </w:p>
    <w:p w:rsidR="000B6B9E" w:rsidRPr="00D069B0" w:rsidRDefault="000B6B9E" w:rsidP="00D069B0">
      <w:pPr>
        <w:widowControl/>
        <w:wordWrap w:val="0"/>
        <w:spacing w:line="580" w:lineRule="atLeast"/>
        <w:jc w:val="left"/>
        <w:rPr>
          <w:rFonts w:ascii="黑体" w:eastAsia="黑体" w:hAnsi="黑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</w:t>
      </w:r>
      <w:r w:rsidRPr="00D069B0">
        <w:rPr>
          <w:rFonts w:ascii="黑体" w:eastAsia="黑体" w:hAnsi="黑体" w:cs="宋体" w:hint="eastAsia"/>
          <w:kern w:val="0"/>
        </w:rPr>
        <w:t xml:space="preserve">　二、主要任务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聚焦知识产权创造运用重点领域和薄弱环节，重点开展以下工作：</w:t>
      </w:r>
    </w:p>
    <w:p w:rsidR="000B6B9E" w:rsidRPr="000B6B9E" w:rsidRDefault="000B6B9E" w:rsidP="00D069B0">
      <w:pPr>
        <w:widowControl/>
        <w:wordWrap w:val="0"/>
        <w:spacing w:line="580" w:lineRule="atLeast"/>
        <w:ind w:firstLine="482"/>
        <w:jc w:val="left"/>
        <w:rPr>
          <w:rFonts w:ascii="仿宋_GB2312" w:hAnsi="宋体" w:cs="宋体"/>
          <w:kern w:val="0"/>
        </w:rPr>
      </w:pPr>
      <w:r w:rsidRPr="00D069B0">
        <w:rPr>
          <w:rFonts w:ascii="仿宋_GB2312" w:hAnsi="宋体" w:cs="宋体" w:hint="eastAsia"/>
          <w:b/>
          <w:kern w:val="0"/>
        </w:rPr>
        <w:t>一是</w:t>
      </w:r>
      <w:r w:rsidRPr="000B6B9E">
        <w:rPr>
          <w:rFonts w:ascii="仿宋_GB2312" w:hAnsi="宋体" w:cs="宋体" w:hint="eastAsia"/>
          <w:kern w:val="0"/>
        </w:rPr>
        <w:t>强化知识产权对产业发展的支撑作用。推动构建以知识产权为纽带的协同创新机制，发挥专利信息对产业规划和企业经营的指导作用，探索知识产权支撑产业高质量发展的有效路径。</w:t>
      </w:r>
    </w:p>
    <w:p w:rsidR="000B6B9E" w:rsidRPr="000B6B9E" w:rsidRDefault="000B6B9E" w:rsidP="00D069B0">
      <w:pPr>
        <w:widowControl/>
        <w:wordWrap w:val="0"/>
        <w:spacing w:line="580" w:lineRule="atLeast"/>
        <w:ind w:firstLine="482"/>
        <w:jc w:val="left"/>
        <w:rPr>
          <w:rFonts w:ascii="仿宋_GB2312" w:hAnsi="宋体" w:cs="宋体"/>
          <w:kern w:val="0"/>
        </w:rPr>
      </w:pPr>
      <w:r w:rsidRPr="00D069B0">
        <w:rPr>
          <w:rFonts w:ascii="仿宋_GB2312" w:hAnsi="宋体" w:cs="宋体" w:hint="eastAsia"/>
          <w:b/>
          <w:kern w:val="0"/>
        </w:rPr>
        <w:t>二是</w:t>
      </w:r>
      <w:r w:rsidRPr="000B6B9E">
        <w:rPr>
          <w:rFonts w:ascii="仿宋_GB2312" w:hAnsi="宋体" w:cs="宋体" w:hint="eastAsia"/>
          <w:kern w:val="0"/>
        </w:rPr>
        <w:t>优化知识产权创造的产出质量。坚持质量第一、效益优先，建立以运用为导向的知识产权创造机制，以高价值知识产权助推产业高质量发展。</w:t>
      </w:r>
    </w:p>
    <w:p w:rsidR="000B6B9E" w:rsidRPr="000B6B9E" w:rsidRDefault="000B6B9E" w:rsidP="00D069B0">
      <w:pPr>
        <w:widowControl/>
        <w:wordWrap w:val="0"/>
        <w:spacing w:line="580" w:lineRule="atLeast"/>
        <w:ind w:firstLine="482"/>
        <w:jc w:val="left"/>
        <w:rPr>
          <w:rFonts w:ascii="仿宋_GB2312" w:hAnsi="宋体" w:cs="宋体"/>
          <w:kern w:val="0"/>
        </w:rPr>
      </w:pPr>
      <w:r w:rsidRPr="00D069B0">
        <w:rPr>
          <w:rFonts w:ascii="仿宋_GB2312" w:hAnsi="宋体" w:cs="宋体" w:hint="eastAsia"/>
          <w:b/>
          <w:kern w:val="0"/>
        </w:rPr>
        <w:t>三是</w:t>
      </w:r>
      <w:r w:rsidRPr="000B6B9E">
        <w:rPr>
          <w:rFonts w:ascii="仿宋_GB2312" w:hAnsi="宋体" w:cs="宋体" w:hint="eastAsia"/>
          <w:kern w:val="0"/>
        </w:rPr>
        <w:t>提高创新主体对知识产权的运用能力。分类施策提高创新主体知识产权管理运营能力，强化知识产权公共服务供给，打通创新主体知识产权运营全链条。</w:t>
      </w:r>
    </w:p>
    <w:p w:rsidR="000B6B9E" w:rsidRPr="000B6B9E" w:rsidRDefault="000B6B9E" w:rsidP="00D069B0">
      <w:pPr>
        <w:widowControl/>
        <w:wordWrap w:val="0"/>
        <w:spacing w:line="580" w:lineRule="atLeast"/>
        <w:ind w:firstLine="482"/>
        <w:jc w:val="left"/>
        <w:rPr>
          <w:rFonts w:ascii="仿宋_GB2312" w:hAnsi="宋体" w:cs="宋体"/>
          <w:kern w:val="0"/>
        </w:rPr>
      </w:pPr>
      <w:r w:rsidRPr="00D069B0">
        <w:rPr>
          <w:rFonts w:ascii="仿宋_GB2312" w:hAnsi="宋体" w:cs="宋体" w:hint="eastAsia"/>
          <w:b/>
          <w:kern w:val="0"/>
        </w:rPr>
        <w:t>四是</w:t>
      </w:r>
      <w:r w:rsidRPr="000B6B9E">
        <w:rPr>
          <w:rFonts w:ascii="仿宋_GB2312" w:hAnsi="宋体" w:cs="宋体" w:hint="eastAsia"/>
          <w:kern w:val="0"/>
        </w:rPr>
        <w:t>拓展知识产权金融服务范畴。着力推广知识产权质押融资等知识产权金融服务的实施成果，深入推进知识产权金融服务创新，加快促进知识产权与金融资源融合。</w:t>
      </w:r>
    </w:p>
    <w:p w:rsidR="000B6B9E" w:rsidRPr="000B6B9E" w:rsidRDefault="000B6B9E" w:rsidP="00D069B0">
      <w:pPr>
        <w:widowControl/>
        <w:wordWrap w:val="0"/>
        <w:spacing w:line="580" w:lineRule="atLeast"/>
        <w:ind w:firstLine="480"/>
        <w:jc w:val="left"/>
        <w:rPr>
          <w:rFonts w:ascii="仿宋_GB2312" w:hAnsi="宋体" w:cs="宋体"/>
          <w:kern w:val="0"/>
        </w:rPr>
      </w:pPr>
      <w:r w:rsidRPr="00D069B0">
        <w:rPr>
          <w:rFonts w:ascii="仿宋_GB2312" w:hAnsi="宋体" w:cs="宋体" w:hint="eastAsia"/>
          <w:b/>
          <w:kern w:val="0"/>
        </w:rPr>
        <w:lastRenderedPageBreak/>
        <w:t>五是</w:t>
      </w:r>
      <w:r w:rsidRPr="000B6B9E">
        <w:rPr>
          <w:rFonts w:ascii="仿宋_GB2312" w:hAnsi="宋体" w:cs="宋体" w:hint="eastAsia"/>
          <w:kern w:val="0"/>
        </w:rPr>
        <w:t>建设区域性知识产权运营服务集聚区，打造区域知识产权重点机构，服务产业创新驱动发展。</w:t>
      </w:r>
    </w:p>
    <w:p w:rsidR="000B6B9E" w:rsidRPr="000B6B9E" w:rsidRDefault="000B6B9E" w:rsidP="00D069B0">
      <w:pPr>
        <w:widowControl/>
        <w:wordWrap w:val="0"/>
        <w:spacing w:line="580" w:lineRule="atLeast"/>
        <w:ind w:firstLine="480"/>
        <w:jc w:val="left"/>
        <w:rPr>
          <w:rFonts w:ascii="仿宋_GB2312" w:hAnsi="宋体" w:cs="宋体"/>
          <w:kern w:val="0"/>
        </w:rPr>
      </w:pPr>
      <w:r w:rsidRPr="00D069B0">
        <w:rPr>
          <w:rFonts w:ascii="仿宋_GB2312" w:hAnsi="宋体" w:cs="宋体" w:hint="eastAsia"/>
          <w:b/>
          <w:kern w:val="0"/>
        </w:rPr>
        <w:t>六是</w:t>
      </w:r>
      <w:r w:rsidRPr="000B6B9E">
        <w:rPr>
          <w:rFonts w:ascii="仿宋_GB2312" w:hAnsi="宋体" w:cs="宋体" w:hint="eastAsia"/>
          <w:kern w:val="0"/>
        </w:rPr>
        <w:t>探索支持高校、科研院所建立知识产权运营中心，积极试点知识产权混合所有制改革。</w:t>
      </w:r>
    </w:p>
    <w:p w:rsidR="000B6B9E" w:rsidRPr="00D069B0" w:rsidRDefault="000B6B9E" w:rsidP="00D069B0">
      <w:pPr>
        <w:widowControl/>
        <w:wordWrap w:val="0"/>
        <w:spacing w:line="580" w:lineRule="atLeast"/>
        <w:jc w:val="left"/>
        <w:rPr>
          <w:rFonts w:ascii="黑体" w:eastAsia="黑体" w:hAnsi="黑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</w:t>
      </w:r>
      <w:r w:rsidRPr="00D069B0">
        <w:rPr>
          <w:rFonts w:ascii="黑体" w:eastAsia="黑体" w:hAnsi="黑体" w:cs="宋体" w:hint="eastAsia"/>
          <w:kern w:val="0"/>
        </w:rPr>
        <w:t xml:space="preserve">　三、建设内容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省财政支持100万元，优选用于2018年立项并完成的项目，其余资金用于2019年设立的项目，2020年主要完成上年度设立的项目。项目资金采取以奖代补、政府购买服务等方式，统筹用于支持专利导航和知识产权运营服务体系建设工作。</w:t>
      </w:r>
    </w:p>
    <w:p w:rsidR="000B6B9E" w:rsidRPr="00D069B0" w:rsidRDefault="000B6B9E" w:rsidP="00D069B0">
      <w:pPr>
        <w:widowControl/>
        <w:wordWrap w:val="0"/>
        <w:spacing w:line="580" w:lineRule="atLeast"/>
        <w:jc w:val="left"/>
        <w:rPr>
          <w:rFonts w:ascii="楷体" w:eastAsia="楷体" w:hAnsi="楷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</w:t>
      </w:r>
      <w:r w:rsidRPr="00D069B0">
        <w:rPr>
          <w:rFonts w:ascii="楷体" w:eastAsia="楷体" w:hAnsi="楷体" w:cs="宋体" w:hint="eastAsia"/>
          <w:kern w:val="0"/>
        </w:rPr>
        <w:t>（一）必做内容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1.提升支撑产业发展能力。引导建立产业知识产权联盟，建立产业重大知识产权风险预警和联合应对机制，深化产业知识产权协同运用；实施产业规划类和企业运营类专利导航项目，指导产业规划决策和企业运营活动。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2.提升知识产权产出质量。优化专利资助奖励政策，大力实施专利质量提升工程；实施高价值专利培育计划，构建一批对产业发展和国际竞争力具有支撑保障作用的重点专利池；开展企业商标品牌培育提升行动，引导优势企业打造全球知名商标品牌。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3.提高知识产权运用能力。支持企事业单位贯彻知识产权管理国家标准，健全商标品牌管理体系，加快推进知识产权强企建设；深入实施中小企业知识产权战略推进工程，支持专业机构为中小微企业开展知识产权集中托管，加强知识产权公共服务供给；</w:t>
      </w:r>
      <w:r w:rsidRPr="000B6B9E">
        <w:rPr>
          <w:rFonts w:ascii="仿宋_GB2312" w:hAnsi="宋体" w:cs="宋体" w:hint="eastAsia"/>
          <w:kern w:val="0"/>
        </w:rPr>
        <w:lastRenderedPageBreak/>
        <w:t>支持拥有技术、法律、商业、知识产权等多方面综合能力，复合型、实战型，专业化、国际化的知识产权运营领军人才队伍建设。</w:t>
      </w:r>
    </w:p>
    <w:p w:rsidR="000B6B9E" w:rsidRPr="000B6B9E" w:rsidRDefault="000B6B9E" w:rsidP="00D069B0">
      <w:pPr>
        <w:widowControl/>
        <w:wordWrap w:val="0"/>
        <w:spacing w:line="580" w:lineRule="atLeast"/>
        <w:ind w:firstLineChars="200" w:firstLine="640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>4.拓展知识产权金融服务。提高知识产权质押融资额度，拓宽知识产权质押贷款质押物范围，探索专利商标混合质押新模式；完善知识产权质押融资风险分担及补偿机制，发挥知识产权保险作用，推广知识产权质押融资保证保险；完善投融资活动中的知识产权尽职调查服务，支持以收购知识产权为重要动因的企业并购活动；探索设立知识产权交易平台。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5.建设区域知识产权运营服务聚集区。立足产业园区，以大学、科技园区、知识产权代理服务机构为依托，建设辐射一定区域的实体化知识产权运营公共服务平台；灵活采用购买服务、绩效奖励、股权投资＋项目支持等方式，培育一批不同类型的知识产权品牌服务机构。</w:t>
      </w:r>
    </w:p>
    <w:p w:rsidR="000B6B9E" w:rsidRPr="00D069B0" w:rsidRDefault="000B6B9E" w:rsidP="00D069B0">
      <w:pPr>
        <w:widowControl/>
        <w:wordWrap w:val="0"/>
        <w:spacing w:line="580" w:lineRule="atLeast"/>
        <w:jc w:val="left"/>
        <w:rPr>
          <w:rFonts w:ascii="楷体" w:eastAsia="楷体" w:hAnsi="楷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</w:t>
      </w:r>
      <w:r w:rsidRPr="00D069B0">
        <w:rPr>
          <w:rFonts w:ascii="楷体" w:eastAsia="楷体" w:hAnsi="楷体" w:cs="宋体" w:hint="eastAsia"/>
          <w:kern w:val="0"/>
        </w:rPr>
        <w:t>（二）选做内容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1.探索知识产权服务产业发展新路径。推动实施地理标志运用促进工程，重点打造一批优质地理标志产品，培育一批知名的地理标志产品；鼓励商标品牌服务机构提升服务水平，提高企业商标品牌资产运用能力，建立科学的商标品牌价值评价体系和标准；支持区域性、产业性、功能性知识权运营中心建设，打造综合性、集团型、专业化知识产权运营机构，提供全链条知识产权运营服务，提升城市知识产权运营能力。</w:t>
      </w:r>
    </w:p>
    <w:p w:rsidR="000B6B9E" w:rsidRPr="000B6B9E" w:rsidRDefault="000B6B9E" w:rsidP="00D069B0">
      <w:pPr>
        <w:widowControl/>
        <w:wordWrap w:val="0"/>
        <w:spacing w:line="56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lastRenderedPageBreak/>
        <w:t xml:space="preserve">　　2.丰富知识产权金融服务供给内容。拓宽现有产投、创投基金投资方向，将知识产权服务机构、高价值专利培育项目纳入投资对象；鼓励知识产权运营基金差异化发展，探索形成基于企业知识产权价值发现的投贷联动模式；引导建立知识产权运营基金，围绕战略性产业投资运营专利、商标，构建高价值知识产权资产组合；积极推进知识产权证券化工作。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3.创新知识产权运营服务体系建设举措。根据地区发展水平和产业发展需求，积极探索其它知识产权运营服务体系建设有关创新性、改革性举措，推动城市产业高质量发展。</w:t>
      </w:r>
    </w:p>
    <w:p w:rsidR="000B6B9E" w:rsidRPr="00D069B0" w:rsidRDefault="000B6B9E" w:rsidP="00D069B0">
      <w:pPr>
        <w:widowControl/>
        <w:wordWrap w:val="0"/>
        <w:spacing w:line="580" w:lineRule="atLeast"/>
        <w:jc w:val="left"/>
        <w:rPr>
          <w:rFonts w:ascii="黑体" w:eastAsia="黑体" w:hAnsi="黑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</w:t>
      </w:r>
      <w:r w:rsidRPr="00D069B0">
        <w:rPr>
          <w:rFonts w:ascii="黑体" w:eastAsia="黑体" w:hAnsi="黑体" w:cs="宋体" w:hint="eastAsia"/>
          <w:kern w:val="0"/>
        </w:rPr>
        <w:t xml:space="preserve">　四、工作程序</w:t>
      </w:r>
    </w:p>
    <w:p w:rsidR="000B6B9E" w:rsidRPr="00D069B0" w:rsidRDefault="000B6B9E" w:rsidP="00D069B0">
      <w:pPr>
        <w:widowControl/>
        <w:wordWrap w:val="0"/>
        <w:spacing w:line="580" w:lineRule="atLeast"/>
        <w:jc w:val="left"/>
        <w:rPr>
          <w:rFonts w:ascii="楷体" w:eastAsia="楷体" w:hAnsi="楷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</w:t>
      </w:r>
      <w:r w:rsidRPr="00D069B0">
        <w:rPr>
          <w:rFonts w:ascii="楷体" w:eastAsia="楷体" w:hAnsi="楷体" w:cs="宋体" w:hint="eastAsia"/>
          <w:kern w:val="0"/>
        </w:rPr>
        <w:t>（一）组织申报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区财政局会同区市场监管局（知识产权局），组织专家对提出申报的服务机构开展竞争性评审，确定服务机构。2017年以来，已参与本区导航实验区建设工作的服务机构，应重新提交申报材料，统一进行专家评审。</w:t>
      </w:r>
    </w:p>
    <w:p w:rsidR="000B6B9E" w:rsidRPr="000B6B9E" w:rsidRDefault="000B6B9E" w:rsidP="00D069B0">
      <w:pPr>
        <w:widowControl/>
        <w:wordWrap w:val="0"/>
        <w:spacing w:line="580" w:lineRule="atLeast"/>
        <w:ind w:firstLineChars="200" w:firstLine="640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>1.申报条件。</w:t>
      </w:r>
    </w:p>
    <w:p w:rsidR="000B6B9E" w:rsidRPr="000B6B9E" w:rsidRDefault="000B6B9E" w:rsidP="00D069B0">
      <w:pPr>
        <w:widowControl/>
        <w:wordWrap w:val="0"/>
        <w:spacing w:line="580" w:lineRule="atLeast"/>
        <w:ind w:firstLineChars="200" w:firstLine="640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>涧西区所属企业按要求申报，需填报2019-2020项目申报书，并详细说明所完成的项目内容，经批准后，企业与专利导航实验区选定的服务机构签订项目服务合同，并报区市场监管局（知识产权局）备案。</w:t>
      </w:r>
    </w:p>
    <w:p w:rsidR="000B6B9E" w:rsidRPr="000B6B9E" w:rsidRDefault="000B6B9E" w:rsidP="00D069B0">
      <w:pPr>
        <w:widowControl/>
        <w:wordWrap w:val="0"/>
        <w:spacing w:line="580" w:lineRule="atLeast"/>
        <w:ind w:firstLineChars="200" w:firstLine="640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lastRenderedPageBreak/>
        <w:t>国家知识产权局批准的专利代理资质的专利代理机构、国家知识产权服务品牌机构、国家知识产权分析评议示范机构或示范创建机构、或具备条件的知识产权服务机构，均可申报。</w:t>
      </w:r>
    </w:p>
    <w:p w:rsidR="000B6B9E" w:rsidRPr="000B6B9E" w:rsidRDefault="000B6B9E" w:rsidP="00D069B0">
      <w:pPr>
        <w:widowControl/>
        <w:wordWrap w:val="0"/>
        <w:spacing w:line="580" w:lineRule="atLeast"/>
        <w:ind w:firstLine="480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>2.申报程序。网上下载申报书，申报文件报区市场监管局知识产权办公室，并报送申报材料。申报材料由市知识产权局和区市场监管局审查把关。</w:t>
      </w:r>
    </w:p>
    <w:p w:rsidR="000B6B9E" w:rsidRPr="000B6B9E" w:rsidRDefault="000B6B9E" w:rsidP="00D069B0">
      <w:pPr>
        <w:widowControl/>
        <w:wordWrap w:val="0"/>
        <w:spacing w:line="580" w:lineRule="atLeast"/>
        <w:ind w:firstLine="480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>3.申报材料。申报材料根据相关文件精神和本通知要求，结合区导航实验区工作和产业特色，编制为期两年的专利导航实验区建设工作方案（含绩效目标），并提交本机构三年与专利导航相关的工作业绩（2016—2018年专利申请、交易许可、质押登记、企业贯标、服务机构等相关情况）。各申报机构务必于2019年7月25日前上报工作方案和有关材料（电子版附光盘），逾期不予受理。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</w:t>
      </w:r>
      <w:r w:rsidRPr="00D069B0">
        <w:rPr>
          <w:rFonts w:ascii="楷体" w:eastAsia="楷体" w:hAnsi="楷体" w:cs="宋体" w:hint="eastAsia"/>
          <w:kern w:val="0"/>
        </w:rPr>
        <w:t>（二）方案备案</w:t>
      </w:r>
      <w:r w:rsidRPr="004D2FC1">
        <w:rPr>
          <w:rFonts w:ascii="仿宋_GB2312" w:hAnsi="宋体" w:cs="宋体" w:hint="eastAsia"/>
          <w:kern w:val="0"/>
        </w:rPr>
        <w:t>。</w:t>
      </w:r>
      <w:r w:rsidRPr="000B6B9E">
        <w:rPr>
          <w:rFonts w:ascii="仿宋_GB2312" w:hAnsi="宋体" w:cs="宋体" w:hint="eastAsia"/>
          <w:kern w:val="0"/>
        </w:rPr>
        <w:t>2019年7月30日，服务机构进入，进一步明确工作机制、绩效目标、项目和资金安排等，并报市市场监管局（知识产权局）备案。</w:t>
      </w:r>
    </w:p>
    <w:p w:rsidR="000B6B9E" w:rsidRPr="000B6B9E" w:rsidRDefault="000B6B9E" w:rsidP="00D069B0">
      <w:pPr>
        <w:widowControl/>
        <w:wordWrap w:val="0"/>
        <w:spacing w:line="580" w:lineRule="atLeast"/>
        <w:ind w:firstLine="480"/>
        <w:jc w:val="left"/>
        <w:rPr>
          <w:rFonts w:ascii="仿宋_GB2312" w:hAnsi="宋体" w:cs="宋体"/>
          <w:kern w:val="0"/>
        </w:rPr>
      </w:pPr>
      <w:r w:rsidRPr="00D069B0">
        <w:rPr>
          <w:rFonts w:ascii="楷体" w:eastAsia="楷体" w:hAnsi="楷体" w:cs="宋体" w:hint="eastAsia"/>
          <w:kern w:val="0"/>
        </w:rPr>
        <w:t>（三）组织实施</w:t>
      </w:r>
      <w:r w:rsidRPr="000B6B9E">
        <w:rPr>
          <w:rFonts w:ascii="仿宋_GB2312" w:hAnsi="宋体" w:cs="宋体" w:hint="eastAsia"/>
          <w:kern w:val="0"/>
        </w:rPr>
        <w:t>。按照方案组织实施，区知识产权、财政部门进行跟踪指导和监督检查，并及时报送工作进展情况和年度工作总结。</w:t>
      </w:r>
    </w:p>
    <w:p w:rsidR="000B6B9E" w:rsidRPr="00D069B0" w:rsidRDefault="000B6B9E" w:rsidP="00D069B0">
      <w:pPr>
        <w:widowControl/>
        <w:wordWrap w:val="0"/>
        <w:spacing w:line="580" w:lineRule="atLeast"/>
        <w:ind w:firstLineChars="200" w:firstLine="640"/>
        <w:jc w:val="left"/>
        <w:rPr>
          <w:rFonts w:ascii="黑体" w:eastAsia="黑体" w:hAnsi="黑体" w:cs="宋体"/>
          <w:kern w:val="0"/>
        </w:rPr>
      </w:pPr>
      <w:r w:rsidRPr="00D069B0">
        <w:rPr>
          <w:rFonts w:ascii="黑体" w:eastAsia="黑体" w:hAnsi="黑体" w:cs="宋体" w:hint="eastAsia"/>
          <w:kern w:val="0"/>
        </w:rPr>
        <w:t>五、工作要求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lastRenderedPageBreak/>
        <w:t xml:space="preserve">　　</w:t>
      </w:r>
      <w:r w:rsidRPr="00D069B0">
        <w:rPr>
          <w:rFonts w:ascii="楷体" w:eastAsia="楷体" w:hAnsi="楷体" w:cs="宋体" w:hint="eastAsia"/>
          <w:kern w:val="0"/>
        </w:rPr>
        <w:t>（一）建立协调机制</w:t>
      </w:r>
      <w:r w:rsidRPr="000B6B9E">
        <w:rPr>
          <w:rFonts w:ascii="仿宋_GB2312" w:hAnsi="宋体" w:cs="宋体" w:hint="eastAsia"/>
          <w:kern w:val="0"/>
        </w:rPr>
        <w:t>。区主管部门和服务机构，细化任务分工，建立督查机制，压实建设责任，及时督促检查任务落实进展和绩效目标完成情况。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</w:t>
      </w:r>
      <w:r w:rsidRPr="00D069B0">
        <w:rPr>
          <w:rFonts w:ascii="楷体" w:eastAsia="楷体" w:hAnsi="楷体" w:cs="宋体" w:hint="eastAsia"/>
          <w:kern w:val="0"/>
        </w:rPr>
        <w:t>（二）加强条件保障</w:t>
      </w:r>
      <w:r w:rsidRPr="004D2FC1">
        <w:rPr>
          <w:rFonts w:ascii="仿宋_GB2312" w:hAnsi="宋体" w:cs="宋体" w:hint="eastAsia"/>
          <w:kern w:val="0"/>
        </w:rPr>
        <w:t>。</w:t>
      </w:r>
      <w:r w:rsidRPr="000B6B9E">
        <w:rPr>
          <w:rFonts w:ascii="仿宋_GB2312" w:hAnsi="宋体" w:cs="宋体" w:hint="eastAsia"/>
          <w:kern w:val="0"/>
        </w:rPr>
        <w:t>区政府加强专利导航实验区服务体系建设的资源投入和政策配套，制定和完善促进体系建设的产业、科技、金融、人才等相关配套政策，加强政策的宣传和集成，形成有利于体系建设的投入水平和政策环境。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</w:t>
      </w:r>
      <w:r w:rsidRPr="00D069B0">
        <w:rPr>
          <w:rFonts w:ascii="楷体" w:eastAsia="楷体" w:hAnsi="楷体" w:cs="宋体" w:hint="eastAsia"/>
          <w:kern w:val="0"/>
        </w:rPr>
        <w:t>（三）做好总结推广。</w:t>
      </w:r>
      <w:r w:rsidRPr="000B6B9E">
        <w:rPr>
          <w:rFonts w:ascii="仿宋_GB2312" w:hAnsi="宋体" w:cs="宋体" w:hint="eastAsia"/>
          <w:kern w:val="0"/>
        </w:rPr>
        <w:t>区市场监管局（知识产权科）要做好项目推进情况、统计调查工作，定期上报动态信息，及时总结推广经验，加大对典型企业、典型模式的宣传力度，推动专利导航实验区建设健康蓬勃发展。</w:t>
      </w:r>
    </w:p>
    <w:p w:rsidR="000B6B9E" w:rsidRPr="000B6B9E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 xml:space="preserve">　　联系人及电话：知识产权科马锦娣  13603792210</w:t>
      </w:r>
    </w:p>
    <w:p w:rsidR="000B6B9E" w:rsidRPr="000B6B9E" w:rsidRDefault="000B6B9E" w:rsidP="00D069B0">
      <w:pPr>
        <w:widowControl/>
        <w:wordWrap w:val="0"/>
        <w:spacing w:line="580" w:lineRule="atLeast"/>
        <w:ind w:firstLineChars="200" w:firstLine="640"/>
        <w:jc w:val="left"/>
        <w:rPr>
          <w:rFonts w:ascii="仿宋_GB2312" w:hAnsi="宋体" w:cs="宋体"/>
          <w:kern w:val="0"/>
        </w:rPr>
      </w:pPr>
      <w:r w:rsidRPr="000B6B9E">
        <w:rPr>
          <w:rFonts w:ascii="仿宋_GB2312" w:hAnsi="宋体" w:cs="宋体" w:hint="eastAsia"/>
          <w:kern w:val="0"/>
        </w:rPr>
        <w:t>邮箱：　mjd13603792210@126.com</w:t>
      </w:r>
    </w:p>
    <w:p w:rsidR="000B6B9E" w:rsidRPr="0047199F" w:rsidRDefault="000B6B9E" w:rsidP="00D069B0">
      <w:pPr>
        <w:widowControl/>
        <w:wordWrap w:val="0"/>
        <w:spacing w:line="580" w:lineRule="atLeast"/>
        <w:jc w:val="left"/>
        <w:rPr>
          <w:rFonts w:ascii="仿宋_GB2312" w:hAnsi="宋体" w:cs="宋体"/>
          <w:kern w:val="0"/>
        </w:rPr>
      </w:pPr>
      <w:r w:rsidRPr="0047199F">
        <w:rPr>
          <w:rFonts w:ascii="仿宋_GB2312" w:hAnsi="宋体" w:cs="宋体" w:hint="eastAsia"/>
          <w:kern w:val="0"/>
        </w:rPr>
        <w:t xml:space="preserve">　</w:t>
      </w:r>
      <w:bookmarkStart w:id="1" w:name="_GoBack"/>
      <w:bookmarkEnd w:id="1"/>
    </w:p>
    <w:p w:rsidR="000B6B9E" w:rsidRPr="004D2FC1" w:rsidRDefault="000B6B9E" w:rsidP="000B6B9E">
      <w:pPr>
        <w:ind w:right="640"/>
        <w:rPr>
          <w:rFonts w:ascii="仿宋_GB2312" w:hAnsi="宋体" w:cs="宋体"/>
          <w:kern w:val="0"/>
        </w:rPr>
      </w:pPr>
    </w:p>
    <w:p w:rsidR="000B6B9E" w:rsidRPr="004D2FC1" w:rsidRDefault="000B6B9E" w:rsidP="000B6B9E">
      <w:pPr>
        <w:ind w:right="640"/>
        <w:rPr>
          <w:rFonts w:ascii="仿宋_GB2312" w:hAnsi="宋体" w:cs="宋体"/>
          <w:kern w:val="0"/>
        </w:rPr>
      </w:pPr>
    </w:p>
    <w:p w:rsidR="000B6B9E" w:rsidRPr="004D2FC1" w:rsidRDefault="000B6B9E" w:rsidP="000B6B9E">
      <w:pPr>
        <w:ind w:right="640"/>
        <w:rPr>
          <w:rFonts w:ascii="仿宋_GB2312" w:hAnsi="宋体" w:cs="宋体"/>
          <w:kern w:val="0"/>
        </w:rPr>
      </w:pPr>
    </w:p>
    <w:p w:rsidR="000B6B9E" w:rsidRPr="004D2FC1" w:rsidRDefault="000B6B9E" w:rsidP="000B6B9E">
      <w:pPr>
        <w:ind w:right="640"/>
        <w:jc w:val="right"/>
        <w:rPr>
          <w:rFonts w:ascii="仿宋_GB2312" w:hAnsi="宋体" w:cs="宋体"/>
          <w:kern w:val="0"/>
        </w:rPr>
      </w:pPr>
      <w:r w:rsidRPr="004D2FC1">
        <w:rPr>
          <w:rFonts w:ascii="仿宋_GB2312" w:hAnsi="宋体" w:cs="宋体" w:hint="eastAsia"/>
          <w:kern w:val="0"/>
        </w:rPr>
        <w:t>洛阳市涧西区市场监督管理局</w:t>
      </w:r>
    </w:p>
    <w:p w:rsidR="004F3ED9" w:rsidRPr="004D2FC1" w:rsidRDefault="000B6B9E" w:rsidP="00D069B0">
      <w:pPr>
        <w:ind w:right="800"/>
        <w:jc w:val="right"/>
        <w:rPr>
          <w:rFonts w:ascii="仿宋_GB2312" w:hAnsi="宋体" w:cs="宋体"/>
          <w:kern w:val="0"/>
        </w:rPr>
      </w:pPr>
      <w:r w:rsidRPr="004D2FC1">
        <w:rPr>
          <w:rFonts w:ascii="仿宋_GB2312" w:hAnsi="宋体" w:cs="宋体" w:hint="eastAsia"/>
          <w:kern w:val="0"/>
        </w:rPr>
        <w:t>洛阳市涧西区知识产权</w:t>
      </w:r>
      <w:r w:rsidR="002F4BA4" w:rsidRPr="004D2FC1">
        <w:rPr>
          <w:rFonts w:ascii="仿宋_GB2312" w:hAnsi="宋体" w:cs="宋体" w:hint="eastAsia"/>
          <w:kern w:val="0"/>
        </w:rPr>
        <w:t>局</w:t>
      </w:r>
    </w:p>
    <w:p w:rsidR="004F3ED9" w:rsidRPr="004D2FC1" w:rsidRDefault="004F3ED9" w:rsidP="000B6B9E">
      <w:pPr>
        <w:wordWrap w:val="0"/>
        <w:spacing w:line="620" w:lineRule="exact"/>
        <w:ind w:right="640" w:firstLineChars="1600" w:firstLine="5120"/>
        <w:rPr>
          <w:rFonts w:ascii="仿宋_GB2312" w:hAnsi="宋体" w:cs="宋体"/>
          <w:kern w:val="0"/>
        </w:rPr>
      </w:pPr>
      <w:r w:rsidRPr="004D2FC1">
        <w:rPr>
          <w:rFonts w:ascii="仿宋_GB2312" w:hAnsi="宋体" w:cs="宋体"/>
          <w:kern w:val="0"/>
        </w:rPr>
        <w:t>20</w:t>
      </w:r>
      <w:r w:rsidRPr="004D2FC1">
        <w:rPr>
          <w:rFonts w:ascii="仿宋_GB2312" w:hAnsi="宋体" w:cs="宋体" w:hint="eastAsia"/>
          <w:kern w:val="0"/>
        </w:rPr>
        <w:t>19</w:t>
      </w:r>
      <w:r w:rsidRPr="004D2FC1">
        <w:rPr>
          <w:rFonts w:ascii="仿宋_GB2312" w:hAnsi="宋体" w:cs="宋体"/>
          <w:kern w:val="0"/>
        </w:rPr>
        <w:t>年</w:t>
      </w:r>
      <w:r w:rsidRPr="004D2FC1">
        <w:rPr>
          <w:rFonts w:ascii="仿宋_GB2312" w:hAnsi="宋体" w:cs="宋体" w:hint="eastAsia"/>
          <w:kern w:val="0"/>
        </w:rPr>
        <w:t>7</w:t>
      </w:r>
      <w:r w:rsidRPr="004D2FC1">
        <w:rPr>
          <w:rFonts w:ascii="仿宋_GB2312" w:hAnsi="宋体" w:cs="宋体"/>
          <w:kern w:val="0"/>
        </w:rPr>
        <w:t>月</w:t>
      </w:r>
      <w:r w:rsidRPr="004D2FC1">
        <w:rPr>
          <w:rFonts w:ascii="仿宋_GB2312" w:hAnsi="宋体" w:cs="宋体" w:hint="eastAsia"/>
          <w:kern w:val="0"/>
        </w:rPr>
        <w:t>8</w:t>
      </w:r>
      <w:r w:rsidRPr="004D2FC1">
        <w:rPr>
          <w:rFonts w:ascii="仿宋_GB2312" w:hAnsi="宋体" w:cs="宋体"/>
          <w:kern w:val="0"/>
        </w:rPr>
        <w:t>日</w:t>
      </w:r>
    </w:p>
    <w:p w:rsidR="004F3ED9" w:rsidRPr="004D2FC1" w:rsidRDefault="004F3ED9" w:rsidP="000B6B9E">
      <w:pPr>
        <w:jc w:val="right"/>
        <w:rPr>
          <w:rFonts w:ascii="仿宋_GB2312" w:hAnsi="宋体" w:cs="宋体"/>
          <w:kern w:val="0"/>
        </w:rPr>
      </w:pPr>
    </w:p>
    <w:p w:rsidR="00B87F10" w:rsidRPr="004D2FC1" w:rsidRDefault="00B87F10" w:rsidP="00B87F10">
      <w:pPr>
        <w:rPr>
          <w:rFonts w:ascii="仿宋_GB2312" w:hAnsi="宋体" w:cs="宋体"/>
          <w:kern w:val="0"/>
        </w:rPr>
      </w:pPr>
    </w:p>
    <w:p w:rsidR="0051576D" w:rsidRPr="004D2FC1" w:rsidRDefault="0051576D" w:rsidP="00005FD7">
      <w:pPr>
        <w:rPr>
          <w:rFonts w:ascii="仿宋_GB2312" w:hAnsi="宋体" w:cs="宋体"/>
          <w:kern w:val="0"/>
        </w:rPr>
      </w:pPr>
    </w:p>
    <w:p w:rsidR="00B87F10" w:rsidRDefault="00B87F10" w:rsidP="00005FD7"/>
    <w:p w:rsidR="00B87F10" w:rsidRDefault="00B87F10" w:rsidP="00005FD7"/>
    <w:p w:rsidR="00B87F10" w:rsidRDefault="00B87F10" w:rsidP="00005FD7"/>
    <w:p w:rsidR="00B87F10" w:rsidRDefault="00B87F10" w:rsidP="00005FD7"/>
    <w:p w:rsidR="00B87F10" w:rsidRDefault="00B87F10" w:rsidP="00005FD7"/>
    <w:p w:rsidR="00B87F10" w:rsidRDefault="00B87F10" w:rsidP="00005FD7"/>
    <w:p w:rsidR="00B87F10" w:rsidRDefault="00B87F10" w:rsidP="00005FD7"/>
    <w:p w:rsidR="00B87F10" w:rsidRDefault="00B87F10" w:rsidP="00005FD7"/>
    <w:p w:rsidR="00B87F10" w:rsidRDefault="00B87F10" w:rsidP="00005FD7"/>
    <w:p w:rsidR="00B87F10" w:rsidRDefault="00B87F10" w:rsidP="00005FD7"/>
    <w:p w:rsidR="000B6B9E" w:rsidRDefault="000B6B9E" w:rsidP="00005FD7"/>
    <w:p w:rsidR="00D069B0" w:rsidRDefault="00D069B0" w:rsidP="00005FD7"/>
    <w:p w:rsidR="00D069B0" w:rsidRDefault="00D069B0" w:rsidP="00005FD7"/>
    <w:p w:rsidR="00D069B0" w:rsidRDefault="00D069B0" w:rsidP="00005FD7"/>
    <w:p w:rsidR="00FE29B1" w:rsidRDefault="00FE29B1" w:rsidP="00005FD7"/>
    <w:p w:rsidR="00FE29B1" w:rsidRDefault="00FE29B1" w:rsidP="00005FD7"/>
    <w:tbl>
      <w:tblPr>
        <w:tblpPr w:leftFromText="180" w:rightFromText="180" w:vertAnchor="text" w:horzAnchor="margin" w:tblpY="538"/>
        <w:tblW w:w="8919" w:type="dxa"/>
        <w:tblBorders>
          <w:bottom w:val="single" w:sz="8" w:space="0" w:color="auto"/>
        </w:tblBorders>
        <w:tblLayout w:type="fixed"/>
        <w:tblLook w:val="04A0"/>
      </w:tblPr>
      <w:tblGrid>
        <w:gridCol w:w="8919"/>
      </w:tblGrid>
      <w:tr w:rsidR="00005FD7" w:rsidTr="00C61634">
        <w:trPr>
          <w:cantSplit/>
          <w:trHeight w:val="462"/>
        </w:trPr>
        <w:tc>
          <w:tcPr>
            <w:tcW w:w="89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05FD7" w:rsidRDefault="00EB5D8D" w:rsidP="000B6B9E">
            <w:pPr>
              <w:rPr>
                <w:kern w:val="0"/>
              </w:rPr>
            </w:pPr>
            <w:r w:rsidRPr="00EB5D8D">
              <w:rPr>
                <w:rFonts w:ascii="仿宋_GB2312" w:hAnsi="仿宋_GB2312" w:cs="仿宋_GB2312"/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0;text-align:left;margin-left:-2.45pt;margin-top:-.95pt;width:442.2pt;height:.05pt;flip:x;z-index:251660288" o:connectortype="straight"/>
              </w:pict>
            </w:r>
            <w:r w:rsidR="00005FD7">
              <w:rPr>
                <w:rFonts w:ascii="仿宋_GB2312" w:hint="eastAsia"/>
                <w:kern w:val="0"/>
              </w:rPr>
              <w:t>涧西区市场监督管理局</w:t>
            </w:r>
            <w:r w:rsidR="00005FD7">
              <w:rPr>
                <w:kern w:val="0"/>
              </w:rPr>
              <w:t xml:space="preserve">      </w:t>
            </w:r>
            <w:r w:rsidR="00005FD7">
              <w:rPr>
                <w:rFonts w:hint="eastAsia"/>
                <w:kern w:val="0"/>
              </w:rPr>
              <w:t xml:space="preserve">    </w:t>
            </w:r>
            <w:r w:rsidR="00005FD7">
              <w:rPr>
                <w:kern w:val="0"/>
              </w:rPr>
              <w:t xml:space="preserve"> </w:t>
            </w:r>
            <w:r w:rsidR="00005FD7">
              <w:rPr>
                <w:rFonts w:ascii="仿宋_GB2312" w:hint="eastAsia"/>
                <w:kern w:val="0"/>
              </w:rPr>
              <w:t>2019年</w:t>
            </w:r>
            <w:r w:rsidR="00B87F10">
              <w:rPr>
                <w:rFonts w:ascii="仿宋_GB2312" w:hint="eastAsia"/>
                <w:kern w:val="0"/>
              </w:rPr>
              <w:t>7</w:t>
            </w:r>
            <w:r w:rsidR="00005FD7">
              <w:rPr>
                <w:rFonts w:ascii="仿宋_GB2312" w:hint="eastAsia"/>
                <w:kern w:val="0"/>
              </w:rPr>
              <w:t>月</w:t>
            </w:r>
            <w:r w:rsidR="000B6B9E">
              <w:rPr>
                <w:rFonts w:ascii="仿宋_GB2312" w:hint="eastAsia"/>
                <w:kern w:val="0"/>
              </w:rPr>
              <w:t>19</w:t>
            </w:r>
            <w:r w:rsidR="00005FD7">
              <w:rPr>
                <w:rFonts w:ascii="仿宋_GB2312" w:hint="eastAsia"/>
                <w:kern w:val="0"/>
              </w:rPr>
              <w:t>日</w:t>
            </w:r>
            <w:r w:rsidR="00B87F10">
              <w:rPr>
                <w:rFonts w:ascii="仿宋_GB2312" w:hint="eastAsia"/>
                <w:kern w:val="0"/>
              </w:rPr>
              <w:t xml:space="preserve">　</w:t>
            </w:r>
            <w:r w:rsidR="00005FD7">
              <w:rPr>
                <w:rFonts w:ascii="仿宋_GB2312" w:hint="eastAsia"/>
                <w:kern w:val="0"/>
              </w:rPr>
              <w:t xml:space="preserve">印发   </w:t>
            </w:r>
          </w:p>
        </w:tc>
      </w:tr>
    </w:tbl>
    <w:p w:rsidR="00005FD7" w:rsidRPr="0051576D" w:rsidRDefault="00005FD7" w:rsidP="00F07B81">
      <w:pPr>
        <w:ind w:right="55" w:firstLineChars="2100" w:firstLine="6720"/>
        <w:rPr>
          <w:rFonts w:ascii="仿宋_GB2312" w:hAnsi="仿宋_GB2312" w:cs="仿宋_GB2312"/>
          <w:color w:val="000000"/>
        </w:rPr>
        <w:sectPr w:rsidR="00005FD7" w:rsidRPr="0051576D" w:rsidSect="00005FD7">
          <w:footerReference w:type="default" r:id="rId8"/>
          <w:pgSz w:w="11906" w:h="16838"/>
          <w:pgMar w:top="2098" w:right="1474" w:bottom="993" w:left="1588" w:header="851" w:footer="1740" w:gutter="0"/>
          <w:paperSrc w:first="7" w:other="7"/>
          <w:pgBorders>
            <w:top w:val="none" w:sz="0" w:space="1" w:color="auto"/>
            <w:left w:val="none" w:sz="0" w:space="4" w:color="auto"/>
            <w:bottom w:val="none" w:sz="0" w:space="1" w:color="auto"/>
            <w:right w:val="none" w:sz="0" w:space="4" w:color="auto"/>
          </w:pgBorders>
          <w:cols w:space="720"/>
          <w:docGrid w:type="lines" w:linePitch="579"/>
        </w:sectPr>
      </w:pPr>
      <w:r>
        <w:rPr>
          <w:rFonts w:ascii="仿宋_GB2312" w:hAnsi="仿宋_GB2312" w:cs="仿宋_GB2312" w:hint="eastAsia"/>
          <w:color w:val="000000"/>
        </w:rPr>
        <w:t>(共印5份</w:t>
      </w:r>
      <w:r w:rsidR="00D61423">
        <w:rPr>
          <w:rFonts w:ascii="仿宋_GB2312" w:hAnsi="仿宋_GB2312" w:cs="仿宋_GB2312" w:hint="eastAsia"/>
          <w:color w:val="000000"/>
        </w:rPr>
        <w:t>)</w:t>
      </w:r>
    </w:p>
    <w:p w:rsidR="00C0351D" w:rsidRDefault="00C0351D" w:rsidP="00005FD7">
      <w:pPr>
        <w:ind w:right="640"/>
        <w:rPr>
          <w:rFonts w:ascii="仿宋_GB2312" w:hAnsi="仿宋_GB2312" w:cs="仿宋_GB2312"/>
          <w:color w:val="000000"/>
        </w:rPr>
      </w:pPr>
    </w:p>
    <w:sectPr w:rsidR="00C0351D" w:rsidSect="005E2B2E">
      <w:footerReference w:type="default" r:id="rId9"/>
      <w:pgSz w:w="11906" w:h="16838"/>
      <w:pgMar w:top="1440" w:right="1800" w:bottom="2268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0931" w:rsidRDefault="00A10931" w:rsidP="005E2B2E">
      <w:r>
        <w:separator/>
      </w:r>
    </w:p>
  </w:endnote>
  <w:endnote w:type="continuationSeparator" w:id="0">
    <w:p w:rsidR="00A10931" w:rsidRDefault="00A10931" w:rsidP="005E2B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FD7" w:rsidRDefault="00EB5D8D">
    <w:pPr>
      <w:pStyle w:val="a4"/>
    </w:pPr>
    <w:r>
      <w:pict>
        <v:rect id="文本框 1" o:spid="_x0000_s4097" style="position:absolute;margin-left:198.9pt;margin-top:-2.25pt;width:62.1pt;height:18.45pt;z-index:251660288;mso-position-horizontal:outside;mso-position-horizontal-relative:margin" filled="f" stroked="f">
          <v:textbox style="mso-next-textbox:#文本框 1" inset="0,0,0,0">
            <w:txbxContent>
              <w:p w:rsidR="00005FD7" w:rsidRDefault="00005FD7">
                <w:pPr>
                  <w:snapToGrid w:val="0"/>
                  <w:jc w:val="center"/>
                  <w:rPr>
                    <w:sz w:val="1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rFonts w:hint="eastAsia"/>
                    <w:sz w:val="28"/>
                    <w:szCs w:val="28"/>
                  </w:rPr>
                  <w:t xml:space="preserve"> </w:t>
                </w:r>
                <w:r w:rsidR="00EB5D8D"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 w:rsidR="00EB5D8D"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D61423" w:rsidRPr="00D61423">
                  <w:rPr>
                    <w:noProof/>
                    <w:szCs w:val="20"/>
                  </w:rPr>
                  <w:t>10</w:t>
                </w:r>
                <w:r w:rsidR="00EB5D8D">
                  <w:rPr>
                    <w:rFonts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rFonts w:hint="eastAsia"/>
                    <w:sz w:val="28"/>
                    <w:szCs w:val="28"/>
                  </w:rPr>
                  <w:t xml:space="preserve">  </w:t>
                </w:r>
              </w:p>
            </w:txbxContent>
          </v:textbox>
          <w10:wrap anchorx="margin"/>
        </v:rect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B2E" w:rsidRDefault="00EB5D8D">
    <w:pPr>
      <w:pStyle w:val="a4"/>
      <w:jc w:val="center"/>
    </w:pPr>
    <w:fldSimple w:instr=" PAGE   \* MERGEFORMAT ">
      <w:r w:rsidR="00D61423" w:rsidRPr="00D61423">
        <w:rPr>
          <w:noProof/>
          <w:lang w:val="zh-CN"/>
        </w:rPr>
        <w:t>-</w:t>
      </w:r>
      <w:r w:rsidR="00D61423">
        <w:rPr>
          <w:noProof/>
        </w:rPr>
        <w:t xml:space="preserve"> 11 -</w:t>
      </w:r>
    </w:fldSimple>
  </w:p>
  <w:p w:rsidR="005E2B2E" w:rsidRDefault="005E2B2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0931" w:rsidRDefault="00A10931" w:rsidP="005E2B2E">
      <w:r>
        <w:separator/>
      </w:r>
    </w:p>
  </w:footnote>
  <w:footnote w:type="continuationSeparator" w:id="0">
    <w:p w:rsidR="00A10931" w:rsidRDefault="00A10931" w:rsidP="005E2B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DD0A81"/>
    <w:multiLevelType w:val="singleLevel"/>
    <w:tmpl w:val="5CDD0A81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02CB"/>
    <w:rsid w:val="00005FD7"/>
    <w:rsid w:val="00060B1A"/>
    <w:rsid w:val="00095F10"/>
    <w:rsid w:val="00097946"/>
    <w:rsid w:val="000B6B9E"/>
    <w:rsid w:val="00115A46"/>
    <w:rsid w:val="00125318"/>
    <w:rsid w:val="002F4BA4"/>
    <w:rsid w:val="00324327"/>
    <w:rsid w:val="0034536B"/>
    <w:rsid w:val="004664DB"/>
    <w:rsid w:val="0047199F"/>
    <w:rsid w:val="00486CC0"/>
    <w:rsid w:val="004D2FC1"/>
    <w:rsid w:val="004F3ED9"/>
    <w:rsid w:val="00514CFC"/>
    <w:rsid w:val="0051576D"/>
    <w:rsid w:val="005E2B2E"/>
    <w:rsid w:val="00624D65"/>
    <w:rsid w:val="00635558"/>
    <w:rsid w:val="00694DC8"/>
    <w:rsid w:val="006C3F28"/>
    <w:rsid w:val="00831FCB"/>
    <w:rsid w:val="008E448C"/>
    <w:rsid w:val="00993B75"/>
    <w:rsid w:val="009A2F9F"/>
    <w:rsid w:val="009B02CB"/>
    <w:rsid w:val="00A10931"/>
    <w:rsid w:val="00A5304B"/>
    <w:rsid w:val="00A60833"/>
    <w:rsid w:val="00A950D5"/>
    <w:rsid w:val="00AE1ED4"/>
    <w:rsid w:val="00B00187"/>
    <w:rsid w:val="00B127C6"/>
    <w:rsid w:val="00B87F10"/>
    <w:rsid w:val="00C0351D"/>
    <w:rsid w:val="00C873C0"/>
    <w:rsid w:val="00CE581D"/>
    <w:rsid w:val="00CE7F40"/>
    <w:rsid w:val="00D069B0"/>
    <w:rsid w:val="00D4561C"/>
    <w:rsid w:val="00D5157C"/>
    <w:rsid w:val="00D61423"/>
    <w:rsid w:val="00D87146"/>
    <w:rsid w:val="00E52E0D"/>
    <w:rsid w:val="00EB5D8D"/>
    <w:rsid w:val="00F07B81"/>
    <w:rsid w:val="00F26C86"/>
    <w:rsid w:val="00F43048"/>
    <w:rsid w:val="00F4469A"/>
    <w:rsid w:val="00F46DAE"/>
    <w:rsid w:val="00F81430"/>
    <w:rsid w:val="00FC0353"/>
    <w:rsid w:val="00FE29B1"/>
    <w:rsid w:val="09CF45CE"/>
    <w:rsid w:val="21710A8D"/>
    <w:rsid w:val="5B3118FE"/>
    <w:rsid w:val="72C62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  <o:rules v:ext="edit">
        <o:r id="V:Rule2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5558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Char Char Char Char"/>
    <w:basedOn w:val="a"/>
    <w:rsid w:val="00635558"/>
    <w:rPr>
      <w:rFonts w:ascii="宋体" w:hAnsi="宋体" w:cs="Courier New"/>
    </w:rPr>
  </w:style>
  <w:style w:type="paragraph" w:customStyle="1" w:styleId="Char">
    <w:name w:val="Char"/>
    <w:basedOn w:val="a"/>
    <w:rsid w:val="00635558"/>
    <w:rPr>
      <w:rFonts w:eastAsia="宋体"/>
      <w:sz w:val="21"/>
      <w:szCs w:val="21"/>
    </w:rPr>
  </w:style>
  <w:style w:type="paragraph" w:styleId="a3">
    <w:name w:val="header"/>
    <w:basedOn w:val="a"/>
    <w:link w:val="Char0"/>
    <w:rsid w:val="005E2B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rsid w:val="005E2B2E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1"/>
    <w:uiPriority w:val="99"/>
    <w:rsid w:val="005E2B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5E2B2E"/>
    <w:rPr>
      <w:rFonts w:eastAsia="仿宋_GB2312"/>
      <w:kern w:val="2"/>
      <w:sz w:val="18"/>
      <w:szCs w:val="18"/>
    </w:rPr>
  </w:style>
  <w:style w:type="paragraph" w:styleId="a5">
    <w:name w:val="Normal (Web)"/>
    <w:basedOn w:val="a"/>
    <w:rsid w:val="00005F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4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641C753-0B22-4B23-BEF8-05679352A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11</Pages>
  <Words>649</Words>
  <Characters>3704</Characters>
  <Application>Microsoft Office Word</Application>
  <DocSecurity>0</DocSecurity>
  <Lines>30</Lines>
  <Paragraphs>8</Paragraphs>
  <ScaleCrop>false</ScaleCrop>
  <Company>Microsoft</Company>
  <LinksUpToDate>false</LinksUpToDate>
  <CharactersWithSpaces>4345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参考格式</dc:title>
  <dc:creator>User</dc:creator>
  <cp:lastModifiedBy>xbany</cp:lastModifiedBy>
  <cp:revision>11</cp:revision>
  <cp:lastPrinted>2019-07-19T01:28:00Z</cp:lastPrinted>
  <dcterms:created xsi:type="dcterms:W3CDTF">2019-07-19T01:19:00Z</dcterms:created>
  <dcterms:modified xsi:type="dcterms:W3CDTF">2019-07-19T08:28:00Z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