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numPr>
          <w:ilvl w:val="0"/>
          <w:numId w:val="0"/>
        </w:numPr>
        <w:wordWrap/>
        <w:adjustRightInd/>
        <w:snapToGrid/>
        <w:spacing w:before="0" w:beforeLines="0" w:after="0" w:afterLines="0" w:line="560" w:lineRule="exact"/>
        <w:ind w:right="0"/>
        <w:jc w:val="left"/>
        <w:textAlignment w:val="auto"/>
        <w:outlineLvl w:val="9"/>
        <w:rPr>
          <w:rFonts w:hint="eastAsia" w:ascii="黑体" w:hAnsi="黑体" w:eastAsia="黑体" w:cs="黑体"/>
          <w:spacing w:val="16"/>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0" w:beforeLines="0" w:after="156" w:afterLines="50" w:line="540" w:lineRule="exact"/>
        <w:ind w:left="0" w:leftChars="0" w:right="0" w:rightChars="0" w:firstLine="0" w:firstLineChars="0"/>
        <w:jc w:val="center"/>
        <w:textAlignment w:val="auto"/>
        <w:outlineLvl w:val="9"/>
        <w:rPr>
          <w:rFonts w:hint="eastAsia" w:eastAsia="楷体_GB2312"/>
        </w:rPr>
      </w:pPr>
      <w:r>
        <w:rPr>
          <w:rFonts w:hint="eastAsia" w:ascii="方正小标宋简体" w:hAnsi="方正小标宋简体" w:eastAsia="方正小标宋简体" w:cs="方正小标宋简体"/>
          <w:sz w:val="44"/>
          <w:szCs w:val="44"/>
          <w:lang w:val="en-US" w:eastAsia="zh-CN"/>
        </w:rPr>
        <w:t>涧西区区级证明事项告知承诺清单</w:t>
      </w:r>
    </w:p>
    <w:tbl>
      <w:tblPr>
        <w:tblStyle w:val="3"/>
        <w:tblW w:w="0" w:type="auto"/>
        <w:tblInd w:w="-7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2"/>
        <w:gridCol w:w="1454"/>
        <w:gridCol w:w="2999"/>
        <w:gridCol w:w="3362"/>
        <w:gridCol w:w="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blHeader/>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黑体" w:hAnsi="黑体" w:eastAsia="黑体" w:cs="黑体"/>
                <w:color w:val="000000"/>
                <w:kern w:val="0"/>
                <w:sz w:val="24"/>
                <w:szCs w:val="24"/>
                <w:highlight w:val="none"/>
              </w:rPr>
            </w:pPr>
            <w:r>
              <w:rPr>
                <w:rFonts w:hint="eastAsia" w:ascii="黑体" w:hAnsi="黑体" w:eastAsia="黑体" w:cs="黑体"/>
                <w:color w:val="000000"/>
                <w:kern w:val="0"/>
                <w:sz w:val="24"/>
                <w:szCs w:val="24"/>
                <w:highlight w:val="none"/>
              </w:rPr>
              <w:t>序号</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黑体" w:hAnsi="黑体" w:eastAsia="黑体" w:cs="黑体"/>
                <w:color w:val="000000"/>
                <w:kern w:val="0"/>
                <w:sz w:val="24"/>
                <w:szCs w:val="24"/>
                <w:highlight w:val="none"/>
              </w:rPr>
            </w:pPr>
            <w:r>
              <w:rPr>
                <w:rFonts w:hint="eastAsia" w:ascii="黑体" w:hAnsi="黑体" w:eastAsia="黑体" w:cs="黑体"/>
                <w:color w:val="000000"/>
                <w:kern w:val="0"/>
                <w:sz w:val="24"/>
                <w:szCs w:val="24"/>
                <w:highlight w:val="none"/>
              </w:rPr>
              <w:t>承办单位</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黑体" w:hAnsi="黑体" w:eastAsia="黑体" w:cs="黑体"/>
                <w:color w:val="000000"/>
                <w:kern w:val="0"/>
                <w:sz w:val="24"/>
                <w:szCs w:val="24"/>
                <w:highlight w:val="none"/>
              </w:rPr>
            </w:pPr>
            <w:r>
              <w:rPr>
                <w:rFonts w:hint="eastAsia" w:ascii="黑体" w:hAnsi="黑体" w:eastAsia="黑体" w:cs="黑体"/>
                <w:color w:val="000000"/>
                <w:kern w:val="0"/>
                <w:sz w:val="24"/>
                <w:szCs w:val="24"/>
                <w:highlight w:val="none"/>
              </w:rPr>
              <w:t>行政事项名称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黑体" w:hAnsi="黑体" w:eastAsia="黑体" w:cs="黑体"/>
                <w:color w:val="000000"/>
                <w:kern w:val="0"/>
                <w:sz w:val="24"/>
                <w:szCs w:val="24"/>
                <w:highlight w:val="none"/>
              </w:rPr>
            </w:pPr>
            <w:r>
              <w:rPr>
                <w:rFonts w:hint="eastAsia" w:ascii="黑体" w:hAnsi="黑体" w:eastAsia="黑体" w:cs="黑体"/>
                <w:color w:val="000000"/>
                <w:kern w:val="0"/>
                <w:sz w:val="24"/>
                <w:szCs w:val="24"/>
                <w:highlight w:val="none"/>
              </w:rPr>
              <w:t>实行告知承诺制</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eastAsia" w:ascii="黑体" w:hAnsi="黑体" w:eastAsia="黑体" w:cs="黑体"/>
                <w:color w:val="000000"/>
                <w:kern w:val="0"/>
                <w:sz w:val="24"/>
                <w:szCs w:val="24"/>
                <w:highlight w:val="none"/>
              </w:rPr>
            </w:pPr>
            <w:r>
              <w:rPr>
                <w:rFonts w:hint="eastAsia" w:ascii="黑体" w:hAnsi="黑体" w:eastAsia="黑体" w:cs="黑体"/>
                <w:color w:val="000000"/>
                <w:kern w:val="0"/>
                <w:sz w:val="24"/>
                <w:szCs w:val="24"/>
                <w:highlight w:val="none"/>
              </w:rPr>
              <w:t>的证明事项</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eastAsia" w:ascii="黑体" w:hAnsi="黑体" w:eastAsia="黑体" w:cs="黑体"/>
                <w:color w:val="000000"/>
                <w:kern w:val="0"/>
                <w:sz w:val="24"/>
                <w:szCs w:val="24"/>
                <w:highlight w:val="none"/>
              </w:rPr>
            </w:pPr>
            <w:r>
              <w:rPr>
                <w:rFonts w:hint="eastAsia" w:ascii="黑体" w:hAnsi="黑体" w:eastAsia="黑体" w:cs="黑体"/>
                <w:color w:val="000000"/>
                <w:kern w:val="0"/>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1</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公司设立登记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住所（经营场所）合法使用证明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2</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公司变更（备案）登记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住所（经营场所）合法使用证明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lang w:val="en-US" w:eastAsia="zh-CN"/>
              </w:rPr>
              <w:t>3</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分公司、非法人分支机构、营业单位设立登记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Style w:val="5"/>
                <w:rFonts w:hint="default" w:ascii="Times New Roman" w:hAnsi="Times New Roman" w:eastAsia="仿宋_GB2312" w:cs="Times New Roman"/>
                <w:color w:val="000000"/>
                <w:kern w:val="0"/>
                <w:sz w:val="24"/>
                <w:szCs w:val="24"/>
                <w:highlight w:val="none"/>
              </w:rPr>
              <w:t>地址的使用证明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lang w:val="en-US" w:eastAsia="zh-CN"/>
              </w:rPr>
              <w:t>4</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分公司、非法人分支机构、营业单位变更（备案）登记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Style w:val="5"/>
                <w:rFonts w:hint="default" w:ascii="Times New Roman" w:hAnsi="Times New Roman" w:eastAsia="仿宋_GB2312" w:cs="Times New Roman"/>
                <w:color w:val="000000"/>
                <w:kern w:val="0"/>
                <w:sz w:val="24"/>
                <w:szCs w:val="24"/>
                <w:highlight w:val="none"/>
              </w:rPr>
              <w:t>地址的使用证明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lang w:val="en-US" w:eastAsia="zh-CN"/>
              </w:rPr>
              <w:t>5</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非公司企业法人开业登记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住所使用证明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lang w:val="en-US" w:eastAsia="zh-CN"/>
              </w:rPr>
              <w:t>6</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非公司企业法人变更（备案）登记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住所使用证明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lang w:val="en-US" w:eastAsia="zh-CN"/>
              </w:rPr>
              <w:t>7</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个体工商户注册登记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rPr>
              <w:t>经营场所使用证明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lang w:val="en-US" w:eastAsia="zh-CN"/>
              </w:rPr>
              <w:t>8</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eastAsia="zh-CN"/>
              </w:rPr>
              <w:t>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个体工商户变更登记</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bidi="ar-SA"/>
              </w:rPr>
            </w:pPr>
            <w:r>
              <w:rPr>
                <w:rFonts w:hint="default" w:ascii="Times New Roman" w:hAnsi="Times New Roman" w:eastAsia="仿宋_GB2312" w:cs="Times New Roman"/>
                <w:color w:val="000000"/>
                <w:kern w:val="0"/>
                <w:sz w:val="24"/>
                <w:szCs w:val="24"/>
                <w:highlight w:val="none"/>
              </w:rPr>
              <w:t>变更经营场所的，限在同一登记机关辖区范围内，应当在迁入新经营场所前申请变更登记，并提交新的经营场所使用证明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9</w:t>
            </w:r>
          </w:p>
        </w:tc>
        <w:tc>
          <w:tcPr>
            <w:tcW w:w="1454"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rPr>
              <w:t>市场监管</w:t>
            </w:r>
            <w:r>
              <w:rPr>
                <w:rFonts w:hint="default" w:ascii="Times New Roman" w:hAnsi="Times New Roman" w:eastAsia="仿宋_GB2312" w:cs="Times New Roman"/>
                <w:color w:val="000000"/>
                <w:kern w:val="0"/>
                <w:sz w:val="24"/>
                <w:szCs w:val="24"/>
                <w:highlight w:val="none"/>
                <w:lang w:val="en-US" w:eastAsia="zh-CN"/>
              </w:rPr>
              <w:t>局</w:t>
            </w:r>
          </w:p>
        </w:tc>
        <w:tc>
          <w:tcPr>
            <w:tcW w:w="2999"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sz w:val="24"/>
                <w:szCs w:val="24"/>
                <w:highlight w:val="none"/>
              </w:rPr>
              <w:t>个体工商户注销登记</w:t>
            </w:r>
          </w:p>
        </w:tc>
        <w:tc>
          <w:tcPr>
            <w:tcW w:w="3362"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color w:val="000000"/>
                <w:sz w:val="24"/>
                <w:szCs w:val="24"/>
                <w:highlight w:val="none"/>
              </w:rPr>
              <w:t>已取得加载统一社会信用代码营业执照且在税务机关办理涉税事项的个体工商户申请注销登记，应当向登记机关提交税务机关出具的《清税证明》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10</w:t>
            </w:r>
          </w:p>
        </w:tc>
        <w:tc>
          <w:tcPr>
            <w:tcW w:w="145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人社局</w:t>
            </w:r>
          </w:p>
        </w:tc>
        <w:tc>
          <w:tcPr>
            <w:tcW w:w="299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rPr>
            </w:pPr>
            <w:r>
              <w:rPr>
                <w:rStyle w:val="6"/>
                <w:rFonts w:hint="default" w:ascii="Times New Roman" w:hAnsi="Times New Roman" w:eastAsia="仿宋_GB2312" w:cs="Times New Roman"/>
                <w:color w:val="000000"/>
                <w:sz w:val="24"/>
                <w:szCs w:val="24"/>
                <w:highlight w:val="none"/>
                <w:lang w:val="en-US" w:eastAsia="zh-CN" w:bidi="ar"/>
              </w:rPr>
              <w:t>劳务派遣经营许可（变更住所）</w:t>
            </w:r>
          </w:p>
        </w:tc>
        <w:tc>
          <w:tcPr>
            <w:tcW w:w="33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专职工作人员社会保险证明</w:t>
            </w:r>
          </w:p>
        </w:tc>
        <w:tc>
          <w:tcPr>
            <w:tcW w:w="54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11</w:t>
            </w:r>
          </w:p>
        </w:tc>
        <w:tc>
          <w:tcPr>
            <w:tcW w:w="145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人社局</w:t>
            </w:r>
          </w:p>
        </w:tc>
        <w:tc>
          <w:tcPr>
            <w:tcW w:w="299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劳务派遣经营许可（延续）</w:t>
            </w:r>
          </w:p>
        </w:tc>
        <w:tc>
          <w:tcPr>
            <w:tcW w:w="33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专职工作人员社会保险证明</w:t>
            </w:r>
          </w:p>
        </w:tc>
        <w:tc>
          <w:tcPr>
            <w:tcW w:w="54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63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12</w:t>
            </w:r>
          </w:p>
        </w:tc>
        <w:tc>
          <w:tcPr>
            <w:tcW w:w="1454"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lang w:eastAsia="zh-CN"/>
              </w:rPr>
            </w:pPr>
            <w:r>
              <w:rPr>
                <w:rFonts w:hint="default" w:ascii="Times New Roman" w:hAnsi="Times New Roman" w:eastAsia="仿宋_GB2312" w:cs="Times New Roman"/>
                <w:i w:val="0"/>
                <w:iCs w:val="0"/>
                <w:color w:val="000000"/>
                <w:kern w:val="0"/>
                <w:sz w:val="24"/>
                <w:szCs w:val="24"/>
                <w:highlight w:val="none"/>
                <w:u w:val="none"/>
                <w:lang w:val="en-US" w:eastAsia="zh-CN" w:bidi="ar"/>
              </w:rPr>
              <w:t>人社局</w:t>
            </w:r>
          </w:p>
        </w:tc>
        <w:tc>
          <w:tcPr>
            <w:tcW w:w="2999"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both"/>
              <w:textAlignment w:val="center"/>
              <w:outlineLvl w:val="9"/>
              <w:rPr>
                <w:rFonts w:hint="default" w:ascii="Times New Roman" w:hAnsi="Times New Roman" w:eastAsia="仿宋_GB2312" w:cs="Times New Roman"/>
                <w:i w:val="0"/>
                <w:iCs w:val="0"/>
                <w:color w:val="000000"/>
                <w:kern w:val="0"/>
                <w:sz w:val="24"/>
                <w:szCs w:val="24"/>
                <w:highlight w:val="none"/>
                <w:u w:val="none"/>
                <w:lang w:val="en-US" w:eastAsia="zh-CN" w:bidi="ar"/>
              </w:rPr>
            </w:pPr>
            <w:r>
              <w:rPr>
                <w:rFonts w:hint="default" w:ascii="Times New Roman" w:hAnsi="Times New Roman" w:eastAsia="仿宋_GB2312" w:cs="Times New Roman"/>
                <w:color w:val="000000"/>
                <w:sz w:val="24"/>
                <w:szCs w:val="24"/>
                <w:lang w:val="en-US" w:eastAsia="zh-CN"/>
              </w:rPr>
              <w:t>务派遣经营许可（新办）</w:t>
            </w:r>
          </w:p>
        </w:tc>
        <w:tc>
          <w:tcPr>
            <w:tcW w:w="3362"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both"/>
              <w:textAlignment w:val="center"/>
              <w:outlineLvl w:val="9"/>
              <w:rPr>
                <w:rFonts w:hint="default" w:ascii="Times New Roman" w:hAnsi="Times New Roman" w:eastAsia="仿宋_GB2312" w:cs="Times New Roman"/>
                <w:color w:val="000000"/>
                <w:kern w:val="0"/>
                <w:sz w:val="24"/>
                <w:szCs w:val="24"/>
                <w:highlight w:val="none"/>
              </w:rPr>
            </w:pPr>
            <w:r>
              <w:rPr>
                <w:rFonts w:hint="default" w:ascii="Times New Roman" w:hAnsi="Times New Roman" w:eastAsia="仿宋_GB2312" w:cs="Times New Roman"/>
                <w:i w:val="0"/>
                <w:iCs w:val="0"/>
                <w:color w:val="000000"/>
                <w:kern w:val="0"/>
                <w:sz w:val="24"/>
                <w:szCs w:val="24"/>
                <w:highlight w:val="none"/>
                <w:u w:val="none"/>
                <w:lang w:val="en-US" w:eastAsia="zh-CN" w:bidi="ar"/>
              </w:rPr>
              <w:t>专职工作人员社会保险证明</w:t>
            </w:r>
          </w:p>
        </w:tc>
        <w:tc>
          <w:tcPr>
            <w:tcW w:w="540" w:type="dxa"/>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center"/>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13</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娱乐场所从事娱乐场所经营活动审批</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1.投资人员、拟任的法定代表人和其他负责人没有本条例第五条规定情形的书面声明；</w:t>
            </w:r>
          </w:p>
          <w:p>
            <w:pPr>
              <w:pStyle w:val="7"/>
              <w:keepNext w:val="0"/>
              <w:keepLines w:val="0"/>
              <w:pageBreakBefore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14</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艺术品经营单位备案</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15</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申请从事互联网上网服务经营活动审批</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16</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营业性演出审批</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17</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文艺表演团体从事营业性演出活动审批</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18</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演出场所经营单位备案</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19</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个体演员备案</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20</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文旅局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个体演出经纪人备案</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工商营业执照副本</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21</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公共场所卫生许可</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22</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饮用水供水单位卫生许可</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23</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放射源诊疗技术和医用辐射机构许可</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1.医疗机构执业许可证；</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2.竣工验收许可决定书；</w:t>
            </w:r>
          </w:p>
          <w:p>
            <w:pPr>
              <w:pStyle w:val="7"/>
              <w:keepNext w:val="0"/>
              <w:keepLines w:val="0"/>
              <w:pageBreakBefore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3.放射诊疗专业技术人员证书</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24</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母婴保健技术服务机构执业许可</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1.医疗机构执业许可证；</w:t>
            </w:r>
          </w:p>
          <w:p>
            <w:pPr>
              <w:pStyle w:val="7"/>
              <w:keepNext w:val="0"/>
              <w:keepLines w:val="0"/>
              <w:pageBreakBefore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2.母婴保健技术考核合格证书</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25</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医疗机构校验</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医疗机构执业许可证</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26</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城镇独生子女父母奖励扶助</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1.居民户口簿；</w:t>
            </w:r>
          </w:p>
          <w:p>
            <w:pPr>
              <w:pStyle w:val="7"/>
              <w:keepNext w:val="0"/>
              <w:keepLines w:val="0"/>
              <w:pageBreakBefore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2.婚姻状况证明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27</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农村部分计划生育家庭奖励扶助</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1.居民户口簿；</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2.婚姻状况证明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28</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卫建委</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计划生育家庭特别扶助金</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1.居民户口簿；</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2.婚姻状况证明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29</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金融工作局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融资担保公司设立与变更审批</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1.营业执照；</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2.融资性担保机构经营许可证</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30</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应急管理局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危险化学品生产、储存建设项目安全设施设计审查（简易程序）—适用于加油站建设项目</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营业执照或企业名称预先核准通知书</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31</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应急管理局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危险化学品经营许可</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1.安全生产知识和管理能力考核合格证；</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32</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应急管理局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第三类非药品类易制毒化学品经营备案</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1.危险化学品经营许可证；</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33</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城管局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挖掘区属城市道路许可</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1.中华人民共和国建设工程规划许可证；</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2.营业执照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34</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城管局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在城市道路两侧和公共场地临时堆放物料，搭建临时建筑物、构筑物或者其他设施许可</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35</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城管局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临时占用城市道路许可</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36</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城管局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设置大型户外广告及在城市建筑物、设施上悬挂、张贴宣传品审批</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37</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城管局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全区绿化植物移植、砍伐（数量在20株以内的非古树名木）和绿化设施拆除审核转报</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营业执照</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38</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农业农村局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农药经营许可证核发</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经营人员的学历或者培训证明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39</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农业农村局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动物诊疗机构许可</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执业兽医资格证书</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40</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农业农村局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办理林木采伐许可</w:t>
            </w:r>
          </w:p>
        </w:tc>
        <w:tc>
          <w:tcPr>
            <w:tcW w:w="336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采伐的林木所有权、使用权证书</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41</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退役军人</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事务局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各类优抚补助对象认定</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1.失业证明</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2.社保情况凭证</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3.农村户口证明</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4.烈士证明书</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5.未参加城镇职工养老保险证明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42</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退役军人事务局</w:t>
            </w:r>
          </w:p>
        </w:tc>
        <w:tc>
          <w:tcPr>
            <w:tcW w:w="2999"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在乡复员军人定期定量补助的认定</w:t>
            </w:r>
          </w:p>
        </w:tc>
        <w:tc>
          <w:tcPr>
            <w:tcW w:w="336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1.入伍批准书；</w:t>
            </w:r>
          </w:p>
          <w:p>
            <w:pPr>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lang w:val="en-US" w:eastAsia="zh-CN"/>
              </w:rPr>
              <w:t>2.退伍登记表</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43</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社会保险</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中心</w:t>
            </w:r>
          </w:p>
        </w:tc>
        <w:tc>
          <w:tcPr>
            <w:tcW w:w="2999"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机关事业单位在职人员死亡</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死亡证明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44</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社会保险</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中心</w:t>
            </w:r>
          </w:p>
        </w:tc>
        <w:tc>
          <w:tcPr>
            <w:tcW w:w="2999"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供养亲属抚恤金申领</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无收入来源证明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45</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社会保险</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中心</w:t>
            </w:r>
          </w:p>
        </w:tc>
        <w:tc>
          <w:tcPr>
            <w:tcW w:w="2999"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企业离退休人员因病非因工死亡丧葬补助金、抚恤金申领</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死亡证明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9"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46</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社会保险</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中心</w:t>
            </w:r>
          </w:p>
        </w:tc>
        <w:tc>
          <w:tcPr>
            <w:tcW w:w="2999"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企业离退休人员因工非因病死亡丧葬补助金、抚恤金申领（工伤未领取待遇）</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死亡证明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47</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社会保险</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中心</w:t>
            </w:r>
          </w:p>
        </w:tc>
        <w:tc>
          <w:tcPr>
            <w:tcW w:w="2999"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养老在职死亡（企业）</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死亡证明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48</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社会保险</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中心</w:t>
            </w:r>
          </w:p>
        </w:tc>
        <w:tc>
          <w:tcPr>
            <w:tcW w:w="2999"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丧葬补助金、抚恤金申领（企业基本养老保险）</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死亡证明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49</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社会保险</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中心</w:t>
            </w:r>
          </w:p>
        </w:tc>
        <w:tc>
          <w:tcPr>
            <w:tcW w:w="2999"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机关事业单位退休人员死亡</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sz w:val="24"/>
                <w:szCs w:val="24"/>
                <w:highlight w:val="none"/>
              </w:rPr>
              <w:t>死亡证明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50</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2"/>
                <w:sz w:val="24"/>
                <w:szCs w:val="24"/>
                <w:highlight w:val="none"/>
                <w:lang w:val="en-US" w:eastAsia="zh-CN" w:bidi="ar-SA"/>
              </w:rPr>
              <w:t>涧西财政局</w:t>
            </w:r>
          </w:p>
        </w:tc>
        <w:tc>
          <w:tcPr>
            <w:tcW w:w="2999"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i w:val="0"/>
                <w:color w:val="000000"/>
                <w:kern w:val="2"/>
                <w:sz w:val="24"/>
                <w:szCs w:val="24"/>
                <w:highlight w:val="none"/>
                <w:u w:val="none"/>
                <w:lang w:val="en-US" w:eastAsia="zh-CN" w:bidi="ar-SA"/>
              </w:rPr>
              <w:t>代理记账资格审批</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2"/>
                <w:sz w:val="24"/>
                <w:szCs w:val="24"/>
                <w:highlight w:val="none"/>
                <w:lang w:val="en-US" w:eastAsia="zh-CN" w:bidi="ar-SA"/>
              </w:rPr>
              <w:t>统一社会信用代码</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51</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涧西公安</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分局</w:t>
            </w:r>
          </w:p>
        </w:tc>
        <w:tc>
          <w:tcPr>
            <w:tcW w:w="2999"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2"/>
                <w:sz w:val="24"/>
                <w:szCs w:val="24"/>
                <w:highlight w:val="none"/>
                <w:u w:val="none"/>
                <w:lang w:val="en-US" w:eastAsia="zh-CN" w:bidi="ar-SA"/>
              </w:rPr>
            </w:pPr>
            <w:r>
              <w:rPr>
                <w:rFonts w:hint="default" w:ascii="Times New Roman" w:hAnsi="Times New Roman" w:eastAsia="仿宋_GB2312" w:cs="Times New Roman"/>
                <w:i w:val="0"/>
                <w:color w:val="000000"/>
                <w:kern w:val="2"/>
                <w:sz w:val="24"/>
                <w:szCs w:val="24"/>
                <w:highlight w:val="none"/>
                <w:u w:val="none"/>
                <w:lang w:val="en-US" w:eastAsia="zh-CN" w:bidi="ar-SA"/>
              </w:rPr>
              <w:t>回国（入境）恢复户口</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注销证明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52</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涧西公安</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bookmarkStart w:id="0" w:name="_GoBack"/>
            <w:bookmarkEnd w:id="0"/>
            <w:r>
              <w:rPr>
                <w:rFonts w:hint="default" w:ascii="Times New Roman" w:hAnsi="Times New Roman" w:eastAsia="仿宋_GB2312" w:cs="Times New Roman"/>
                <w:color w:val="000000"/>
                <w:kern w:val="2"/>
                <w:sz w:val="24"/>
                <w:szCs w:val="24"/>
                <w:highlight w:val="none"/>
                <w:lang w:val="en-US" w:eastAsia="zh-CN" w:bidi="ar-SA"/>
              </w:rPr>
              <w:t>分局</w:t>
            </w:r>
          </w:p>
        </w:tc>
        <w:tc>
          <w:tcPr>
            <w:tcW w:w="2999"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2"/>
                <w:sz w:val="24"/>
                <w:szCs w:val="24"/>
                <w:highlight w:val="none"/>
                <w:u w:val="none"/>
                <w:lang w:val="en-US" w:eastAsia="zh-CN" w:bidi="ar-SA"/>
              </w:rPr>
            </w:pPr>
            <w:r>
              <w:rPr>
                <w:rFonts w:hint="default" w:ascii="Times New Roman" w:hAnsi="Times New Roman" w:eastAsia="仿宋_GB2312" w:cs="Times New Roman"/>
                <w:i w:val="0"/>
                <w:color w:val="000000"/>
                <w:kern w:val="2"/>
                <w:sz w:val="24"/>
                <w:szCs w:val="24"/>
                <w:highlight w:val="none"/>
                <w:u w:val="none"/>
                <w:lang w:val="en-US" w:eastAsia="zh-CN" w:bidi="ar-SA"/>
              </w:rPr>
              <w:t>转业、复原、退伍落户</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注销证明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632"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outlineLvl w:val="9"/>
              <w:rPr>
                <w:rFonts w:hint="default" w:ascii="Times New Roman" w:hAnsi="Times New Roman" w:eastAsia="仿宋_GB2312" w:cs="Times New Roman"/>
                <w:color w:val="000000"/>
                <w:kern w:val="0"/>
                <w:sz w:val="24"/>
                <w:szCs w:val="24"/>
                <w:highlight w:val="none"/>
                <w:lang w:val="en-US" w:eastAsia="zh-CN"/>
              </w:rPr>
            </w:pPr>
            <w:r>
              <w:rPr>
                <w:rFonts w:hint="default" w:ascii="Times New Roman" w:hAnsi="Times New Roman" w:eastAsia="仿宋_GB2312" w:cs="Times New Roman"/>
                <w:color w:val="000000"/>
                <w:kern w:val="0"/>
                <w:sz w:val="24"/>
                <w:szCs w:val="24"/>
                <w:highlight w:val="none"/>
                <w:lang w:val="en-US" w:eastAsia="zh-CN"/>
              </w:rPr>
              <w:t>53</w:t>
            </w:r>
          </w:p>
        </w:tc>
        <w:tc>
          <w:tcPr>
            <w:tcW w:w="1454"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涧西公安</w:t>
            </w:r>
          </w:p>
          <w:p>
            <w:pPr>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分局</w:t>
            </w:r>
          </w:p>
        </w:tc>
        <w:tc>
          <w:tcPr>
            <w:tcW w:w="2999" w:type="dxa"/>
            <w:noWrap w:val="0"/>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textAlignment w:val="center"/>
              <w:outlineLvl w:val="9"/>
              <w:rPr>
                <w:rFonts w:hint="default" w:ascii="Times New Roman" w:hAnsi="Times New Roman" w:eastAsia="仿宋_GB2312" w:cs="Times New Roman"/>
                <w:i w:val="0"/>
                <w:color w:val="000000"/>
                <w:kern w:val="2"/>
                <w:sz w:val="24"/>
                <w:szCs w:val="24"/>
                <w:highlight w:val="none"/>
                <w:u w:val="none"/>
                <w:lang w:val="en-US" w:eastAsia="zh-CN" w:bidi="ar-SA"/>
              </w:rPr>
            </w:pPr>
            <w:r>
              <w:rPr>
                <w:rFonts w:hint="default" w:ascii="Times New Roman" w:hAnsi="Times New Roman" w:eastAsia="仿宋_GB2312" w:cs="Times New Roman"/>
                <w:i w:val="0"/>
                <w:color w:val="000000"/>
                <w:kern w:val="2"/>
                <w:sz w:val="24"/>
                <w:szCs w:val="24"/>
                <w:highlight w:val="none"/>
                <w:u w:val="none"/>
                <w:lang w:val="en-US" w:eastAsia="zh-CN" w:bidi="ar-SA"/>
              </w:rPr>
              <w:t>异地转业、复原、退伍落户</w:t>
            </w:r>
          </w:p>
        </w:tc>
        <w:tc>
          <w:tcPr>
            <w:tcW w:w="3362" w:type="dxa"/>
            <w:noWrap w:val="0"/>
            <w:vAlign w:val="center"/>
          </w:tcPr>
          <w:p>
            <w:pPr>
              <w:keepNext w:val="0"/>
              <w:keepLines w:val="0"/>
              <w:pageBreakBefore w:val="0"/>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left"/>
              <w:outlineLvl w:val="9"/>
              <w:rPr>
                <w:rFonts w:hint="default" w:ascii="Times New Roman" w:hAnsi="Times New Roman" w:eastAsia="仿宋_GB2312" w:cs="Times New Roman"/>
                <w:color w:val="000000"/>
                <w:kern w:val="2"/>
                <w:sz w:val="24"/>
                <w:szCs w:val="24"/>
                <w:highlight w:val="none"/>
                <w:lang w:val="en-US" w:eastAsia="zh-CN" w:bidi="ar-SA"/>
              </w:rPr>
            </w:pPr>
            <w:r>
              <w:rPr>
                <w:rFonts w:hint="default" w:ascii="Times New Roman" w:hAnsi="Times New Roman" w:eastAsia="仿宋_GB2312" w:cs="Times New Roman"/>
                <w:color w:val="000000"/>
                <w:kern w:val="2"/>
                <w:sz w:val="24"/>
                <w:szCs w:val="24"/>
                <w:highlight w:val="none"/>
                <w:lang w:val="en-US" w:eastAsia="zh-CN" w:bidi="ar-SA"/>
              </w:rPr>
              <w:t>注销证明</w:t>
            </w:r>
          </w:p>
        </w:tc>
        <w:tc>
          <w:tcPr>
            <w:tcW w:w="540" w:type="dxa"/>
            <w:noWrap w:val="0"/>
            <w:vAlign w:val="center"/>
          </w:tcPr>
          <w:p>
            <w:pPr>
              <w:keepNext w:val="0"/>
              <w:keepLines w:val="0"/>
              <w:pageBreakBefore w:val="0"/>
              <w:widowControl w:val="0"/>
              <w:kinsoku/>
              <w:wordWrap/>
              <w:overflowPunct/>
              <w:topLinePunct w:val="0"/>
              <w:autoSpaceDE/>
              <w:autoSpaceDN/>
              <w:bidi w:val="0"/>
              <w:adjustRightInd/>
              <w:snapToGrid/>
              <w:spacing w:before="0" w:beforeLines="0" w:after="0" w:afterLines="0" w:line="360" w:lineRule="exact"/>
              <w:ind w:left="0" w:leftChars="0" w:right="0" w:rightChars="0" w:firstLine="0" w:firstLineChars="0"/>
              <w:jc w:val="center"/>
              <w:textAlignment w:val="auto"/>
              <w:outlineLvl w:val="9"/>
              <w:rPr>
                <w:rFonts w:hint="default" w:ascii="Times New Roman" w:hAnsi="Times New Roman" w:eastAsia="仿宋_GB2312" w:cs="Times New Roman"/>
                <w:color w:val="000000"/>
                <w:kern w:val="0"/>
                <w:sz w:val="24"/>
                <w:szCs w:val="24"/>
                <w:highlight w:val="none"/>
              </w:rPr>
            </w:pPr>
          </w:p>
        </w:tc>
      </w:tr>
    </w:tbl>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640" w:firstLineChars="200"/>
        <w:jc w:val="both"/>
        <w:outlineLvl w:val="9"/>
        <w:rPr>
          <w:rFonts w:hint="default" w:ascii="Times New Roman" w:hAnsi="Times New Roman" w:eastAsia="仿宋_GB2312"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right="0" w:rightChars="0"/>
        <w:jc w:val="both"/>
        <w:textAlignment w:val="auto"/>
        <w:outlineLvl w:val="9"/>
        <w:rPr>
          <w:rFonts w:hint="default" w:ascii="Times New Roman" w:hAnsi="Times New Roman" w:cs="Times New Roman"/>
          <w:color w:val="00000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Noto Sans CJK SC"/>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02FF" w:usb1="4000ACFF" w:usb2="00000001" w:usb3="00000000" w:csb0="2000019F" w:csb1="00000000"/>
  </w:font>
  <w:font w:name="Noto Sans CJK SC">
    <w:panose1 w:val="020B0500000000000000"/>
    <w:charset w:val="86"/>
    <w:family w:val="auto"/>
    <w:pitch w:val="default"/>
    <w:sig w:usb0="30000003" w:usb1="2BDF3C10" w:usb2="00000016" w:usb3="00000000" w:csb0="602E0107"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3F6160"/>
    <w:rsid w:val="3F3F6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2">
    <w:name w:val="heading 1"/>
    <w:basedOn w:val="1"/>
    <w:next w:val="1"/>
    <w:qFormat/>
    <w:uiPriority w:val="0"/>
    <w:pPr>
      <w:keepNext/>
      <w:keepLines/>
      <w:spacing w:line="580" w:lineRule="exact"/>
      <w:ind w:firstLine="0" w:firstLineChars="0"/>
      <w:jc w:val="center"/>
      <w:outlineLvl w:val="0"/>
    </w:pPr>
    <w:rPr>
      <w:rFonts w:eastAsia="方正小标宋简体"/>
      <w:kern w:val="44"/>
      <w:sz w:val="44"/>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customStyle="1" w:styleId="5">
    <w:name w:val="ellisiss"/>
    <w:basedOn w:val="4"/>
    <w:qFormat/>
    <w:uiPriority w:val="0"/>
  </w:style>
  <w:style w:type="character" w:customStyle="1" w:styleId="6">
    <w:name w:val="font01"/>
    <w:basedOn w:val="4"/>
    <w:qFormat/>
    <w:uiPriority w:val="0"/>
    <w:rPr>
      <w:rFonts w:hint="default" w:ascii="Calibri" w:hAnsi="Calibri" w:cs="Calibri"/>
      <w:color w:val="000000"/>
      <w:sz w:val="21"/>
      <w:szCs w:val="21"/>
      <w:u w:val="none"/>
    </w:rPr>
  </w:style>
  <w:style w:type="paragraph" w:customStyle="1" w:styleId="7">
    <w:name w:val="正文首缩两字 Char"/>
    <w:basedOn w:val="1"/>
    <w:qFormat/>
    <w:uiPriority w:val="0"/>
    <w:rPr>
      <w:rFonts w:ascii="Verdana" w:hAnsi="Verdan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2021-08-23T10:35:00Z</dcterms:created>
  <dc:creator>uos</dc:creator>
  <cp:lastModifiedBy>uos</cp:lastModifiedBy>
  <dcterms:modified xsi:type="dcterms:W3CDTF">2021-08-23T10:36:35Z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2052-11.1.0.9719</vt:lpwstr>
  </property>
</Properties>
</file>