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EC8E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eastAsia="zh-CN"/>
        </w:rPr>
      </w:pPr>
      <w:r>
        <w:rPr>
          <w:rFonts w:hint="eastAsia" w:ascii="黑体" w:hAnsi="黑体" w:eastAsia="黑体" w:cs="黑体"/>
          <w:color w:val="000000"/>
          <w:kern w:val="21"/>
          <w:sz w:val="32"/>
          <w:szCs w:val="32"/>
          <w:lang w:eastAsia="zh-CN"/>
        </w:rPr>
        <w:t>附件</w:t>
      </w:r>
    </w:p>
    <w:p w14:paraId="5CFFBC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44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44"/>
          <w:sz w:val="44"/>
          <w:szCs w:val="44"/>
          <w:lang w:eastAsia="zh-CN"/>
        </w:rPr>
        <w:t>202</w:t>
      </w:r>
      <w:r>
        <w:rPr>
          <w:rFonts w:hint="eastAsia" w:ascii="Times New Roman" w:hAnsi="Times New Roman" w:eastAsia="方正小标宋简体" w:cs="Times New Roman"/>
          <w:color w:val="000000"/>
          <w:kern w:val="44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kern w:val="44"/>
          <w:sz w:val="44"/>
          <w:szCs w:val="44"/>
          <w:lang w:eastAsia="zh-CN"/>
        </w:rPr>
        <w:t>年涧西区第一季度生活饮用水龙头水水质监测信息反馈表</w:t>
      </w:r>
    </w:p>
    <w:tbl>
      <w:tblPr>
        <w:tblStyle w:val="4"/>
        <w:tblW w:w="141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740"/>
        <w:gridCol w:w="2145"/>
        <w:gridCol w:w="1575"/>
        <w:gridCol w:w="2002"/>
        <w:gridCol w:w="1958"/>
        <w:gridCol w:w="1830"/>
        <w:gridCol w:w="846"/>
        <w:gridCol w:w="1445"/>
      </w:tblGrid>
      <w:tr w14:paraId="4A335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89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77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监测点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4B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210" w:leftChars="-100" w:right="-210" w:rightChars="-10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供水单位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（二次供水管理单位）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9D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检测单位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9E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检测完成时间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D7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检测指标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DB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结果评价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05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不达标指标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23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健康风险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评估及建议</w:t>
            </w:r>
          </w:p>
        </w:tc>
      </w:tr>
      <w:tr w14:paraId="7D1F2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FF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85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sz w:val="22"/>
                <w:szCs w:val="22"/>
                <w:u w:val="none"/>
              </w:rPr>
              <w:t>洛阳伍一一三博脑科医院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EE9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涧西供水分公司高新水厂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58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洛阳市疾病预防控制中心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CD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105" w:leftChars="-50" w:right="-105" w:rightChars="-5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日</w:t>
            </w:r>
          </w:p>
        </w:tc>
        <w:tc>
          <w:tcPr>
            <w:tcW w:w="1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0E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微生物指标：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总大肠菌群、大肠埃希氏菌、菌落总数；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毒理学指标：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砷、镉、铬（六价）、铅、汞、氰化物、氟化物、硝酸盐（以N计）；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感官性状和一般化学指标：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色度、浑浊度、臭和味、肉眼可见物、PH、铝、铁、锰、铜、锌、氯化物、硫酸盐、溶解性总固体、总硬度（以CaCO3计）、高锰酸盐指数（以O2计）、氨（以N计）；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消毒剂及消毒副产物指标：</w:t>
            </w: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游离氯、三氯甲烷、一氯二溴甲烷、二氯一溴甲烷、三溴甲烷、三卤甲烷、二氯乙酸、三氯乙酸、氯酸盐。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1B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检测指标均达标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152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06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建议煮沸后饮用</w:t>
            </w:r>
          </w:p>
        </w:tc>
      </w:tr>
      <w:tr w14:paraId="66DFD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EA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F16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涧西水厂西郊加压站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8C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涧西供水分公司洛南水厂厂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648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洛阳市疾病预防控制中心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99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105" w:leftChars="-50" w:right="-105" w:rightChars="-5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日</w:t>
            </w:r>
          </w:p>
        </w:tc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775E8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CC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检测指标均达标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74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ED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建议煮沸后饮用</w:t>
            </w:r>
          </w:p>
        </w:tc>
      </w:tr>
      <w:tr w14:paraId="62064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524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15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105" w:leftChars="-50" w:right="-105" w:rightChars="-5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洛阳市西苑初级中学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D4F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涧西供水分公司洛南水厂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6D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洛阳市疾病预防控制中心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8F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105" w:leftChars="-50" w:right="-105" w:rightChars="-5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日</w:t>
            </w:r>
          </w:p>
        </w:tc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29E59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4D4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检测指标均达标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92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F5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建议煮沸后饮用</w:t>
            </w:r>
          </w:p>
        </w:tc>
      </w:tr>
      <w:tr w14:paraId="33C4B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3D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2E0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洛阳市高新外国语学校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1D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涧西供水分公司高新水厂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B7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洛阳市疾病预防控制中心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E0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105" w:leftChars="-50" w:right="-105" w:rightChars="-5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日</w:t>
            </w:r>
          </w:p>
        </w:tc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20199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2E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检测指标均达标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0F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24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建议煮沸后饮用</w:t>
            </w:r>
          </w:p>
        </w:tc>
      </w:tr>
      <w:tr w14:paraId="4429D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22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50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涧西区银隆家2小区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78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河南佳宇物业管理有限公司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F3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洛阳市疾病预防控制中心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46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105" w:leftChars="-50" w:right="-105" w:rightChars="-5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日</w:t>
            </w:r>
          </w:p>
        </w:tc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B9EA0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8F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检测指标均达标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DF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B0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建议煮沸后饮用</w:t>
            </w:r>
          </w:p>
        </w:tc>
      </w:tr>
      <w:tr w14:paraId="348C7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6C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263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河南科技大学附属医院景华院区新外科楼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B9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河南科技大学第一附属医院景华院区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6C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洛阳市疾病预防控制中心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08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-105" w:leftChars="-50" w:right="-105" w:rightChars="-5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日</w:t>
            </w:r>
          </w:p>
        </w:tc>
        <w:tc>
          <w:tcPr>
            <w:tcW w:w="1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AA920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EF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检测指标均达标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FA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9A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1"/>
                <w:sz w:val="22"/>
                <w:szCs w:val="22"/>
                <w:u w:val="none"/>
                <w:lang w:val="en-US" w:eastAsia="zh-CN" w:bidi="ar"/>
              </w:rPr>
              <w:t>建议煮沸后饮用</w:t>
            </w:r>
          </w:p>
        </w:tc>
      </w:tr>
    </w:tbl>
    <w:p w14:paraId="37889AE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52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pacing w:after="120" w:afterLines="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font51"/>
    <w:basedOn w:val="5"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paragraph" w:customStyle="1" w:styleId="8">
    <w:name w:val="_Style 62"/>
    <w:basedOn w:val="1"/>
    <w:qFormat/>
    <w:uiPriority w:val="0"/>
    <w:pPr>
      <w:widowControl/>
      <w:spacing w:after="160" w:afterLines="0" w:line="240" w:lineRule="exact"/>
      <w:jc w:val="left"/>
    </w:pPr>
    <w:rPr>
      <w:rFonts w:ascii="Times New Roman" w:hAnsi="Times New Roman"/>
      <w:szCs w:val="24"/>
    </w:rPr>
  </w:style>
  <w:style w:type="character" w:customStyle="1" w:styleId="9">
    <w:name w:val="font41"/>
    <w:basedOn w:val="5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2025-04-15T01:43:18Z</dcterms:created>
  <dc:creator>Administrator</dc:creator>
  <cp:lastModifiedBy>金融工作</cp:lastModifiedBy>
  <dcterms:modified xsi:type="dcterms:W3CDTF">2025-04-15T01:43:40Z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eyJoZGlkIjoiMDg1ZWU4ZTg3ZDFmMzk4NDMxNDRlZWU1MGFmNTBhYWMiLCJ1c2VySWQiOiI1MDgzMzIxNjcifQ==</vt:lpwstr>
  </property>
  <property fmtid="{D5CDD505-2E9C-101B-9397-08002B2CF9AE}" pid="4" name="ICV">
    <vt:lpwstr>BE3AF527FEE6442081054558E7F8642F_12</vt:lpwstr>
  </property>
</Properties>
</file>