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4DE27">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行政复议决定书</w:t>
      </w:r>
    </w:p>
    <w:p w14:paraId="1AB8D09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涧政复决字〔2023〕第</w:t>
      </w:r>
      <w:r>
        <w:rPr>
          <w:rFonts w:hint="eastAsia" w:ascii="Times New Roman" w:hAnsi="Times New Roman" w:eastAsia="仿宋_GB2312" w:cs="Times New Roman"/>
          <w:color w:val="auto"/>
          <w:sz w:val="32"/>
          <w:szCs w:val="32"/>
          <w:highlight w:val="none"/>
          <w:lang w:val="en-US" w:eastAsia="zh-CN" w:bidi="zh-CN"/>
        </w:rPr>
        <w:t>106</w:t>
      </w:r>
      <w:r>
        <w:rPr>
          <w:rFonts w:hint="default" w:ascii="Times New Roman" w:hAnsi="Times New Roman" w:eastAsia="仿宋_GB2312" w:cs="Times New Roman"/>
          <w:color w:val="auto"/>
          <w:sz w:val="32"/>
          <w:szCs w:val="32"/>
          <w:highlight w:val="none"/>
          <w:lang w:val="en-US" w:eastAsia="zh-CN" w:bidi="zh-CN"/>
        </w:rPr>
        <w:t>号</w:t>
      </w:r>
    </w:p>
    <w:p w14:paraId="4FFA35A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严某</w:t>
      </w:r>
      <w:r>
        <w:rPr>
          <w:rFonts w:hint="default" w:ascii="Times New Roman" w:hAnsi="Times New Roman" w:eastAsia="仿宋_GB2312" w:cs="Times New Roman"/>
          <w:color w:val="auto"/>
          <w:sz w:val="32"/>
          <w:szCs w:val="32"/>
          <w:highlight w:val="none"/>
          <w:lang w:val="en-US" w:eastAsia="zh-CN" w:bidi="zh-CN"/>
        </w:rPr>
        <w:t>。</w:t>
      </w:r>
    </w:p>
    <w:p w14:paraId="5CAA3D1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被申请人：洛阳市公安局涧西分局</w:t>
      </w:r>
    </w:p>
    <w:p w14:paraId="2D43EAED">
      <w:pPr>
        <w:pStyle w:val="2"/>
        <w:keepNext w:val="0"/>
        <w:keepLines w:val="0"/>
        <w:pageBreakBefore w:val="0"/>
        <w:kinsoku/>
        <w:wordWrap/>
        <w:overflowPunct/>
        <w:topLinePunct w:val="0"/>
        <w:autoSpaceDE/>
        <w:autoSpaceDN/>
        <w:bidi w:val="0"/>
        <w:adjustRightInd/>
        <w:snapToGrid/>
        <w:spacing w:line="560" w:lineRule="exact"/>
        <w:textAlignment w:val="auto"/>
        <w:rPr>
          <w:rFonts w:hint="default"/>
          <w:sz w:val="32"/>
          <w:szCs w:val="32"/>
          <w:highlight w:val="yellow"/>
          <w:lang w:val="en-US" w:eastAsia="zh-CN"/>
        </w:rPr>
      </w:pPr>
      <w:r>
        <w:rPr>
          <w:rFonts w:hint="default" w:ascii="Times New Roman" w:hAnsi="Times New Roman" w:eastAsia="仿宋_GB2312" w:cs="Times New Roman"/>
          <w:color w:val="auto"/>
          <w:sz w:val="32"/>
          <w:szCs w:val="32"/>
          <w:highlight w:val="none"/>
          <w:lang w:val="en-US" w:eastAsia="zh-CN" w:bidi="zh-CN"/>
        </w:rPr>
        <w:t>第三人：</w:t>
      </w:r>
      <w:r>
        <w:rPr>
          <w:rFonts w:hint="eastAsia" w:ascii="Times New Roman" w:hAnsi="Times New Roman" w:eastAsia="仿宋_GB2312" w:cs="Times New Roman"/>
          <w:color w:val="auto"/>
          <w:sz w:val="32"/>
          <w:szCs w:val="32"/>
          <w:highlight w:val="none"/>
          <w:lang w:val="en-US" w:eastAsia="zh-CN" w:bidi="zh-CN"/>
        </w:rPr>
        <w:t>高某。</w:t>
      </w:r>
    </w:p>
    <w:p w14:paraId="5D715F7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申请人不服被申请人于20</w:t>
      </w:r>
      <w:r>
        <w:rPr>
          <w:rFonts w:hint="eastAsia" w:ascii="Times New Roman" w:hAnsi="Times New Roman" w:eastAsia="仿宋_GB2312" w:cs="Times New Roman"/>
          <w:color w:val="auto"/>
          <w:sz w:val="32"/>
          <w:szCs w:val="32"/>
          <w:highlight w:val="none"/>
          <w:lang w:val="en-US" w:eastAsia="zh-CN" w:bidi="zh-CN"/>
        </w:rPr>
        <w:t>23</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val="en-US" w:eastAsia="zh-CN" w:bidi="zh-CN"/>
        </w:rPr>
        <w:t>日作出的洛公涧西（</w:t>
      </w:r>
      <w:r>
        <w:rPr>
          <w:rFonts w:hint="eastAsia" w:ascii="Times New Roman" w:hAnsi="Times New Roman" w:eastAsia="仿宋_GB2312" w:cs="Times New Roman"/>
          <w:color w:val="auto"/>
          <w:sz w:val="32"/>
          <w:szCs w:val="32"/>
          <w:highlight w:val="none"/>
          <w:lang w:val="en-US" w:eastAsia="zh-CN" w:bidi="zh-CN"/>
        </w:rPr>
        <w:t>巡特</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行罚决字</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2086</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行政处罚决定书</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于2023年12月18日</w:t>
      </w:r>
      <w:r>
        <w:rPr>
          <w:rFonts w:hint="default" w:ascii="Times New Roman" w:hAnsi="Times New Roman" w:eastAsia="仿宋_GB2312" w:cs="Times New Roman"/>
          <w:color w:val="auto"/>
          <w:sz w:val="32"/>
          <w:szCs w:val="32"/>
          <w:highlight w:val="none"/>
          <w:lang w:val="en-US" w:eastAsia="zh-CN" w:bidi="zh-CN"/>
        </w:rPr>
        <w:t>向本机关申请行政复议，本机关依法</w:t>
      </w:r>
      <w:r>
        <w:rPr>
          <w:rFonts w:hint="default" w:ascii="Times New Roman" w:hAnsi="Times New Roman" w:eastAsia="仿宋_GB2312" w:cs="Times New Roman"/>
          <w:color w:val="auto"/>
          <w:sz w:val="32"/>
          <w:szCs w:val="32"/>
          <w:highlight w:val="none"/>
          <w:lang w:eastAsia="zh-CN" w:bidi="zh-CN"/>
        </w:rPr>
        <w:t>予</w:t>
      </w:r>
      <w:r>
        <w:rPr>
          <w:rFonts w:hint="default" w:ascii="Times New Roman" w:hAnsi="Times New Roman" w:eastAsia="仿宋_GB2312" w:cs="Times New Roman"/>
          <w:color w:val="auto"/>
          <w:sz w:val="32"/>
          <w:szCs w:val="32"/>
          <w:highlight w:val="none"/>
          <w:lang w:val="en-US" w:eastAsia="zh-CN" w:bidi="zh-CN"/>
        </w:rPr>
        <w:t>以</w:t>
      </w:r>
      <w:r>
        <w:rPr>
          <w:rFonts w:hint="default" w:ascii="Times New Roman" w:hAnsi="Times New Roman" w:eastAsia="仿宋_GB2312" w:cs="Times New Roman"/>
          <w:color w:val="auto"/>
          <w:sz w:val="32"/>
          <w:szCs w:val="32"/>
          <w:highlight w:val="none"/>
          <w:lang w:eastAsia="zh-CN" w:bidi="zh-CN"/>
        </w:rPr>
        <w:t>受理</w:t>
      </w:r>
      <w:r>
        <w:rPr>
          <w:rFonts w:hint="default" w:ascii="Times New Roman" w:hAnsi="Times New Roman" w:eastAsia="仿宋_GB2312" w:cs="Times New Roman"/>
          <w:color w:val="auto"/>
          <w:sz w:val="32"/>
          <w:szCs w:val="32"/>
          <w:highlight w:val="none"/>
          <w:lang w:val="en-US" w:eastAsia="zh-CN" w:bidi="zh-CN"/>
        </w:rPr>
        <w:t>，现已审理终结。</w:t>
      </w:r>
    </w:p>
    <w:p w14:paraId="0EC7C65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请求撤销洛公涧西（巡特）行罚决字</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2086</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行政处罚决定书</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对申请人的处罚。</w:t>
      </w:r>
    </w:p>
    <w:p w14:paraId="6C09383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highlight w:val="none"/>
          <w:lang w:val="en-US" w:eastAsia="zh-CN" w:bidi="zh-CN"/>
        </w:rPr>
        <w:t>申请人严某户籍所在地上海，今年72岁，行动不便，是残疾人有残疾证。2023年10月6日下午1点多在广州市场润峰地下车库，第三人高某车辆乱停乱放挡住申请人车辆出行，申请人打了3次挪车电话（114有记录），半小时以后第三人才过来还迟迟不肯挪车，来了有15分钟还是不挪车，第三人还说：“我是干部就是不挪”。申请人说：“不要挡道”，后来又说了2遍。申请人没有骂人，第三人就打人，用钥匙戳申请人的脸，戳的申请人满脸是血，有照片可以证明，第三人还把申请人打倒在地，有监控录像可以证明。申请人老婆就打110报警。第三人高某无故殴打残疾老人，第三人说要赔申请人500元不追究他打人行为，求得申请人谅解。警察2次调解申请人不同意谅解，要求警察依法依规处理第三人打人行为。警察说这是小的行政案件当天晚上就可以处理，等到晚上11点说让申请人回去等处理结果，55天后通知申请人去执法办案中心，到后滞留申请人8个小时，申请人无过错为什么要滞留申请人8小时，申请人觉得行政处罚书处罚不公，不接受。第三人高某殴打残疾老人，申请人又受伤，申请人又没打他，有什么理由处罚申请人300元，申请人提起行政复议，要求撤销对申请人的处罚，还申请人公道。</w:t>
      </w:r>
    </w:p>
    <w:p w14:paraId="6325F57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eastAsia" w:ascii="Times New Roman" w:hAnsi="Times New Roman" w:eastAsia="仿宋_GB2312" w:cs="Times New Roman"/>
          <w:color w:val="auto"/>
          <w:sz w:val="32"/>
          <w:szCs w:val="32"/>
          <w:highlight w:val="none"/>
          <w:lang w:val="en-US" w:eastAsia="zh-CN" w:bidi="zh-CN"/>
        </w:rPr>
        <w:t>2023年10月6日13时许，在涧西区润峰广场停车场内，高某和严某因停车纠纷发生冲突，造成二人不同程度受伤。被申请人于当日依法受理该案，由于二人系停车纠纷引起的冲突，属于治安管理处罚法可调解范围，民警依法组织双方当事人进行调解，两次调解均未化解矛盾，严某强烈要求公安机关进行处罚，2023年12月2日，被申请人依据《中华人民共和国治安管理处罚法》第四十三条第一款、第十九条之规定，对高某进行罚款500元，严某进行罚款300元。上述事实有当事人陈述、证人证言、视频监控、伤情照片、诊断证明等证据为证。被申请人在办理该案过程中，认定事实清楚，证据确实、充分，适用法律、法规正确，处罚措施适当，请求维持被申请人对严某的行政处罚决定。</w:t>
      </w:r>
    </w:p>
    <w:p w14:paraId="5E2FC4BC">
      <w:pPr>
        <w:pStyle w:val="2"/>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第三人称：</w:t>
      </w:r>
      <w:r>
        <w:rPr>
          <w:rFonts w:hint="default" w:ascii="Times New Roman" w:hAnsi="Times New Roman" w:eastAsia="仿宋_GB2312" w:cs="Times New Roman"/>
          <w:color w:val="auto"/>
          <w:sz w:val="32"/>
          <w:szCs w:val="32"/>
          <w:highlight w:val="none"/>
          <w:lang w:val="en-US" w:eastAsia="zh-CN" w:bidi="zh-CN"/>
        </w:rPr>
        <w:t>2023</w:t>
      </w:r>
      <w:r>
        <w:rPr>
          <w:rFonts w:hint="eastAsia" w:ascii="Times New Roman" w:hAnsi="Times New Roman" w:eastAsia="仿宋_GB2312" w:cs="Times New Roman"/>
          <w:color w:val="auto"/>
          <w:sz w:val="32"/>
          <w:szCs w:val="32"/>
          <w:highlight w:val="none"/>
          <w:lang w:val="en-US" w:eastAsia="zh-CN" w:bidi="zh-CN"/>
        </w:rPr>
        <w:t>年10</w:t>
      </w:r>
      <w:r>
        <w:rPr>
          <w:rFonts w:hint="default" w:ascii="Times New Roman" w:hAnsi="Times New Roman" w:eastAsia="仿宋_GB2312" w:cs="Times New Roman"/>
          <w:color w:val="auto"/>
          <w:sz w:val="32"/>
          <w:szCs w:val="32"/>
          <w:highlight w:val="none"/>
          <w:lang w:val="en-US" w:eastAsia="zh-CN" w:bidi="zh-CN"/>
        </w:rPr>
        <w:t>月6日</w:t>
      </w:r>
      <w:r>
        <w:rPr>
          <w:rFonts w:hint="eastAsia" w:ascii="Times New Roman" w:hAnsi="Times New Roman" w:eastAsia="仿宋_GB2312" w:cs="Times New Roman"/>
          <w:color w:val="auto"/>
          <w:sz w:val="32"/>
          <w:szCs w:val="32"/>
          <w:highlight w:val="none"/>
          <w:lang w:val="en-US" w:eastAsia="zh-CN" w:bidi="zh-CN"/>
        </w:rPr>
        <w:t>下午</w:t>
      </w:r>
      <w:r>
        <w:rPr>
          <w:rFonts w:hint="default" w:ascii="Times New Roman" w:hAnsi="Times New Roman" w:eastAsia="仿宋_GB2312" w:cs="Times New Roman"/>
          <w:color w:val="auto"/>
          <w:sz w:val="32"/>
          <w:szCs w:val="32"/>
          <w:highlight w:val="none"/>
          <w:lang w:val="en-US" w:eastAsia="zh-CN" w:bidi="zh-CN"/>
        </w:rPr>
        <w:t>12</w:t>
      </w:r>
      <w:r>
        <w:rPr>
          <w:rFonts w:hint="eastAsia" w:ascii="Times New Roman" w:hAnsi="Times New Roman" w:eastAsia="仿宋_GB2312" w:cs="Times New Roman"/>
          <w:color w:val="auto"/>
          <w:sz w:val="32"/>
          <w:szCs w:val="32"/>
          <w:highlight w:val="none"/>
          <w:lang w:val="en-US" w:eastAsia="zh-CN" w:bidi="zh-CN"/>
        </w:rPr>
        <w:t>时20分左右，第三人驾车</w:t>
      </w:r>
      <w:r>
        <w:rPr>
          <w:rFonts w:hint="default" w:ascii="Times New Roman" w:hAnsi="Times New Roman" w:eastAsia="仿宋_GB2312" w:cs="Times New Roman"/>
          <w:color w:val="auto"/>
          <w:sz w:val="32"/>
          <w:szCs w:val="32"/>
          <w:highlight w:val="none"/>
          <w:lang w:val="en-US" w:eastAsia="zh-CN" w:bidi="zh-CN"/>
        </w:rPr>
        <w:t>进入</w:t>
      </w:r>
      <w:r>
        <w:rPr>
          <w:rFonts w:hint="eastAsia" w:ascii="Times New Roman" w:hAnsi="Times New Roman" w:eastAsia="仿宋_GB2312" w:cs="Times New Roman"/>
          <w:color w:val="auto"/>
          <w:sz w:val="32"/>
          <w:szCs w:val="32"/>
          <w:highlight w:val="none"/>
          <w:lang w:val="en-US" w:eastAsia="zh-CN" w:bidi="zh-CN"/>
        </w:rPr>
        <w:t>润峰广场</w:t>
      </w:r>
      <w:r>
        <w:rPr>
          <w:rFonts w:hint="default" w:ascii="Times New Roman" w:hAnsi="Times New Roman" w:eastAsia="仿宋_GB2312" w:cs="Times New Roman"/>
          <w:color w:val="auto"/>
          <w:sz w:val="32"/>
          <w:szCs w:val="32"/>
          <w:highlight w:val="none"/>
          <w:lang w:val="en-US" w:eastAsia="zh-CN" w:bidi="zh-CN"/>
        </w:rPr>
        <w:t>地下停车场</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后面跟进一辆</w:t>
      </w:r>
      <w:r>
        <w:rPr>
          <w:rFonts w:hint="eastAsia" w:ascii="Times New Roman" w:hAnsi="Times New Roman" w:eastAsia="仿宋_GB2312" w:cs="Times New Roman"/>
          <w:color w:val="auto"/>
          <w:sz w:val="32"/>
          <w:szCs w:val="32"/>
          <w:highlight w:val="none"/>
          <w:lang w:val="en-US" w:eastAsia="zh-CN" w:bidi="zh-CN"/>
        </w:rPr>
        <w:t>汽车先第三人</w:t>
      </w:r>
      <w:r>
        <w:rPr>
          <w:rFonts w:hint="default" w:ascii="Times New Roman" w:hAnsi="Times New Roman" w:eastAsia="仿宋_GB2312" w:cs="Times New Roman"/>
          <w:color w:val="auto"/>
          <w:sz w:val="32"/>
          <w:szCs w:val="32"/>
          <w:highlight w:val="none"/>
          <w:lang w:val="en-US" w:eastAsia="zh-CN" w:bidi="zh-CN"/>
        </w:rPr>
        <w:t>进入到已空</w:t>
      </w:r>
      <w:r>
        <w:rPr>
          <w:rFonts w:hint="eastAsia" w:ascii="Times New Roman" w:hAnsi="Times New Roman" w:eastAsia="仿宋_GB2312" w:cs="Times New Roman"/>
          <w:color w:val="auto"/>
          <w:sz w:val="32"/>
          <w:szCs w:val="32"/>
          <w:highlight w:val="none"/>
          <w:lang w:val="en-US" w:eastAsia="zh-CN" w:bidi="zh-CN"/>
        </w:rPr>
        <w:t>出</w:t>
      </w:r>
      <w:r>
        <w:rPr>
          <w:rFonts w:hint="default" w:ascii="Times New Roman" w:hAnsi="Times New Roman" w:eastAsia="仿宋_GB2312" w:cs="Times New Roman"/>
          <w:color w:val="auto"/>
          <w:sz w:val="32"/>
          <w:szCs w:val="32"/>
          <w:highlight w:val="none"/>
          <w:lang w:val="en-US" w:eastAsia="zh-CN" w:bidi="zh-CN"/>
        </w:rPr>
        <w:t>的两个停车</w:t>
      </w:r>
      <w:r>
        <w:rPr>
          <w:rFonts w:hint="eastAsia" w:ascii="Times New Roman" w:hAnsi="Times New Roman" w:eastAsia="仿宋_GB2312" w:cs="Times New Roman"/>
          <w:color w:val="auto"/>
          <w:sz w:val="32"/>
          <w:szCs w:val="32"/>
          <w:highlight w:val="none"/>
          <w:lang w:val="en-US" w:eastAsia="zh-CN" w:bidi="zh-CN"/>
        </w:rPr>
        <w:t>位。</w:t>
      </w:r>
      <w:r>
        <w:rPr>
          <w:rFonts w:hint="default" w:ascii="Times New Roman" w:hAnsi="Times New Roman" w:eastAsia="仿宋_GB2312" w:cs="Times New Roman"/>
          <w:color w:val="auto"/>
          <w:sz w:val="32"/>
          <w:szCs w:val="32"/>
          <w:highlight w:val="none"/>
          <w:lang w:val="en-US" w:eastAsia="zh-CN" w:bidi="zh-CN"/>
        </w:rPr>
        <w:t>但该车没停到停车位而是横停在两个车位前，</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的车停不</w:t>
      </w:r>
      <w:r>
        <w:rPr>
          <w:rFonts w:hint="eastAsia" w:ascii="Times New Roman" w:hAnsi="Times New Roman" w:eastAsia="仿宋_GB2312" w:cs="Times New Roman"/>
          <w:color w:val="auto"/>
          <w:sz w:val="32"/>
          <w:szCs w:val="32"/>
          <w:highlight w:val="none"/>
          <w:lang w:val="en-US" w:eastAsia="zh-CN" w:bidi="zh-CN"/>
        </w:rPr>
        <w:t>到车位上，</w:t>
      </w:r>
      <w:r>
        <w:rPr>
          <w:rFonts w:hint="default" w:ascii="Times New Roman" w:hAnsi="Times New Roman" w:eastAsia="仿宋_GB2312" w:cs="Times New Roman"/>
          <w:color w:val="auto"/>
          <w:sz w:val="32"/>
          <w:szCs w:val="32"/>
          <w:highlight w:val="none"/>
          <w:lang w:val="en-US" w:eastAsia="zh-CN" w:bidi="zh-CN"/>
        </w:rPr>
        <w:t>只好</w:t>
      </w:r>
      <w:r>
        <w:rPr>
          <w:rFonts w:hint="eastAsia" w:ascii="Times New Roman" w:hAnsi="Times New Roman" w:eastAsia="仿宋_GB2312" w:cs="Times New Roman"/>
          <w:color w:val="auto"/>
          <w:sz w:val="32"/>
          <w:szCs w:val="32"/>
          <w:highlight w:val="none"/>
          <w:lang w:val="en-US" w:eastAsia="zh-CN" w:bidi="zh-CN"/>
        </w:rPr>
        <w:t>并排</w:t>
      </w:r>
      <w:r>
        <w:rPr>
          <w:rFonts w:hint="default" w:ascii="Times New Roman" w:hAnsi="Times New Roman" w:eastAsia="仿宋_GB2312" w:cs="Times New Roman"/>
          <w:color w:val="auto"/>
          <w:sz w:val="32"/>
          <w:szCs w:val="32"/>
          <w:highlight w:val="none"/>
          <w:lang w:val="en-US" w:eastAsia="zh-CN" w:bidi="zh-CN"/>
        </w:rPr>
        <w:t>停在该车右侧</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然后</w:t>
      </w:r>
      <w:r>
        <w:rPr>
          <w:rFonts w:hint="eastAsia" w:ascii="Times New Roman" w:hAnsi="Times New Roman" w:eastAsia="仿宋_GB2312" w:cs="Times New Roman"/>
          <w:color w:val="auto"/>
          <w:sz w:val="32"/>
          <w:szCs w:val="32"/>
          <w:highlight w:val="none"/>
          <w:lang w:val="en-US" w:eastAsia="zh-CN" w:bidi="zh-CN"/>
        </w:rPr>
        <w:t>上楼吃午饭</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下午1点</w:t>
      </w:r>
      <w:bookmarkStart w:id="0" w:name="_GoBack"/>
      <w:bookmarkEnd w:id="0"/>
      <w:r>
        <w:rPr>
          <w:rFonts w:hint="default" w:ascii="Times New Roman" w:hAnsi="Times New Roman" w:eastAsia="仿宋_GB2312" w:cs="Times New Roman"/>
          <w:color w:val="auto"/>
          <w:sz w:val="32"/>
          <w:szCs w:val="32"/>
          <w:highlight w:val="none"/>
          <w:lang w:val="en-US" w:eastAsia="zh-CN" w:bidi="zh-CN"/>
        </w:rPr>
        <w:t>53分</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接</w:t>
      </w:r>
      <w:r>
        <w:rPr>
          <w:rFonts w:hint="eastAsia" w:ascii="Times New Roman" w:hAnsi="Times New Roman" w:eastAsia="仿宋_GB2312" w:cs="Times New Roman"/>
          <w:color w:val="auto"/>
          <w:sz w:val="32"/>
          <w:szCs w:val="32"/>
          <w:highlight w:val="none"/>
          <w:lang w:val="en-US" w:eastAsia="zh-CN" w:bidi="zh-CN"/>
        </w:rPr>
        <w:t>到1</w:t>
      </w:r>
      <w:r>
        <w:rPr>
          <w:rFonts w:hint="default" w:ascii="Times New Roman" w:hAnsi="Times New Roman" w:eastAsia="仿宋_GB2312" w:cs="Times New Roman"/>
          <w:color w:val="auto"/>
          <w:sz w:val="32"/>
          <w:szCs w:val="32"/>
          <w:highlight w:val="none"/>
          <w:lang w:val="en-US" w:eastAsia="zh-CN" w:bidi="zh-CN"/>
        </w:rPr>
        <w:t>14打给</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的挪车电话</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不到</w:t>
      </w:r>
      <w:r>
        <w:rPr>
          <w:rFonts w:hint="eastAsia" w:ascii="Times New Roman" w:hAnsi="Times New Roman" w:eastAsia="仿宋_GB2312" w:cs="Times New Roman"/>
          <w:color w:val="auto"/>
          <w:sz w:val="32"/>
          <w:szCs w:val="32"/>
          <w:highlight w:val="none"/>
          <w:lang w:val="en-US" w:eastAsia="zh-CN" w:bidi="zh-CN"/>
        </w:rPr>
        <w:t>三分钟</w:t>
      </w:r>
      <w:r>
        <w:rPr>
          <w:rFonts w:hint="default" w:ascii="Times New Roman" w:hAnsi="Times New Roman" w:eastAsia="仿宋_GB2312" w:cs="Times New Roman"/>
          <w:color w:val="auto"/>
          <w:sz w:val="32"/>
          <w:szCs w:val="32"/>
          <w:highlight w:val="none"/>
          <w:lang w:val="en-US" w:eastAsia="zh-CN" w:bidi="zh-CN"/>
        </w:rPr>
        <w:t>赶到现场</w:t>
      </w:r>
      <w:r>
        <w:rPr>
          <w:rFonts w:hint="eastAsia" w:ascii="Times New Roman" w:hAnsi="Times New Roman" w:eastAsia="仿宋_GB2312" w:cs="Times New Roman"/>
          <w:color w:val="auto"/>
          <w:sz w:val="32"/>
          <w:szCs w:val="32"/>
          <w:highlight w:val="none"/>
          <w:lang w:val="en-US" w:eastAsia="zh-CN" w:bidi="zh-CN"/>
        </w:rPr>
        <w:t>，见到一个满脸通红的人，站在第三人车前对第三人吼道：“你为什么把车停到这？”第三人忙说对不起后解释原因，申请人认为第三人是骗他，根本听不进去。这时第三人赶紧拿出钥匙准备开车门，申请人拦在第三人车旁骂道“好狗不挡路”，连说三遍。第三人说道：“你怎么骂人呢？”申请人说：“我不光骂你，还要打你呢。”申请人边说边左右开弓，打了第三人两拳，左胸左脸各中一拳，紧接着第三拳打过来，第三人用右臂挡申请人一下，因手中拿了一把准备开车的钥匙，无意划到申请人脸鼻部。钥匙也掉在地上，第三人去捡钥匙，申请人过来踢第三人，第三人赶紧后退，申请人踢空摔在地上后迅速起身追着打第三人，第三人边跑边警告申请人“我要报警”，接着第三人打了110报警，时间是14点整，有手机记录为证。第三人答辩意见如下：申请人严某不讲实话，从第三人接到挪车电话到事发第三人打110报警一共7分钟。申请人严某辱骂第三人“好狗不挡路”三遍却不敢承认。第三人是退休七年的政法工作者，对外从不会说自己是干部，申请人严某说“他还说我是干部，就是不挪”，完全是在说谎，给他打人编造理由。申请人严某打人后还扬言“我懂法，70岁以上打人违法不追责”。申请人严某骂第三人、打第三人是事实，第三人用手臂挡他是正当防卫。为防止事态发展，第三人第一时间报警，第三人应当是受害人。</w:t>
      </w:r>
    </w:p>
    <w:p w14:paraId="1985B1C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i w:val="0"/>
          <w:iCs w:val="0"/>
          <w:caps w:val="0"/>
          <w:color w:val="000000"/>
          <w:spacing w:val="0"/>
          <w:sz w:val="32"/>
          <w:szCs w:val="32"/>
          <w:highlight w:val="none"/>
          <w:lang w:val="en-US" w:eastAsia="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eastAsia" w:ascii="Times New Roman" w:hAnsi="Times New Roman" w:eastAsia="仿宋_GB2312" w:cs="Times New Roman"/>
          <w:i w:val="0"/>
          <w:iCs w:val="0"/>
          <w:caps w:val="0"/>
          <w:color w:val="000000"/>
          <w:spacing w:val="0"/>
          <w:sz w:val="32"/>
          <w:szCs w:val="32"/>
          <w:highlight w:val="none"/>
          <w:lang w:val="en-US" w:eastAsia="zh-CN"/>
        </w:rPr>
        <w:t>2023年10月6日13时许，申请人严某及妻子郭某去涧西区润峰广场地下停车场开车时，发现车辆被第三人高某的车辆挡住，无法正常开出。于是拨打114挪车电话。第三人高某接挪车电话后到地下停车场。第三人高某到场后与申请人在沟通过程中发生冲突，造成申请人及第三人均有不同程度受伤。</w:t>
      </w:r>
    </w:p>
    <w:p w14:paraId="11E4E10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lightGray"/>
          <w:lang w:val="en-US" w:eastAsia="zh-CN"/>
        </w:rPr>
      </w:pPr>
      <w:r>
        <w:rPr>
          <w:rFonts w:hint="eastAsia" w:ascii="Times New Roman" w:hAnsi="Times New Roman" w:eastAsia="仿宋_GB2312" w:cs="Times New Roman"/>
          <w:i w:val="0"/>
          <w:iCs w:val="0"/>
          <w:caps w:val="0"/>
          <w:color w:val="000000"/>
          <w:spacing w:val="0"/>
          <w:sz w:val="32"/>
          <w:szCs w:val="32"/>
          <w:highlight w:val="none"/>
          <w:lang w:val="en-US" w:eastAsia="zh-CN"/>
        </w:rPr>
        <w:t>2023年10月6日，申请人严某妻子郭某及第三人高某报警。2023年10月7日，被申请人受理此案，案件名称为“2023.10.06洛阳市涧西区高某被故意伤害案”。</w:t>
      </w: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日，</w:t>
      </w:r>
      <w:r>
        <w:rPr>
          <w:rFonts w:hint="default" w:ascii="Times New Roman" w:hAnsi="Times New Roman" w:eastAsia="仿宋_GB2312" w:cs="Times New Roman"/>
          <w:i w:val="0"/>
          <w:iCs w:val="0"/>
          <w:caps w:val="0"/>
          <w:color w:val="000000"/>
          <w:spacing w:val="0"/>
          <w:sz w:val="32"/>
          <w:szCs w:val="32"/>
          <w:highlight w:val="none"/>
        </w:rPr>
        <w:t>被申请人依法延长该案的办案期限30日</w:t>
      </w:r>
      <w:r>
        <w:rPr>
          <w:rFonts w:hint="default" w:ascii="Times New Roman" w:hAnsi="Times New Roman" w:eastAsia="仿宋_GB2312" w:cs="Times New Roman"/>
          <w:i w:val="0"/>
          <w:iCs w:val="0"/>
          <w:caps w:val="0"/>
          <w:color w:val="000000"/>
          <w:spacing w:val="0"/>
          <w:sz w:val="32"/>
          <w:szCs w:val="32"/>
          <w:highlight w:val="none"/>
          <w:lang w:eastAsia="zh-CN"/>
        </w:rPr>
        <w:t>。</w:t>
      </w:r>
      <w:r>
        <w:rPr>
          <w:rFonts w:hint="eastAsia" w:ascii="Times New Roman" w:hAnsi="Times New Roman" w:eastAsia="仿宋_GB2312" w:cs="Times New Roman"/>
          <w:i w:val="0"/>
          <w:iCs w:val="0"/>
          <w:caps w:val="0"/>
          <w:color w:val="000000"/>
          <w:spacing w:val="0"/>
          <w:sz w:val="32"/>
          <w:szCs w:val="32"/>
          <w:highlight w:val="none"/>
          <w:lang w:val="en-US" w:eastAsia="zh-CN"/>
        </w:rPr>
        <w:t>2023年12月1日，被申请人依法对申请人严某、第三人高某进行传唤。案件办理过程中，被申请人依法对申请人严某、第三人高某、证人郭苗苗等人进行询问，并依法调取了现场监控。</w:t>
      </w:r>
    </w:p>
    <w:p w14:paraId="7C77447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日，</w:t>
      </w:r>
      <w:r>
        <w:rPr>
          <w:rFonts w:hint="default" w:ascii="Times New Roman" w:hAnsi="Times New Roman" w:eastAsia="仿宋_GB2312" w:cs="Times New Roman"/>
          <w:i w:val="0"/>
          <w:iCs w:val="0"/>
          <w:caps w:val="0"/>
          <w:color w:val="000000"/>
          <w:spacing w:val="0"/>
          <w:sz w:val="32"/>
          <w:szCs w:val="32"/>
          <w:highlight w:val="none"/>
        </w:rPr>
        <w:t>基于案情调查情况，被申请人对</w:t>
      </w:r>
      <w:r>
        <w:rPr>
          <w:rFonts w:hint="eastAsia" w:ascii="Times New Roman" w:hAnsi="Times New Roman" w:eastAsia="仿宋_GB2312" w:cs="Times New Roman"/>
          <w:i w:val="0"/>
          <w:iCs w:val="0"/>
          <w:caps w:val="0"/>
          <w:color w:val="000000"/>
          <w:spacing w:val="0"/>
          <w:sz w:val="32"/>
          <w:szCs w:val="32"/>
          <w:highlight w:val="none"/>
          <w:lang w:val="en-US" w:eastAsia="zh-CN"/>
        </w:rPr>
        <w:t>申请人严某、第三人高某</w:t>
      </w:r>
      <w:r>
        <w:rPr>
          <w:rFonts w:hint="default" w:ascii="Times New Roman" w:hAnsi="Times New Roman" w:eastAsia="仿宋_GB2312" w:cs="Times New Roman"/>
          <w:i w:val="0"/>
          <w:iCs w:val="0"/>
          <w:caps w:val="0"/>
          <w:color w:val="000000"/>
          <w:spacing w:val="0"/>
          <w:sz w:val="32"/>
          <w:szCs w:val="32"/>
          <w:highlight w:val="none"/>
        </w:rPr>
        <w:t>履行了</w:t>
      </w:r>
      <w:r>
        <w:rPr>
          <w:rFonts w:hint="eastAsia" w:ascii="Times New Roman" w:hAnsi="Times New Roman" w:eastAsia="仿宋_GB2312" w:cs="Times New Roman"/>
          <w:i w:val="0"/>
          <w:iCs w:val="0"/>
          <w:caps w:val="0"/>
          <w:color w:val="000000"/>
          <w:spacing w:val="0"/>
          <w:sz w:val="32"/>
          <w:szCs w:val="32"/>
          <w:highlight w:val="none"/>
          <w:lang w:val="en-US" w:eastAsia="zh-CN"/>
        </w:rPr>
        <w:t>处罚前</w:t>
      </w:r>
      <w:r>
        <w:rPr>
          <w:rFonts w:hint="default" w:ascii="Times New Roman" w:hAnsi="Times New Roman" w:eastAsia="仿宋_GB2312" w:cs="Times New Roman"/>
          <w:i w:val="0"/>
          <w:iCs w:val="0"/>
          <w:caps w:val="0"/>
          <w:color w:val="000000"/>
          <w:spacing w:val="0"/>
          <w:sz w:val="32"/>
          <w:szCs w:val="32"/>
          <w:highlight w:val="none"/>
        </w:rPr>
        <w:t>告知程序</w:t>
      </w:r>
      <w:r>
        <w:rPr>
          <w:rFonts w:hint="eastAsia" w:ascii="Times New Roman" w:hAnsi="Times New Roman" w:eastAsia="仿宋_GB2312" w:cs="Times New Roman"/>
          <w:i w:val="0"/>
          <w:iCs w:val="0"/>
          <w:caps w:val="0"/>
          <w:color w:val="000000"/>
          <w:spacing w:val="0"/>
          <w:sz w:val="32"/>
          <w:szCs w:val="32"/>
          <w:highlight w:val="none"/>
          <w:lang w:eastAsia="zh-CN"/>
        </w:rPr>
        <w:t>，</w:t>
      </w:r>
      <w:r>
        <w:rPr>
          <w:rFonts w:hint="eastAsia" w:ascii="Times New Roman" w:hAnsi="Times New Roman" w:eastAsia="仿宋_GB2312" w:cs="Times New Roman"/>
          <w:i w:val="0"/>
          <w:iCs w:val="0"/>
          <w:caps w:val="0"/>
          <w:color w:val="000000"/>
          <w:spacing w:val="0"/>
          <w:sz w:val="32"/>
          <w:szCs w:val="32"/>
          <w:highlight w:val="none"/>
          <w:lang w:val="en-US" w:eastAsia="zh-CN"/>
        </w:rPr>
        <w:t>并对申请人严某的申辩进行复核。</w:t>
      </w: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val="en-US" w:eastAsia="zh-CN" w:bidi="zh-CN"/>
        </w:rPr>
        <w:t>日，被申请人根据《中华人民共和国治安管理处罚法》第四十</w:t>
      </w:r>
      <w:r>
        <w:rPr>
          <w:rFonts w:hint="eastAsia" w:ascii="Times New Roman" w:hAnsi="Times New Roman" w:eastAsia="仿宋_GB2312" w:cs="Times New Roman"/>
          <w:color w:val="auto"/>
          <w:sz w:val="32"/>
          <w:szCs w:val="32"/>
          <w:highlight w:val="none"/>
          <w:lang w:val="en-US" w:eastAsia="zh-CN" w:bidi="zh-CN"/>
        </w:rPr>
        <w:t>三</w:t>
      </w:r>
      <w:r>
        <w:rPr>
          <w:rFonts w:hint="default" w:ascii="Times New Roman" w:hAnsi="Times New Roman" w:eastAsia="仿宋_GB2312" w:cs="Times New Roman"/>
          <w:color w:val="auto"/>
          <w:sz w:val="32"/>
          <w:szCs w:val="32"/>
          <w:highlight w:val="none"/>
          <w:lang w:val="en-US" w:eastAsia="zh-CN" w:bidi="zh-CN"/>
        </w:rPr>
        <w:t>条</w:t>
      </w:r>
      <w:r>
        <w:rPr>
          <w:rFonts w:hint="eastAsia" w:ascii="Times New Roman" w:hAnsi="Times New Roman" w:eastAsia="仿宋_GB2312" w:cs="Times New Roman"/>
          <w:color w:val="auto"/>
          <w:sz w:val="32"/>
          <w:szCs w:val="32"/>
          <w:highlight w:val="none"/>
          <w:lang w:val="en-US" w:eastAsia="zh-CN" w:bidi="zh-CN"/>
        </w:rPr>
        <w:t>第一款、第十九条</w:t>
      </w:r>
      <w:r>
        <w:rPr>
          <w:rFonts w:hint="default" w:ascii="Times New Roman" w:hAnsi="Times New Roman" w:eastAsia="仿宋_GB2312" w:cs="Times New Roman"/>
          <w:color w:val="auto"/>
          <w:sz w:val="32"/>
          <w:szCs w:val="32"/>
          <w:highlight w:val="none"/>
          <w:lang w:val="en-US" w:eastAsia="zh-CN" w:bidi="zh-CN"/>
        </w:rPr>
        <w:t>之规定，作出洛公涧西（</w:t>
      </w:r>
      <w:r>
        <w:rPr>
          <w:rFonts w:hint="eastAsia" w:ascii="Times New Roman" w:hAnsi="Times New Roman" w:eastAsia="仿宋_GB2312" w:cs="Times New Roman"/>
          <w:color w:val="auto"/>
          <w:sz w:val="32"/>
          <w:szCs w:val="32"/>
          <w:highlight w:val="none"/>
          <w:lang w:val="en-US" w:eastAsia="zh-CN" w:bidi="zh-CN"/>
        </w:rPr>
        <w:t>巡特</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行罚决字</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2086</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行政处罚决定书</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，决定对申请人严某以殴打他人罚款叁佰元。</w:t>
      </w: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日</w:t>
      </w:r>
      <w:r>
        <w:rPr>
          <w:rFonts w:hint="eastAsia" w:ascii="Times New Roman" w:hAnsi="Times New Roman" w:eastAsia="仿宋_GB2312" w:cs="Times New Roman"/>
          <w:color w:val="auto"/>
          <w:sz w:val="32"/>
          <w:szCs w:val="32"/>
          <w:highlight w:val="none"/>
          <w:lang w:val="en-US" w:eastAsia="zh-CN" w:bidi="zh-CN"/>
        </w:rPr>
        <w:t>，被申请人向申请人严某及第三人高某送达处罚决定。</w:t>
      </w:r>
    </w:p>
    <w:p w14:paraId="0FF4D7C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受案登记表；2.受案回执；3.报案材料；4.</w:t>
      </w:r>
      <w:r>
        <w:rPr>
          <w:rFonts w:hint="eastAsia" w:ascii="Times New Roman" w:hAnsi="Times New Roman" w:eastAsia="仿宋_GB2312" w:cs="Times New Roman"/>
          <w:color w:val="auto"/>
          <w:sz w:val="32"/>
          <w:szCs w:val="32"/>
          <w:highlight w:val="none"/>
          <w:lang w:val="en-US" w:eastAsia="zh-CN" w:bidi="zh-CN"/>
        </w:rPr>
        <w:t>询问</w:t>
      </w:r>
      <w:r>
        <w:rPr>
          <w:rFonts w:hint="default" w:ascii="Times New Roman" w:hAnsi="Times New Roman" w:eastAsia="仿宋_GB2312" w:cs="Times New Roman"/>
          <w:color w:val="auto"/>
          <w:sz w:val="32"/>
          <w:szCs w:val="32"/>
          <w:highlight w:val="none"/>
          <w:lang w:val="en-US" w:eastAsia="zh-CN" w:bidi="zh-CN"/>
        </w:rPr>
        <w:t>笔录</w:t>
      </w:r>
      <w:r>
        <w:rPr>
          <w:rFonts w:hint="eastAsia"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i w:val="0"/>
          <w:iCs w:val="0"/>
          <w:caps w:val="0"/>
          <w:color w:val="000000"/>
          <w:spacing w:val="0"/>
          <w:sz w:val="32"/>
          <w:szCs w:val="32"/>
          <w:highlight w:val="none"/>
          <w:lang w:val="en-US" w:eastAsia="zh-CN"/>
        </w:rPr>
        <w:t>严某、高某、郭某</w:t>
      </w:r>
      <w:r>
        <w:rPr>
          <w:rFonts w:hint="eastAsia" w:ascii="Times New Roman" w:hAnsi="Times New Roman" w:eastAsia="仿宋_GB2312" w:cs="Times New Roman"/>
          <w:color w:val="auto"/>
          <w:sz w:val="32"/>
          <w:szCs w:val="32"/>
          <w:highlight w:val="none"/>
          <w:lang w:val="en-US" w:eastAsia="zh-CN" w:bidi="zh-CN"/>
        </w:rPr>
        <w:t>）；5.到案经过；6.放弃鉴定确认书；7.严某伤情照片；8.高某伤情照片；9.视频监控；10.监控情况说明及监控截图6张；11.</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巡特</w:t>
      </w:r>
      <w:r>
        <w:rPr>
          <w:rFonts w:hint="default" w:ascii="Times New Roman" w:hAnsi="Times New Roman" w:eastAsia="仿宋_GB2312" w:cs="Times New Roman"/>
          <w:color w:val="auto"/>
          <w:sz w:val="32"/>
          <w:szCs w:val="32"/>
          <w:highlight w:val="none"/>
          <w:lang w:val="en-US" w:eastAsia="zh-CN" w:bidi="zh-CN"/>
        </w:rPr>
        <w:t>）行传字〔2023〕</w:t>
      </w:r>
      <w:r>
        <w:rPr>
          <w:rFonts w:hint="eastAsia" w:ascii="Times New Roman" w:hAnsi="Times New Roman" w:eastAsia="仿宋_GB2312" w:cs="Times New Roman"/>
          <w:color w:val="auto"/>
          <w:sz w:val="32"/>
          <w:szCs w:val="32"/>
          <w:highlight w:val="none"/>
          <w:lang w:val="en-US" w:eastAsia="zh-CN" w:bidi="zh-CN"/>
        </w:rPr>
        <w:t>1031</w:t>
      </w:r>
      <w:r>
        <w:rPr>
          <w:rFonts w:hint="default" w:ascii="Times New Roman" w:hAnsi="Times New Roman" w:eastAsia="仿宋_GB2312" w:cs="Times New Roman"/>
          <w:color w:val="auto"/>
          <w:sz w:val="32"/>
          <w:szCs w:val="32"/>
          <w:highlight w:val="none"/>
          <w:lang w:val="en-US" w:eastAsia="zh-CN" w:bidi="zh-CN"/>
        </w:rPr>
        <w:t>号传唤证</w:t>
      </w:r>
      <w:r>
        <w:rPr>
          <w:rFonts w:hint="eastAsia" w:ascii="Times New Roman" w:hAnsi="Times New Roman"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巡特</w:t>
      </w:r>
      <w:r>
        <w:rPr>
          <w:rFonts w:hint="default" w:ascii="Times New Roman" w:hAnsi="Times New Roman" w:eastAsia="仿宋_GB2312" w:cs="Times New Roman"/>
          <w:color w:val="auto"/>
          <w:sz w:val="32"/>
          <w:szCs w:val="32"/>
          <w:highlight w:val="none"/>
          <w:lang w:val="en-US" w:eastAsia="zh-CN" w:bidi="zh-CN"/>
        </w:rPr>
        <w:t>）行传通字〔2023〕</w:t>
      </w:r>
      <w:r>
        <w:rPr>
          <w:rFonts w:hint="eastAsia" w:ascii="Times New Roman" w:hAnsi="Times New Roman" w:eastAsia="仿宋_GB2312" w:cs="Times New Roman"/>
          <w:color w:val="auto"/>
          <w:sz w:val="32"/>
          <w:szCs w:val="32"/>
          <w:highlight w:val="none"/>
          <w:lang w:val="en-US" w:eastAsia="zh-CN" w:bidi="zh-CN"/>
        </w:rPr>
        <w:t>1838</w:t>
      </w:r>
      <w:r>
        <w:rPr>
          <w:rFonts w:hint="default" w:ascii="Times New Roman" w:hAnsi="Times New Roman" w:eastAsia="仿宋_GB2312" w:cs="Times New Roman"/>
          <w:color w:val="auto"/>
          <w:sz w:val="32"/>
          <w:szCs w:val="32"/>
          <w:highlight w:val="none"/>
          <w:lang w:val="en-US" w:eastAsia="zh-CN" w:bidi="zh-CN"/>
        </w:rPr>
        <w:t>号被传唤人家属通知书</w:t>
      </w:r>
      <w:r>
        <w:rPr>
          <w:rFonts w:hint="eastAsia" w:ascii="Times New Roman" w:hAnsi="Times New Roman" w:eastAsia="仿宋_GB2312" w:cs="Times New Roman"/>
          <w:color w:val="auto"/>
          <w:sz w:val="32"/>
          <w:szCs w:val="32"/>
          <w:highlight w:val="none"/>
          <w:lang w:val="en-US" w:eastAsia="zh-CN" w:bidi="zh-CN"/>
        </w:rPr>
        <w:t>；13</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延长办案期限审批表</w:t>
      </w:r>
      <w:r>
        <w:rPr>
          <w:rFonts w:hint="default" w:ascii="Times New Roman" w:hAnsi="Times New Roman" w:eastAsia="仿宋_GB2312" w:cs="Times New Roman"/>
          <w:color w:val="auto"/>
          <w:sz w:val="32"/>
          <w:szCs w:val="32"/>
          <w:highlight w:val="none"/>
          <w:lang w:val="en-US" w:eastAsia="zh-CN" w:bidi="zh-CN"/>
        </w:rPr>
        <w:t>；1</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.行政处罚告知笔录</w:t>
      </w:r>
      <w:r>
        <w:rPr>
          <w:rFonts w:hint="eastAsia" w:ascii="Times New Roman" w:hAnsi="Times New Roman" w:eastAsia="仿宋_GB2312" w:cs="Times New Roman"/>
          <w:color w:val="auto"/>
          <w:sz w:val="32"/>
          <w:szCs w:val="32"/>
          <w:highlight w:val="none"/>
          <w:lang w:val="en-US" w:eastAsia="zh-CN" w:bidi="zh-CN"/>
        </w:rPr>
        <w:t>；15.复核笔录；16.</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巡特</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行罚决字</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2086</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；17.送达回执。</w:t>
      </w:r>
    </w:p>
    <w:p w14:paraId="3016A06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sz w:val="32"/>
          <w:szCs w:val="32"/>
          <w:highlight w:val="none"/>
          <w:lang w:val="en-US" w:eastAsia="zh-CN" w:bidi="zh-CN"/>
        </w:rPr>
        <w:t>被申请人具有作出</w:t>
      </w:r>
      <w:r>
        <w:rPr>
          <w:rFonts w:hint="eastAsia" w:ascii="Times New Roman" w:hAnsi="Times New Roman" w:eastAsia="仿宋_GB2312" w:cs="Times New Roman"/>
          <w:color w:val="auto"/>
          <w:sz w:val="32"/>
          <w:szCs w:val="32"/>
          <w:highlight w:val="none"/>
          <w:lang w:val="en-US" w:eastAsia="zh-CN" w:bidi="zh-CN"/>
        </w:rPr>
        <w:t>案涉行政处罚决定</w:t>
      </w:r>
      <w:r>
        <w:rPr>
          <w:rFonts w:hint="default" w:ascii="Times New Roman" w:hAnsi="Times New Roman" w:eastAsia="仿宋_GB2312" w:cs="Times New Roman"/>
          <w:color w:val="auto"/>
          <w:sz w:val="32"/>
          <w:szCs w:val="32"/>
          <w:highlight w:val="none"/>
          <w:lang w:val="en-US" w:eastAsia="zh-CN" w:bidi="zh-CN"/>
        </w:rPr>
        <w:t>的法定职权。根据《中华人民共和国治安管理处罚法》第十条及九十一条之规定，县级以上人民政府公安机关依法具有对辖区内违反治安管理的行为作出警告、罚款、行政拘留等治安管理处罚的职权，其中派出所可以决定警告、五百元以下的罚款。因此，本案中被申请人具有作出案涉行政处罚决定的法定职权。</w:t>
      </w:r>
    </w:p>
    <w:p w14:paraId="2534934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被申请人</w:t>
      </w:r>
      <w:r>
        <w:rPr>
          <w:rFonts w:hint="eastAsia" w:ascii="Times New Roman" w:hAnsi="Times New Roman" w:eastAsia="仿宋_GB2312" w:cs="Times New Roman"/>
          <w:color w:val="auto"/>
          <w:sz w:val="32"/>
          <w:szCs w:val="32"/>
          <w:highlight w:val="none"/>
          <w:lang w:val="en-US" w:eastAsia="zh-CN" w:bidi="zh-CN"/>
        </w:rPr>
        <w:t>作出的《行政处罚决定书》</w:t>
      </w:r>
      <w:r>
        <w:rPr>
          <w:rFonts w:hint="default" w:ascii="Times New Roman" w:hAnsi="Times New Roman" w:eastAsia="仿宋_GB2312" w:cs="Times New Roman"/>
          <w:color w:val="auto"/>
          <w:sz w:val="32"/>
          <w:szCs w:val="32"/>
          <w:highlight w:val="none"/>
          <w:lang w:val="en-US" w:eastAsia="zh-CN" w:bidi="zh-CN"/>
        </w:rPr>
        <w:t>认定事实清楚、证据确凿。被申请人接到报案后，办案民警分别对</w:t>
      </w:r>
      <w:r>
        <w:rPr>
          <w:rFonts w:hint="eastAsia" w:ascii="Times New Roman" w:hAnsi="Times New Roman" w:eastAsia="仿宋_GB2312" w:cs="Times New Roman"/>
          <w:color w:val="auto"/>
          <w:sz w:val="32"/>
          <w:szCs w:val="32"/>
          <w:highlight w:val="none"/>
          <w:lang w:val="en-US" w:eastAsia="zh-CN" w:bidi="zh-CN"/>
        </w:rPr>
        <w:t>严某、高某、郭苗苗</w:t>
      </w:r>
      <w:r>
        <w:rPr>
          <w:rFonts w:hint="default" w:ascii="Times New Roman" w:hAnsi="Times New Roman" w:eastAsia="仿宋_GB2312" w:cs="Times New Roman"/>
          <w:color w:val="auto"/>
          <w:sz w:val="32"/>
          <w:szCs w:val="32"/>
          <w:highlight w:val="none"/>
          <w:lang w:val="en-US" w:eastAsia="zh-CN" w:bidi="zh-CN"/>
        </w:rPr>
        <w:t>进行询问，</w:t>
      </w:r>
      <w:r>
        <w:rPr>
          <w:rFonts w:hint="eastAsia" w:ascii="Times New Roman" w:hAnsi="Times New Roman" w:eastAsia="仿宋_GB2312" w:cs="Times New Roman"/>
          <w:color w:val="auto"/>
          <w:sz w:val="32"/>
          <w:szCs w:val="32"/>
          <w:highlight w:val="none"/>
          <w:lang w:val="en-US" w:eastAsia="zh-CN" w:bidi="zh-CN"/>
        </w:rPr>
        <w:t>并及时调取案发现场视频监控，当事人陈述、证人证言、视频监控、伤情照片</w:t>
      </w:r>
      <w:r>
        <w:rPr>
          <w:rFonts w:hint="default" w:ascii="Times New Roman" w:hAnsi="Times New Roman" w:eastAsia="仿宋_GB2312" w:cs="Times New Roman"/>
          <w:color w:val="auto"/>
          <w:sz w:val="32"/>
          <w:szCs w:val="32"/>
          <w:highlight w:val="none"/>
          <w:lang w:val="en-US" w:eastAsia="zh-CN" w:bidi="zh-CN"/>
        </w:rPr>
        <w:t>等证据一致，</w:t>
      </w:r>
      <w:r>
        <w:rPr>
          <w:rFonts w:hint="default" w:ascii="Times New Roman" w:hAnsi="Times New Roman" w:eastAsia="仿宋_GB2312" w:cs="Times New Roman"/>
          <w:sz w:val="32"/>
          <w:szCs w:val="32"/>
          <w:highlight w:val="none"/>
          <w:lang w:val="en-US" w:eastAsia="zh-CN"/>
        </w:rPr>
        <w:t>被申请人</w:t>
      </w:r>
      <w:r>
        <w:rPr>
          <w:rFonts w:hint="eastAsia" w:ascii="Times New Roman" w:hAnsi="Times New Roman" w:eastAsia="仿宋_GB2312" w:cs="Times New Roman"/>
          <w:sz w:val="32"/>
          <w:szCs w:val="32"/>
          <w:highlight w:val="none"/>
          <w:lang w:val="en-US" w:eastAsia="zh-CN"/>
        </w:rPr>
        <w:t>对本案</w:t>
      </w:r>
      <w:r>
        <w:rPr>
          <w:rFonts w:hint="default" w:ascii="Times New Roman" w:hAnsi="Times New Roman" w:eastAsia="仿宋_GB2312" w:cs="Times New Roman"/>
          <w:sz w:val="32"/>
          <w:szCs w:val="32"/>
          <w:highlight w:val="none"/>
          <w:lang w:val="en-US" w:eastAsia="zh-CN"/>
        </w:rPr>
        <w:t>事实认定清楚。</w:t>
      </w:r>
    </w:p>
    <w:p w14:paraId="6632BE9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highlight w:val="lightGray"/>
        </w:rPr>
      </w:pPr>
      <w:r>
        <w:rPr>
          <w:rFonts w:hint="eastAsia" w:ascii="仿宋_GB2312" w:hAnsi="仿宋_GB2312" w:eastAsia="仿宋_GB2312" w:cs="仿宋_GB2312"/>
          <w:color w:val="auto"/>
          <w:sz w:val="32"/>
          <w:szCs w:val="32"/>
          <w:highlight w:val="none"/>
          <w:lang w:val="en-US" w:eastAsia="zh-CN" w:bidi="zh-CN"/>
        </w:rPr>
        <w:t>被申请人作出行政处罚决定程序合法。</w:t>
      </w:r>
      <w:r>
        <w:rPr>
          <w:rFonts w:hint="eastAsia" w:ascii="仿宋_GB2312" w:hAnsi="仿宋_GB2312" w:eastAsia="仿宋_GB2312" w:cs="仿宋_GB2312"/>
          <w:i w:val="0"/>
          <w:iCs w:val="0"/>
          <w:caps w:val="0"/>
          <w:color w:val="000000"/>
          <w:spacing w:val="0"/>
          <w:sz w:val="32"/>
          <w:szCs w:val="32"/>
          <w:highlight w:val="none"/>
        </w:rPr>
        <w:t>《中华人民共和国治安管理处罚法》第七十八条规定公安机关受理报案、控告、举报、投案后，认为属于违反治安管理行为的，应当立即进行</w:t>
      </w:r>
      <w:r>
        <w:rPr>
          <w:rFonts w:hint="eastAsia" w:ascii="仿宋_GB2312" w:hAnsi="仿宋_GB2312" w:eastAsia="仿宋_GB2312" w:cs="仿宋_GB2312"/>
          <w:i w:val="0"/>
          <w:iCs w:val="0"/>
          <w:caps w:val="0"/>
          <w:color w:val="000000"/>
          <w:spacing w:val="0"/>
          <w:sz w:val="32"/>
          <w:szCs w:val="32"/>
          <w:highlight w:val="none"/>
          <w:lang w:val="en-US" w:eastAsia="zh-CN"/>
        </w:rPr>
        <w:t>调查</w:t>
      </w:r>
      <w:r>
        <w:rPr>
          <w:rFonts w:hint="eastAsia" w:ascii="仿宋_GB2312" w:hAnsi="仿宋_GB2312" w:eastAsia="仿宋_GB2312" w:cs="仿宋_GB2312"/>
          <w:i w:val="0"/>
          <w:iCs w:val="0"/>
          <w:caps w:val="0"/>
          <w:color w:val="000000"/>
          <w:spacing w:val="0"/>
          <w:sz w:val="32"/>
          <w:szCs w:val="32"/>
          <w:highlight w:val="none"/>
        </w:rPr>
        <w:t>，第八十二条规定公安机关可以传唤违反治安管理行为人接受询问查证，第八十五条规定询问被侵害人并制作询问笔录</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i w:val="0"/>
          <w:iCs w:val="0"/>
          <w:caps w:val="0"/>
          <w:color w:val="000000"/>
          <w:spacing w:val="0"/>
          <w:sz w:val="32"/>
          <w:szCs w:val="32"/>
          <w:highlight w:val="none"/>
        </w:rPr>
        <w:t>《公安机关办理行政案件程序规定》规定公安机关受案后，应及时调查取证、询问违法嫌疑人和被侵害人并制作笔录、对需要伤情鉴定的人身伤害案件进行鉴定等。本案中，被申请人接报警后，分别对</w:t>
      </w:r>
      <w:r>
        <w:rPr>
          <w:rFonts w:hint="eastAsia" w:ascii="仿宋_GB2312" w:hAnsi="仿宋_GB2312" w:eastAsia="仿宋_GB2312" w:cs="仿宋_GB2312"/>
          <w:i w:val="0"/>
          <w:iCs w:val="0"/>
          <w:caps w:val="0"/>
          <w:color w:val="000000"/>
          <w:spacing w:val="0"/>
          <w:sz w:val="32"/>
          <w:szCs w:val="32"/>
          <w:highlight w:val="none"/>
          <w:lang w:val="en-US" w:eastAsia="zh-CN"/>
        </w:rPr>
        <w:t>当事人、证人</w:t>
      </w:r>
      <w:r>
        <w:rPr>
          <w:rFonts w:hint="eastAsia" w:ascii="仿宋_GB2312" w:hAnsi="仿宋_GB2312" w:eastAsia="仿宋_GB2312" w:cs="仿宋_GB2312"/>
          <w:i w:val="0"/>
          <w:iCs w:val="0"/>
          <w:caps w:val="0"/>
          <w:color w:val="000000"/>
          <w:spacing w:val="0"/>
          <w:sz w:val="32"/>
          <w:szCs w:val="32"/>
          <w:highlight w:val="none"/>
        </w:rPr>
        <w:t>进行询问调查和制作笔录</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i w:val="0"/>
          <w:iCs w:val="0"/>
          <w:caps w:val="0"/>
          <w:color w:val="000000"/>
          <w:spacing w:val="0"/>
          <w:sz w:val="32"/>
          <w:szCs w:val="32"/>
          <w:highlight w:val="none"/>
          <w:lang w:val="en-US" w:eastAsia="zh-CN"/>
        </w:rPr>
        <w:t>及时调取了现场监控</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color w:val="auto"/>
          <w:sz w:val="32"/>
          <w:szCs w:val="32"/>
          <w:highlight w:val="none"/>
          <w:lang w:val="en-US" w:eastAsia="zh-CN" w:bidi="zh-CN"/>
        </w:rPr>
        <w:t>被申请人在作出处罚决定前，依法向申请人进行了告知，并对申辩进行复核。在作出决定后，被申请人及时对当事人进行了送达，</w:t>
      </w:r>
      <w:r>
        <w:rPr>
          <w:rFonts w:hint="eastAsia" w:ascii="仿宋_GB2312" w:hAnsi="仿宋_GB2312" w:eastAsia="仿宋_GB2312" w:cs="仿宋_GB2312"/>
          <w:i w:val="0"/>
          <w:iCs w:val="0"/>
          <w:caps w:val="0"/>
          <w:color w:val="000000"/>
          <w:spacing w:val="0"/>
          <w:sz w:val="32"/>
          <w:szCs w:val="32"/>
          <w:highlight w:val="none"/>
        </w:rPr>
        <w:t>程序并无不当。故被申请人作出行政处罚决定的程序符合法律规定。</w:t>
      </w:r>
    </w:p>
    <w:p w14:paraId="74D7EE0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被申请人作出的《行政处罚决定书》适用法律正确、裁量适当。根据</w:t>
      </w:r>
      <w:r>
        <w:rPr>
          <w:rFonts w:hint="default" w:ascii="Times New Roman" w:hAnsi="Times New Roman" w:eastAsia="仿宋_GB2312" w:cs="Times New Roman"/>
          <w:color w:val="auto"/>
          <w:sz w:val="32"/>
          <w:szCs w:val="32"/>
          <w:highlight w:val="none"/>
          <w:lang w:val="en-US" w:eastAsia="zh-CN" w:bidi="zh-CN"/>
        </w:rPr>
        <w:t>《中华人民共和国治安管理处罚法》第四十</w:t>
      </w:r>
      <w:r>
        <w:rPr>
          <w:rFonts w:hint="eastAsia" w:ascii="Times New Roman" w:hAnsi="Times New Roman" w:eastAsia="仿宋_GB2312" w:cs="Times New Roman"/>
          <w:color w:val="auto"/>
          <w:sz w:val="32"/>
          <w:szCs w:val="32"/>
          <w:highlight w:val="none"/>
          <w:lang w:val="en-US" w:eastAsia="zh-CN" w:bidi="zh-CN"/>
        </w:rPr>
        <w:t>三</w:t>
      </w:r>
      <w:r>
        <w:rPr>
          <w:rFonts w:hint="default" w:ascii="Times New Roman" w:hAnsi="Times New Roman" w:eastAsia="仿宋_GB2312" w:cs="Times New Roman"/>
          <w:color w:val="auto"/>
          <w:sz w:val="32"/>
          <w:szCs w:val="32"/>
          <w:highlight w:val="none"/>
          <w:lang w:val="en-US" w:eastAsia="zh-CN" w:bidi="zh-CN"/>
        </w:rPr>
        <w:t>条</w:t>
      </w:r>
      <w:r>
        <w:rPr>
          <w:rFonts w:hint="eastAsia" w:ascii="Times New Roman" w:hAnsi="Times New Roman" w:eastAsia="仿宋_GB2312" w:cs="Times New Roman"/>
          <w:color w:val="auto"/>
          <w:sz w:val="32"/>
          <w:szCs w:val="32"/>
          <w:highlight w:val="none"/>
          <w:lang w:val="en-US" w:eastAsia="zh-CN" w:bidi="zh-CN"/>
        </w:rPr>
        <w:t>第一款规定殴打他人的，或者故意伤害他人身体的，处五日以上十日以下拘留，并处二百元以上五百元以下罚款；情节较轻的，处五日以下拘留或者五百元以下罚款，参照《公安机关对部分违反治安管理行为实施处罚的裁量指导意见》</w:t>
      </w:r>
      <w:r>
        <w:rPr>
          <w:rFonts w:hint="default" w:ascii="Times New Roman" w:hAnsi="Times New Roman" w:eastAsia="仿宋_GB2312" w:cs="Times New Roman"/>
          <w:color w:val="auto"/>
          <w:sz w:val="32"/>
          <w:szCs w:val="32"/>
          <w:highlight w:val="none"/>
          <w:lang w:val="en-US" w:eastAsia="zh-CN" w:bidi="zh-CN"/>
        </w:rPr>
        <w:t>之规定，</w:t>
      </w:r>
      <w:r>
        <w:rPr>
          <w:rFonts w:hint="eastAsia" w:ascii="仿宋_GB2312" w:hAnsi="仿宋_GB2312" w:eastAsia="仿宋_GB2312" w:cs="仿宋_GB2312"/>
          <w:color w:val="auto"/>
          <w:sz w:val="32"/>
          <w:szCs w:val="32"/>
          <w:highlight w:val="none"/>
          <w:lang w:val="en-US" w:eastAsia="zh-CN" w:bidi="zh-CN"/>
        </w:rPr>
        <w:t>被申请人在查明事实的情况下，认定申请人违法行为较轻，</w:t>
      </w:r>
      <w:r>
        <w:rPr>
          <w:rFonts w:hint="default" w:ascii="Times New Roman" w:hAnsi="Times New Roman" w:eastAsia="仿宋_GB2312" w:cs="Times New Roman"/>
          <w:color w:val="auto"/>
          <w:sz w:val="32"/>
          <w:szCs w:val="32"/>
          <w:highlight w:val="none"/>
          <w:lang w:val="en-US" w:eastAsia="zh-CN" w:bidi="zh-CN"/>
        </w:rPr>
        <w:t>作出</w:t>
      </w:r>
      <w:r>
        <w:rPr>
          <w:rFonts w:hint="eastAsia" w:ascii="Times New Roman" w:hAnsi="Times New Roman" w:eastAsia="仿宋_GB2312" w:cs="Times New Roman"/>
          <w:color w:val="auto"/>
          <w:sz w:val="32"/>
          <w:szCs w:val="32"/>
          <w:highlight w:val="none"/>
          <w:lang w:val="en-US" w:eastAsia="zh-CN" w:bidi="zh-CN"/>
        </w:rPr>
        <w:t>的</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巡特</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行罚决字</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2086</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适用法律正确，裁量适当。</w:t>
      </w:r>
    </w:p>
    <w:p w14:paraId="1B0EF2A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依据《中华人民共和国行政复议法》第</w:t>
      </w:r>
      <w:r>
        <w:rPr>
          <w:rFonts w:hint="eastAsia" w:ascii="Times New Roman" w:hAnsi="Times New Roman" w:eastAsia="仿宋_GB2312" w:cs="Times New Roman"/>
          <w:color w:val="auto"/>
          <w:sz w:val="32"/>
          <w:szCs w:val="32"/>
          <w:highlight w:val="none"/>
          <w:lang w:val="en-US" w:eastAsia="zh-CN" w:bidi="zh-CN"/>
        </w:rPr>
        <w:t>六十八</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1DC7071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维持</w:t>
      </w:r>
      <w:r>
        <w:rPr>
          <w:rFonts w:hint="default" w:ascii="Times New Roman" w:hAnsi="Times New Roman" w:eastAsia="仿宋_GB2312" w:cs="Times New Roman"/>
          <w:color w:val="auto"/>
          <w:sz w:val="32"/>
          <w:szCs w:val="32"/>
          <w:highlight w:val="none"/>
          <w:lang w:val="en-US" w:eastAsia="zh-CN" w:bidi="zh-CN"/>
        </w:rPr>
        <w:t>洛阳市公安局涧西分局于202</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val="en-US" w:eastAsia="zh-CN" w:bidi="zh-CN"/>
        </w:rPr>
        <w:t>日作出的洛公涧西（</w:t>
      </w:r>
      <w:r>
        <w:rPr>
          <w:rFonts w:hint="eastAsia" w:ascii="Times New Roman" w:hAnsi="Times New Roman" w:eastAsia="仿宋_GB2312" w:cs="Times New Roman"/>
          <w:color w:val="auto"/>
          <w:sz w:val="32"/>
          <w:szCs w:val="32"/>
          <w:highlight w:val="none"/>
          <w:lang w:val="en-US" w:eastAsia="zh-CN" w:bidi="zh-CN"/>
        </w:rPr>
        <w:t>巡特</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行罚决字</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2086</w:t>
      </w:r>
      <w:r>
        <w:rPr>
          <w:rFonts w:hint="default" w:ascii="Times New Roman" w:hAnsi="Times New Roman" w:eastAsia="仿宋_GB2312" w:cs="Times New Roman"/>
          <w:color w:val="auto"/>
          <w:sz w:val="32"/>
          <w:szCs w:val="32"/>
          <w:highlight w:val="none"/>
          <w:lang w:val="en-US" w:eastAsia="zh-CN" w:bidi="zh-CN"/>
        </w:rPr>
        <w:t>号《行政处罚决定书》。</w:t>
      </w:r>
    </w:p>
    <w:p w14:paraId="4D3BEF1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16F345FC">
      <w:pPr>
        <w:pStyle w:val="2"/>
        <w:keepNext w:val="0"/>
        <w:keepLines w:val="0"/>
        <w:pageBreakBefore w:val="0"/>
        <w:tabs>
          <w:tab w:val="left" w:pos="7560"/>
        </w:tabs>
        <w:kinsoku/>
        <w:wordWrap/>
        <w:overflowPunct/>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4B74035A">
      <w:pPr>
        <w:pStyle w:val="2"/>
        <w:keepNext w:val="0"/>
        <w:keepLines w:val="0"/>
        <w:pageBreakBefore w:val="0"/>
        <w:tabs>
          <w:tab w:val="left" w:pos="7560"/>
        </w:tabs>
        <w:kinsoku/>
        <w:wordWrap/>
        <w:overflowPunct/>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65C6F5B4">
      <w:pPr>
        <w:pStyle w:val="2"/>
        <w:keepNext w:val="0"/>
        <w:keepLines w:val="0"/>
        <w:pageBreakBefore w:val="0"/>
        <w:tabs>
          <w:tab w:val="left" w:pos="7560"/>
        </w:tabs>
        <w:kinsoku/>
        <w:wordWrap/>
        <w:overflowPunct/>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1D3F05E7">
      <w:pPr>
        <w:pStyle w:val="2"/>
        <w:keepNext w:val="0"/>
        <w:keepLines w:val="0"/>
        <w:pageBreakBefore w:val="0"/>
        <w:tabs>
          <w:tab w:val="left" w:pos="7560"/>
        </w:tabs>
        <w:kinsoku/>
        <w:wordWrap/>
        <w:overflowPunct/>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25</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81E988C-813C-43CD-85BD-053B8B203D4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E18A6856-9424-4D0E-A9AD-2C1E3F0B8E57}"/>
  </w:font>
  <w:font w:name="仿宋_GB2312">
    <w:panose1 w:val="02010609030101010101"/>
    <w:charset w:val="86"/>
    <w:family w:val="auto"/>
    <w:pitch w:val="default"/>
    <w:sig w:usb0="00000001" w:usb1="080E0000" w:usb2="00000000" w:usb3="00000000" w:csb0="00040000" w:csb1="00000000"/>
    <w:embedRegular r:id="rId3" w:fontKey="{711852FA-A381-4E4C-959E-9C19A1E68D9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0159DA">
    <w:pPr>
      <w:pStyle w:val="3"/>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06D53966">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153FF5"/>
    <w:rsid w:val="0024309C"/>
    <w:rsid w:val="00867C46"/>
    <w:rsid w:val="01435A54"/>
    <w:rsid w:val="01FC40A1"/>
    <w:rsid w:val="03B46A51"/>
    <w:rsid w:val="050C5E76"/>
    <w:rsid w:val="05B63FD6"/>
    <w:rsid w:val="05C26D59"/>
    <w:rsid w:val="061F3DDB"/>
    <w:rsid w:val="09CD226A"/>
    <w:rsid w:val="09D36778"/>
    <w:rsid w:val="09FD729B"/>
    <w:rsid w:val="0A320C11"/>
    <w:rsid w:val="0BAB0715"/>
    <w:rsid w:val="0C70106C"/>
    <w:rsid w:val="0C7017CB"/>
    <w:rsid w:val="0C8F1240"/>
    <w:rsid w:val="0D2E6635"/>
    <w:rsid w:val="0D9F7891"/>
    <w:rsid w:val="0E6E3471"/>
    <w:rsid w:val="0FBF372E"/>
    <w:rsid w:val="0FC712FE"/>
    <w:rsid w:val="11974A4E"/>
    <w:rsid w:val="119A0B4E"/>
    <w:rsid w:val="120B3D4E"/>
    <w:rsid w:val="12936141"/>
    <w:rsid w:val="12EB41AD"/>
    <w:rsid w:val="133735D0"/>
    <w:rsid w:val="13726E72"/>
    <w:rsid w:val="139B20B6"/>
    <w:rsid w:val="13EA19F9"/>
    <w:rsid w:val="14163CCF"/>
    <w:rsid w:val="14F32412"/>
    <w:rsid w:val="16191895"/>
    <w:rsid w:val="16417787"/>
    <w:rsid w:val="171E20DF"/>
    <w:rsid w:val="17200870"/>
    <w:rsid w:val="17A10BB7"/>
    <w:rsid w:val="19540489"/>
    <w:rsid w:val="199AB4F7"/>
    <w:rsid w:val="19ED7FE6"/>
    <w:rsid w:val="1A601BFD"/>
    <w:rsid w:val="1AD07837"/>
    <w:rsid w:val="1C1F660B"/>
    <w:rsid w:val="1E0113DC"/>
    <w:rsid w:val="1E291CFE"/>
    <w:rsid w:val="1F3F2EA1"/>
    <w:rsid w:val="1F5A6FB2"/>
    <w:rsid w:val="1F8F5C67"/>
    <w:rsid w:val="1FC31AF2"/>
    <w:rsid w:val="2144494B"/>
    <w:rsid w:val="21493214"/>
    <w:rsid w:val="21D666E8"/>
    <w:rsid w:val="21E73C49"/>
    <w:rsid w:val="244B5416"/>
    <w:rsid w:val="25B04B74"/>
    <w:rsid w:val="25F74973"/>
    <w:rsid w:val="26485FEE"/>
    <w:rsid w:val="27C36AF2"/>
    <w:rsid w:val="297053DE"/>
    <w:rsid w:val="29830BB3"/>
    <w:rsid w:val="2A356197"/>
    <w:rsid w:val="2A3971ED"/>
    <w:rsid w:val="2C3A15DC"/>
    <w:rsid w:val="2CBE5D2D"/>
    <w:rsid w:val="2E375631"/>
    <w:rsid w:val="2F7B0454"/>
    <w:rsid w:val="2FD361A8"/>
    <w:rsid w:val="30374CD4"/>
    <w:rsid w:val="30C400C9"/>
    <w:rsid w:val="30CE4099"/>
    <w:rsid w:val="30DB181E"/>
    <w:rsid w:val="31AE3364"/>
    <w:rsid w:val="32182ABD"/>
    <w:rsid w:val="32B06D03"/>
    <w:rsid w:val="32CA473F"/>
    <w:rsid w:val="32FF7833"/>
    <w:rsid w:val="33134498"/>
    <w:rsid w:val="34367E3A"/>
    <w:rsid w:val="34F94E29"/>
    <w:rsid w:val="351A7D6D"/>
    <w:rsid w:val="356A32F7"/>
    <w:rsid w:val="373066FF"/>
    <w:rsid w:val="37580C1E"/>
    <w:rsid w:val="38854651"/>
    <w:rsid w:val="38DF05D9"/>
    <w:rsid w:val="3A3E649C"/>
    <w:rsid w:val="3ABE2DBF"/>
    <w:rsid w:val="3BBBC973"/>
    <w:rsid w:val="3D987AD7"/>
    <w:rsid w:val="3D9E3A7A"/>
    <w:rsid w:val="3DDE38B5"/>
    <w:rsid w:val="3DFD1951"/>
    <w:rsid w:val="3E174EC3"/>
    <w:rsid w:val="3E76393B"/>
    <w:rsid w:val="3ED7221E"/>
    <w:rsid w:val="3F7D7772"/>
    <w:rsid w:val="40916E76"/>
    <w:rsid w:val="40A74D5D"/>
    <w:rsid w:val="41E331FA"/>
    <w:rsid w:val="41FA176A"/>
    <w:rsid w:val="424E0A3D"/>
    <w:rsid w:val="42CB65B7"/>
    <w:rsid w:val="446C09BA"/>
    <w:rsid w:val="44EA1CA9"/>
    <w:rsid w:val="458B6BE1"/>
    <w:rsid w:val="462102CB"/>
    <w:rsid w:val="46A342F8"/>
    <w:rsid w:val="473558D0"/>
    <w:rsid w:val="48176608"/>
    <w:rsid w:val="48AE485F"/>
    <w:rsid w:val="49A24A3A"/>
    <w:rsid w:val="4A5D66FE"/>
    <w:rsid w:val="4A617FE4"/>
    <w:rsid w:val="4A642911"/>
    <w:rsid w:val="4BAD6A77"/>
    <w:rsid w:val="4C3F4705"/>
    <w:rsid w:val="4CD76580"/>
    <w:rsid w:val="4D2224B2"/>
    <w:rsid w:val="4EC5069E"/>
    <w:rsid w:val="4EFF40E1"/>
    <w:rsid w:val="50897E78"/>
    <w:rsid w:val="5196613F"/>
    <w:rsid w:val="51A216FE"/>
    <w:rsid w:val="51B34E7A"/>
    <w:rsid w:val="51CF4D95"/>
    <w:rsid w:val="526933B0"/>
    <w:rsid w:val="52CF1440"/>
    <w:rsid w:val="534A2D0D"/>
    <w:rsid w:val="53A61752"/>
    <w:rsid w:val="53F35A51"/>
    <w:rsid w:val="546F04EF"/>
    <w:rsid w:val="55E2628E"/>
    <w:rsid w:val="57B63C8A"/>
    <w:rsid w:val="584A7729"/>
    <w:rsid w:val="58A9794E"/>
    <w:rsid w:val="58D44810"/>
    <w:rsid w:val="594524EF"/>
    <w:rsid w:val="599E0E16"/>
    <w:rsid w:val="59D67A6F"/>
    <w:rsid w:val="5B724DC1"/>
    <w:rsid w:val="5C0F2DC3"/>
    <w:rsid w:val="5C9C2179"/>
    <w:rsid w:val="5D3B4C80"/>
    <w:rsid w:val="5E4F45FE"/>
    <w:rsid w:val="5E8A1A2D"/>
    <w:rsid w:val="5F2CAEFE"/>
    <w:rsid w:val="5F73062B"/>
    <w:rsid w:val="5F7B7309"/>
    <w:rsid w:val="5FFE6B64"/>
    <w:rsid w:val="602D7FBA"/>
    <w:rsid w:val="60971A96"/>
    <w:rsid w:val="61106810"/>
    <w:rsid w:val="61131548"/>
    <w:rsid w:val="61F5069E"/>
    <w:rsid w:val="624262AC"/>
    <w:rsid w:val="627A192C"/>
    <w:rsid w:val="628964F1"/>
    <w:rsid w:val="62AB0378"/>
    <w:rsid w:val="63655610"/>
    <w:rsid w:val="63682FEE"/>
    <w:rsid w:val="638C22A1"/>
    <w:rsid w:val="64395110"/>
    <w:rsid w:val="64537D84"/>
    <w:rsid w:val="646402CB"/>
    <w:rsid w:val="6502023B"/>
    <w:rsid w:val="6556137B"/>
    <w:rsid w:val="657A3716"/>
    <w:rsid w:val="65C60DEB"/>
    <w:rsid w:val="65EA4FF6"/>
    <w:rsid w:val="665C2F25"/>
    <w:rsid w:val="683D46F4"/>
    <w:rsid w:val="68697C5F"/>
    <w:rsid w:val="691F65C2"/>
    <w:rsid w:val="6A036897"/>
    <w:rsid w:val="6A206C65"/>
    <w:rsid w:val="6A941F65"/>
    <w:rsid w:val="6A9F481C"/>
    <w:rsid w:val="6B140CE2"/>
    <w:rsid w:val="6BD77BAE"/>
    <w:rsid w:val="6C2F0215"/>
    <w:rsid w:val="6C6F77A9"/>
    <w:rsid w:val="6CE452D6"/>
    <w:rsid w:val="6D325EB9"/>
    <w:rsid w:val="6D422DE4"/>
    <w:rsid w:val="6D6B7B64"/>
    <w:rsid w:val="6DA26C2E"/>
    <w:rsid w:val="6DE54241"/>
    <w:rsid w:val="6E385814"/>
    <w:rsid w:val="6EBC0F1A"/>
    <w:rsid w:val="6EE352C5"/>
    <w:rsid w:val="6F9400A3"/>
    <w:rsid w:val="6FEF7B11"/>
    <w:rsid w:val="706C7836"/>
    <w:rsid w:val="708104E7"/>
    <w:rsid w:val="708918FF"/>
    <w:rsid w:val="70AD7294"/>
    <w:rsid w:val="711E0050"/>
    <w:rsid w:val="72D63F05"/>
    <w:rsid w:val="742D577E"/>
    <w:rsid w:val="74537454"/>
    <w:rsid w:val="76822DAA"/>
    <w:rsid w:val="77195E9E"/>
    <w:rsid w:val="7725536A"/>
    <w:rsid w:val="77C30A23"/>
    <w:rsid w:val="781D7CD6"/>
    <w:rsid w:val="790128DD"/>
    <w:rsid w:val="79274F0F"/>
    <w:rsid w:val="799B36E1"/>
    <w:rsid w:val="79B21659"/>
    <w:rsid w:val="79E941A2"/>
    <w:rsid w:val="7A526DB4"/>
    <w:rsid w:val="7AAA2788"/>
    <w:rsid w:val="7C2E7CD6"/>
    <w:rsid w:val="7D663A0C"/>
    <w:rsid w:val="7D8F113F"/>
    <w:rsid w:val="7DBEC43C"/>
    <w:rsid w:val="7E015318"/>
    <w:rsid w:val="7E6341B5"/>
    <w:rsid w:val="7F1545FB"/>
    <w:rsid w:val="7FA171CD"/>
    <w:rsid w:val="7FDC2280"/>
    <w:rsid w:val="87DA8C8E"/>
    <w:rsid w:val="E7F99A9B"/>
    <w:rsid w:val="ED3BD046"/>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3330</Words>
  <Characters>3516</Characters>
  <Lines>0</Lines>
  <Paragraphs>0</Paragraphs>
  <TotalTime>17</TotalTime>
  <ScaleCrop>false</ScaleCrop>
  <LinksUpToDate>false</LinksUpToDate>
  <CharactersWithSpaces>3520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Administrator</dc:creator>
  <cp:lastModifiedBy>金融工作</cp:lastModifiedBy>
  <cp:lastPrinted>2024-01-26T23:12:00Z</cp:lastPrinted>
  <dcterms:modified xsi:type="dcterms:W3CDTF">2024-11-07T07:45:01Z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