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576311">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1175B38B">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eastAsia" w:ascii="仿宋_GB2312" w:hAnsi="仿宋_GB2312" w:eastAsia="仿宋_GB2312" w:cs="仿宋_GB2312"/>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eastAsia" w:ascii="仿宋_GB2312" w:hAnsi="仿宋_GB2312" w:eastAsia="仿宋_GB2312" w:cs="仿宋_GB2312"/>
          <w:color w:val="auto"/>
          <w:sz w:val="32"/>
          <w:szCs w:val="32"/>
          <w:highlight w:val="none"/>
          <w:lang w:val="en-US" w:eastAsia="zh-CN" w:bidi="zh-CN"/>
        </w:rPr>
        <w:t xml:space="preserve"> 涧政复决字〔2023〕第107号</w:t>
      </w:r>
    </w:p>
    <w:p w14:paraId="700FE74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eastAsia="zh-CN" w:bidi="zh-CN"/>
        </w:rPr>
        <w:t>申请人：</w:t>
      </w:r>
      <w:r>
        <w:rPr>
          <w:rFonts w:hint="eastAsia" w:ascii="仿宋_GB2312" w:hAnsi="仿宋_GB2312" w:eastAsia="仿宋_GB2312" w:cs="仿宋_GB2312"/>
          <w:sz w:val="32"/>
          <w:szCs w:val="32"/>
          <w:highlight w:val="none"/>
          <w:lang w:val="en-US" w:eastAsia="zh-CN" w:bidi="zh-CN"/>
        </w:rPr>
        <w:t>孙某。</w:t>
      </w:r>
    </w:p>
    <w:p w14:paraId="316248B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highlight w:val="yellow"/>
          <w:lang w:eastAsia="zh-CN" w:bidi="zh-CN"/>
        </w:rPr>
      </w:pPr>
      <w:r>
        <w:rPr>
          <w:rFonts w:hint="eastAsia" w:ascii="仿宋_GB2312" w:hAnsi="仿宋_GB2312" w:eastAsia="仿宋_GB2312" w:cs="仿宋_GB2312"/>
          <w:sz w:val="32"/>
          <w:szCs w:val="32"/>
          <w:highlight w:val="none"/>
          <w:lang w:eastAsia="zh-CN" w:bidi="zh-CN"/>
        </w:rPr>
        <w:t>被申请人：洛阳市涧西区市场监督管理局。</w:t>
      </w:r>
    </w:p>
    <w:p w14:paraId="584D59A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none"/>
          <w:lang w:eastAsia="zh-CN" w:bidi="zh-CN"/>
        </w:rPr>
      </w:pPr>
      <w:r>
        <w:rPr>
          <w:rFonts w:hint="eastAsia" w:ascii="仿宋_GB2312" w:hAnsi="仿宋_GB2312" w:eastAsia="仿宋_GB2312" w:cs="仿宋_GB2312"/>
          <w:sz w:val="32"/>
          <w:szCs w:val="32"/>
          <w:highlight w:val="none"/>
          <w:lang w:eastAsia="zh-CN" w:bidi="zh-CN"/>
        </w:rPr>
        <w:t>申请人</w:t>
      </w:r>
      <w:r>
        <w:rPr>
          <w:rFonts w:hint="eastAsia" w:ascii="仿宋_GB2312" w:hAnsi="仿宋_GB2312" w:eastAsia="仿宋_GB2312" w:cs="仿宋_GB2312"/>
          <w:sz w:val="32"/>
          <w:szCs w:val="32"/>
          <w:highlight w:val="none"/>
          <w:lang w:val="en-US" w:eastAsia="zh-CN" w:bidi="zh-CN"/>
        </w:rPr>
        <w:t>孙某</w:t>
      </w:r>
      <w:r>
        <w:rPr>
          <w:rFonts w:hint="eastAsia" w:ascii="仿宋_GB2312" w:hAnsi="仿宋_GB2312" w:eastAsia="仿宋_GB2312" w:cs="仿宋_GB2312"/>
          <w:sz w:val="32"/>
          <w:szCs w:val="32"/>
          <w:highlight w:val="none"/>
          <w:lang w:eastAsia="zh-CN" w:bidi="zh-CN"/>
        </w:rPr>
        <w:t>不服被申请人洛阳市涧西区市场监督管理局</w:t>
      </w:r>
      <w:r>
        <w:rPr>
          <w:rFonts w:hint="eastAsia" w:ascii="仿宋_GB2312" w:hAnsi="仿宋_GB2312" w:eastAsia="仿宋_GB2312" w:cs="仿宋_GB2312"/>
          <w:sz w:val="32"/>
          <w:szCs w:val="32"/>
          <w:highlight w:val="none"/>
          <w:lang w:val="en-US" w:eastAsia="zh-CN" w:bidi="zh-CN"/>
        </w:rPr>
        <w:t>对其针对某公司举报作出的答复行为</w:t>
      </w:r>
      <w:r>
        <w:rPr>
          <w:rFonts w:hint="eastAsia" w:ascii="仿宋_GB2312" w:hAnsi="仿宋_GB2312" w:eastAsia="仿宋_GB2312" w:cs="仿宋_GB2312"/>
          <w:sz w:val="32"/>
          <w:szCs w:val="32"/>
          <w:highlight w:val="none"/>
          <w:lang w:eastAsia="zh-CN" w:bidi="zh-CN"/>
        </w:rPr>
        <w:t>，</w:t>
      </w:r>
      <w:r>
        <w:rPr>
          <w:rFonts w:hint="eastAsia" w:ascii="仿宋_GB2312" w:hAnsi="仿宋_GB2312" w:eastAsia="仿宋_GB2312" w:cs="仿宋_GB2312"/>
          <w:sz w:val="32"/>
          <w:szCs w:val="32"/>
          <w:highlight w:val="none"/>
          <w:lang w:val="en-US" w:eastAsia="zh-CN" w:bidi="zh-CN"/>
        </w:rPr>
        <w:t>于2023年12月18日</w:t>
      </w:r>
      <w:r>
        <w:rPr>
          <w:rFonts w:hint="eastAsia" w:ascii="仿宋_GB2312" w:hAnsi="仿宋_GB2312" w:eastAsia="仿宋_GB2312" w:cs="仿宋_GB2312"/>
          <w:sz w:val="32"/>
          <w:szCs w:val="32"/>
          <w:highlight w:val="none"/>
          <w:lang w:eastAsia="zh-CN" w:bidi="zh-CN"/>
        </w:rPr>
        <w:t>向本机关提出行政复议申请，</w:t>
      </w:r>
      <w:r>
        <w:rPr>
          <w:rFonts w:hint="eastAsia" w:ascii="仿宋_GB2312" w:hAnsi="仿宋_GB2312" w:eastAsia="仿宋_GB2312" w:cs="仿宋_GB2312"/>
          <w:color w:val="auto"/>
          <w:sz w:val="32"/>
          <w:szCs w:val="32"/>
          <w:highlight w:val="none"/>
          <w:lang w:val="en-US" w:eastAsia="zh-CN" w:bidi="zh-CN"/>
        </w:rPr>
        <w:t>本机关依法予以受理，</w:t>
      </w:r>
      <w:r>
        <w:rPr>
          <w:rFonts w:hint="eastAsia" w:ascii="仿宋_GB2312" w:hAnsi="仿宋_GB2312" w:eastAsia="仿宋_GB2312" w:cs="仿宋_GB2312"/>
          <w:color w:val="auto"/>
          <w:sz w:val="32"/>
          <w:szCs w:val="32"/>
          <w:highlight w:val="none"/>
          <w:lang w:eastAsia="zh-CN" w:bidi="zh-CN"/>
        </w:rPr>
        <w:t>现已审理终结</w:t>
      </w:r>
      <w:r>
        <w:rPr>
          <w:rFonts w:hint="eastAsia" w:ascii="仿宋_GB2312" w:hAnsi="仿宋_GB2312" w:eastAsia="仿宋_GB2312" w:cs="仿宋_GB2312"/>
          <w:sz w:val="32"/>
          <w:szCs w:val="32"/>
          <w:highlight w:val="none"/>
          <w:lang w:eastAsia="zh-CN" w:bidi="zh-CN"/>
        </w:rPr>
        <w:t>。</w:t>
      </w:r>
    </w:p>
    <w:p w14:paraId="3F1BA521">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Times New Roman" w:hAnsi="Times New Roman" w:eastAsia="黑体" w:cs="Times New Roman"/>
          <w:bCs/>
          <w:sz w:val="32"/>
          <w:szCs w:val="32"/>
          <w:highlight w:val="none"/>
          <w:lang w:eastAsia="zh-CN" w:bidi="zh-CN"/>
        </w:rPr>
        <w:t>申请人请求：</w:t>
      </w:r>
      <w:r>
        <w:rPr>
          <w:rFonts w:hint="eastAsia" w:ascii="仿宋_GB2312" w:hAnsi="仿宋_GB2312" w:eastAsia="仿宋_GB2312" w:cs="仿宋_GB2312"/>
          <w:sz w:val="32"/>
          <w:szCs w:val="32"/>
          <w:highlight w:val="none"/>
          <w:lang w:val="en-US" w:eastAsia="zh-CN" w:bidi="zh-CN"/>
        </w:rPr>
        <w:t>1.撤销被申请人对申请人全国12315平台举报事项不予立案决定；2.责令被申请人在法定期限内重新作出处理答复。</w:t>
      </w:r>
    </w:p>
    <w:p w14:paraId="03B3660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yellow"/>
          <w:lang w:val="en-US" w:eastAsia="zh-CN" w:bidi="zh-CN"/>
        </w:rPr>
      </w:pPr>
      <w:r>
        <w:rPr>
          <w:rFonts w:hint="eastAsia" w:ascii="Times New Roman" w:hAnsi="Times New Roman" w:eastAsia="黑体" w:cs="Times New Roman"/>
          <w:bCs/>
          <w:sz w:val="32"/>
          <w:szCs w:val="32"/>
          <w:highlight w:val="none"/>
          <w:lang w:eastAsia="zh-CN" w:bidi="zh-CN"/>
        </w:rPr>
        <w:t>申请人称：</w:t>
      </w:r>
      <w:r>
        <w:rPr>
          <w:rFonts w:hint="eastAsia" w:ascii="仿宋_GB2312" w:hAnsi="仿宋_GB2312" w:eastAsia="仿宋_GB2312" w:cs="仿宋_GB2312"/>
          <w:sz w:val="32"/>
          <w:szCs w:val="32"/>
          <w:highlight w:val="none"/>
          <w:lang w:val="en-US" w:eastAsia="zh-CN" w:bidi="zh-CN"/>
        </w:rPr>
        <w:t>申请人于2023年10月17日在拼多多平台某公司开设的专营店内购买了一款名为龙胆泻肝片宣称减肥的药品，标题网页宣称速降脂肪肝、治疗肥胖，宣称减掉大肚脯、当晚看效果强效减脂。但收到货后发现药品功能主治为清肝胆、利湿热，用于肝胆湿热所导致的头晕目赤、耳鸣耳聋、耳部疼痛、肋痛口苦，并没有减肥减脂瘦身的保健功效，且商品宣称表示功效、安全性的断言和保证，申请人认为违反《中华人民共和国广告法》《中华人民共和国药品管理法》《药品、医疗器械、保健食品、特殊医学用途配方食品广告审查管理暂行办法》相关规定。申请人2023年12月4日通过全国12315平台举报，2023年12月5日涧西区市场监督管理局作出不予立案决定。被申请人称：被举报人店铺未发现被举报药品链接及宣传内容，鉴于被举报公司能够及时自行改正，因此，依据《市场监督管理行政处罚程序规定》第二十条第一款“违法行为轻微并及时改正，没有造成危害后果。”之规定，决定不予立案。申请人认为被申请人未全面、客观、公正及时地进行案件调查，认定事实不清就作出不予立案决定，明显不当，应予以撤销。被申请人的回复中提到被举报人表示申请人在吃完药品后向被举报人提出退款完全就是信口雌黄，申请人收到货发现商品存在虚假宣传的情形并没有食用，订单申请退货后被举报人并未同意退货，申请人在2023年12月4日咨询店铺客服为什么不同意退货，店铺客服要求提供照片证明商品是否有打开使用，申请人回复没有使用并拍照发送给客服查看。被申请人不予立案依据《市场监督管理行政处罚程序规定》第二十条第一款违法行为轻微并及时改正，没有造成危害后果。首先符合不予立案情形必须同时满足“违法行为轻微”“及时改正”和“没有造成危害后果”三个要件缺一不可，且判定应从事实、性质、情节以及危害程度几个方面去综合判断。被举报人身为药品的经营者应对销售的药品成分、用法、用量、功能主治以及相关法律法规有更高的认识，混淆药品、保健食品的区别，会误导不明真相的消费者或患者，尤其是辨别能力不强的老年人误食药品，其中药品中有很多成分是有非常之多的人群是不适宜食用，且俗话“是药三分毒”，极易给消费者或患者带来无法挽回的人身损害，被举报人对于违法行为明显的故意为之，且对消费者有着极大的安全隐患，此违法行为并不能认定为轻微。对于“及时改正，没有造成危害后果”意为在实施违法行为之后尚未造成危害后果之前及时采取纠正措施防止了危害后果的发生。对于是否“及时改正”的认定应当根据是否造成了危害后果来判定。申请人作为消费者，因为被举报人在改正之前对于商品虚假宣传导致申请人购买受到消费欺诈，直接是对申请人的合法权益造成了侵害，已经造成了危害后果，固然也是不符合“及时改正，没有造成危害后果”的规定。综上所述，申请人认为被申请人认定事实不清，未全面、客观、公正及时地进行案件调查，作出不予立案决定明显不当。为了维护自身的合法权益根据《中华人民共和国行政复议法》《中华人民共和国行政复议法实施条例》有关规定申请行政复议。</w:t>
      </w:r>
    </w:p>
    <w:p w14:paraId="3EFAC822">
      <w:pPr>
        <w:pStyle w:val="5"/>
        <w:keepNext w:val="0"/>
        <w:keepLines w:val="0"/>
        <w:pageBreakBefore w:val="0"/>
        <w:widowControl/>
        <w:shd w:val="clear" w:color="auto" w:fill="FFFFFF"/>
        <w:kinsoku/>
        <w:overflowPunct/>
        <w:topLinePunct w:val="0"/>
        <w:autoSpaceDE w:val="0"/>
        <w:autoSpaceDN w:val="0"/>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zh-CN"/>
        </w:rPr>
      </w:pPr>
      <w:r>
        <w:rPr>
          <w:rFonts w:hint="eastAsia" w:ascii="Times New Roman" w:hAnsi="Times New Roman" w:eastAsia="黑体" w:cs="Times New Roman"/>
          <w:bCs/>
          <w:kern w:val="2"/>
          <w:sz w:val="32"/>
          <w:szCs w:val="32"/>
          <w:highlight w:val="none"/>
          <w:lang w:val="en-US" w:eastAsia="zh-CN" w:bidi="zh-CN"/>
        </w:rPr>
        <w:t>被申请人称：</w:t>
      </w:r>
      <w:r>
        <w:rPr>
          <w:rFonts w:hint="eastAsia" w:ascii="仿宋_GB2312" w:hAnsi="仿宋_GB2312" w:eastAsia="仿宋_GB2312" w:cs="仿宋_GB2312"/>
          <w:kern w:val="2"/>
          <w:sz w:val="32"/>
          <w:szCs w:val="32"/>
          <w:highlight w:val="none"/>
          <w:lang w:val="en-US" w:eastAsia="zh-CN" w:bidi="zh-CN"/>
        </w:rPr>
        <w:t>申请人孙某于2023年12月4日通过全国12315微信小程序反映“2023年10月17日在某公司拼多多专营店内购买了一款名为龙胆泻肝片宣称减肥的药品，宣称速降脂肪肝、治疗肥胖，宣称减掉大肚腩、当晚看效果强效减脂。但收到货后发现药品功能主治为清肝胆、利湿热，用于肝胆湿热所导致的头晕目赤，耳鸣耳聋，耳部疼痛，肋痛口苦。并没有减肥减脂瘦身的功能属于虚假宣传违反广告法欺诈消费者，另外对产品宣称表示功效、安全性的断言和保证，违法广告法第十六条，违法《中华人民共和国药品管理法》第九十六条，同时违法《药品、医疗器械、保健食品、特殊医学用途配方食品广告审查管理暂行办法》相关规定。请求查处”接到申请人孙某通过全国12315互联网平台举报线索后，2023年12月5日被申请人安排执法人员对某公司进行了现场检查。某公司并未有药品“龙肝泻胆片”在架销售。执法人员在某公司电商运营部工作人员史某配合下打开手机登录拼多多APP查看浏览店铺，未发现在售商品有标称“龙肝泻胆片”的药品，同时在拼多多平台店铺内也未发现存在孙某描述的“宣传速降脂肪肝、治疗肥胖、宣称减掉大肚腩、当晚看效果强效减脂”的其他药品在售。史某介绍称其公司线上电商业务外包给某一专业电商运营公司运营，电商业务部负责统筹监督运营。电商运营部会针对旗下的线上店铺销售情况定期开展巡查排查，如发现店铺宣传用语或图片不符合法律法规要求，会第一时间通知外包运营公司下架并整改。2023年10月21日，电商业务部工作人员在例行排查时发现举报人反映的“龙肝泻胆片”宣传字眼有不当之处，已于当日自行整改下架。被申请人执法人员现场要求史某登录其店铺运营后台页面查看药品下架操作情况并截取了药品下架的操作截图。依据《市场监督管理行政处罚程序规定》第二十条第一款的规定，被申请人于当日将不予立案的决定反馈给申请人孙某。综上，被申请人认为在处理该举报中被申请人执法人员适用法律妥当，作出决定合适，不存在申请人所诉被申请人在认定事实及适用法律缺乏合法性的情况，请维持被申请人作出的行政行为。</w:t>
      </w:r>
    </w:p>
    <w:p w14:paraId="1F83AB3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yellow"/>
          <w:lang w:val="en-US" w:eastAsia="zh-CN" w:bidi="zh-CN"/>
        </w:rPr>
      </w:pPr>
      <w:r>
        <w:rPr>
          <w:rFonts w:hint="eastAsia" w:ascii="Times New Roman" w:hAnsi="Times New Roman" w:eastAsia="黑体" w:cs="Times New Roman"/>
          <w:bCs/>
          <w:kern w:val="2"/>
          <w:sz w:val="32"/>
          <w:szCs w:val="32"/>
          <w:highlight w:val="none"/>
          <w:lang w:val="en-US" w:eastAsia="zh-CN" w:bidi="zh-CN"/>
        </w:rPr>
        <w:t>本机关立案后查明：</w:t>
      </w:r>
      <w:r>
        <w:rPr>
          <w:rFonts w:hint="eastAsia" w:ascii="仿宋_GB2312" w:hAnsi="仿宋_GB2312" w:eastAsia="仿宋_GB2312" w:cs="仿宋_GB2312"/>
          <w:sz w:val="32"/>
          <w:szCs w:val="32"/>
          <w:highlight w:val="none"/>
          <w:lang w:val="en-US" w:eastAsia="zh-CN" w:bidi="zh-CN"/>
        </w:rPr>
        <w:t>2023年10月17日，申请人孙某在被举报人某公司在拼多多平台开设的店铺购买龙胆泻肝片。2023年12月4日，申请人孙某在全国12315平台进行举报，举报问题类型为“虚假宣传”，举报内容为：“</w:t>
      </w:r>
      <w:r>
        <w:rPr>
          <w:rFonts w:hint="eastAsia" w:ascii="仿宋_GB2312" w:hAnsi="仿宋_GB2312" w:eastAsia="仿宋_GB2312" w:cs="仿宋_GB2312"/>
          <w:kern w:val="2"/>
          <w:sz w:val="32"/>
          <w:szCs w:val="32"/>
          <w:highlight w:val="none"/>
          <w:lang w:val="en-US" w:eastAsia="zh-CN" w:bidi="zh-CN"/>
        </w:rPr>
        <w:t>2023年10月17日在其开设的拼多多专营店内购买了一款名为龙胆泻肝片宣称减肥的药品，宣称速降脂肪肝、治疗肥胖，宣称减掉大肚腩、当晚看效果强效减脂。但收到货后发现药品功能主治为清肝胆、利湿热，用于肝胆湿热所导致的头晕目赤、耳鸣耳聋、耳部疼痛、肋痛口苦，并没有减肥减脂瘦身的功能，属于虚假宣传，违反广告法欺诈消费者，另外对产品宣称表示功效、安全性的断言和保证违法《中华人民共和国广告法》第十六条，违反《中华人民共和国药品管理法》第九十六条，同时违反《药品、医疗器械、保健食品、特殊医学用途配方食品广告审查管理暂行办法》相关规定。请求查处</w:t>
      </w:r>
      <w:r>
        <w:rPr>
          <w:rFonts w:hint="eastAsia" w:ascii="仿宋_GB2312" w:hAnsi="仿宋_GB2312" w:eastAsia="仿宋_GB2312" w:cs="仿宋_GB2312"/>
          <w:sz w:val="32"/>
          <w:szCs w:val="32"/>
          <w:highlight w:val="none"/>
          <w:lang w:val="en-US" w:eastAsia="zh-CN" w:bidi="zh-CN"/>
        </w:rPr>
        <w:t>。”</w:t>
      </w:r>
    </w:p>
    <w:p w14:paraId="723AB33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经核查后，被申请人通过内部审批决定依据《市场监督管理行政处罚程序规定》第二十条对上述举报事项不予立案。</w:t>
      </w:r>
    </w:p>
    <w:p w14:paraId="23CC1CE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2023年12月5日，被申请人在全国12315平台对申请人孙某进行告知，告知内容为：不立案。不立案原因为“经查，举报事项不予立案。理由：接此举报，2023年12月5日上午，我所执法人员通知某公司负责人及店铺负责人到洛阳市涧西区郑州路市场监督管理所接受调查，并告知举报内容。1.我所执法人员要求该公司负责人现场登录拼多多店铺进行查看，未发现举报人举报的龙肝泻胆片药品链接及举报内容。2.经询问，该店负责人称：我公司负责人在2023年10月21日浏览拼多多该店铺发现龙胆泻肝片药品链接宣传有不妥当之处，立即要求公司运营部进行改正并下架该药品链接，我公司已经自行改正。3.因举报人在2023年10月中旬在我公司拼多多店购买一盒龙胆泻肝片，吃完后与我店铺客服协商申请退款，被拒绝后向信访局进行投诉，我公司已经明确拒绝市场监管部门调解。4.经洛阳市涧西区郑州路市场监督管理所核查，在拼多多店铺未发现被举报药品链接及宣传内容，鉴于被举报公司能够及时自行改正，因此，依据《市场监督管理行政处罚程序规定》第二十条第一款‘违法行为轻微并及时改正，没有造成危害后果’之规定，决定不予立案”。</w:t>
      </w:r>
    </w:p>
    <w:p w14:paraId="6DC5E85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Times New Roman" w:hAnsi="Times New Roman" w:eastAsia="黑体" w:cs="Times New Roman"/>
          <w:bCs/>
          <w:kern w:val="2"/>
          <w:sz w:val="32"/>
          <w:szCs w:val="32"/>
          <w:highlight w:val="none"/>
          <w:lang w:val="en-US" w:eastAsia="zh-CN" w:bidi="zh-CN"/>
        </w:rPr>
        <w:t>上述事实有下列证据证明：</w:t>
      </w:r>
      <w:r>
        <w:rPr>
          <w:rFonts w:hint="eastAsia" w:ascii="仿宋_GB2312" w:hAnsi="仿宋_GB2312" w:eastAsia="仿宋_GB2312" w:cs="仿宋_GB2312"/>
          <w:bCs/>
          <w:sz w:val="32"/>
          <w:szCs w:val="32"/>
          <w:highlight w:val="none"/>
          <w:lang w:eastAsia="zh-CN" w:bidi="zh-CN"/>
        </w:rPr>
        <w:t>1</w:t>
      </w:r>
      <w:r>
        <w:rPr>
          <w:rFonts w:hint="eastAsia" w:ascii="仿宋_GB2312" w:hAnsi="仿宋_GB2312" w:eastAsia="仿宋_GB2312" w:cs="仿宋_GB2312"/>
          <w:bCs/>
          <w:sz w:val="32"/>
          <w:szCs w:val="32"/>
          <w:highlight w:val="none"/>
          <w:lang w:val="en-US" w:eastAsia="zh-CN" w:bidi="zh-CN"/>
        </w:rPr>
        <w:t>.申请人身份证</w:t>
      </w:r>
      <w:r>
        <w:rPr>
          <w:rFonts w:hint="eastAsia" w:ascii="仿宋_GB2312" w:hAnsi="仿宋_GB2312" w:eastAsia="仿宋_GB2312" w:cs="仿宋_GB2312"/>
          <w:bCs/>
          <w:sz w:val="32"/>
          <w:szCs w:val="32"/>
          <w:highlight w:val="none"/>
          <w:lang w:eastAsia="zh-CN" w:bidi="zh-CN"/>
        </w:rPr>
        <w:t>复印件；2</w:t>
      </w:r>
      <w:r>
        <w:rPr>
          <w:rFonts w:hint="eastAsia" w:ascii="仿宋_GB2312" w:hAnsi="仿宋_GB2312" w:eastAsia="仿宋_GB2312" w:cs="仿宋_GB2312"/>
          <w:bCs/>
          <w:sz w:val="32"/>
          <w:szCs w:val="32"/>
          <w:highlight w:val="none"/>
          <w:lang w:val="en-US" w:eastAsia="zh-CN" w:bidi="zh-CN"/>
        </w:rPr>
        <w:t>.全国12315平台截图1张</w:t>
      </w:r>
      <w:r>
        <w:rPr>
          <w:rFonts w:hint="eastAsia" w:ascii="仿宋_GB2312" w:hAnsi="仿宋_GB2312" w:eastAsia="仿宋_GB2312" w:cs="仿宋_GB2312"/>
          <w:sz w:val="32"/>
          <w:szCs w:val="32"/>
          <w:highlight w:val="none"/>
          <w:lang w:val="en-US" w:eastAsia="zh-CN" w:bidi="zh-CN"/>
        </w:rPr>
        <w:t>；3.被举报人宣传照片3张</w:t>
      </w:r>
      <w:r>
        <w:rPr>
          <w:rFonts w:hint="eastAsia" w:ascii="仿宋_GB2312" w:hAnsi="仿宋_GB2312" w:eastAsia="仿宋_GB2312" w:cs="仿宋_GB2312"/>
          <w:bCs/>
          <w:sz w:val="32"/>
          <w:szCs w:val="32"/>
          <w:highlight w:val="none"/>
          <w:lang w:val="en-US" w:eastAsia="zh-CN" w:bidi="zh-CN"/>
        </w:rPr>
        <w:t>；4.订单截图1张；5.被举报人信息照片2张；6.快递照片1张；7.药品照片2张；8.现场核查记录1份；9.</w:t>
      </w:r>
      <w:r>
        <w:rPr>
          <w:rFonts w:hint="eastAsia" w:ascii="仿宋_GB2312" w:hAnsi="仿宋_GB2312" w:eastAsia="仿宋_GB2312" w:cs="仿宋_GB2312"/>
          <w:sz w:val="32"/>
          <w:szCs w:val="32"/>
          <w:highlight w:val="none"/>
          <w:lang w:val="en-US" w:eastAsia="zh-CN" w:bidi="zh-CN"/>
        </w:rPr>
        <w:t>不予立案审批表1份。</w:t>
      </w:r>
    </w:p>
    <w:p w14:paraId="3DBE2993">
      <w:pPr>
        <w:pStyle w:val="8"/>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highlight w:val="none"/>
          <w:lang w:eastAsia="zh-CN" w:bidi="zh-CN"/>
        </w:rPr>
      </w:pPr>
      <w:r>
        <w:rPr>
          <w:rFonts w:hint="eastAsia" w:ascii="Times New Roman" w:hAnsi="Times New Roman" w:eastAsia="黑体" w:cs="Times New Roman"/>
          <w:bCs/>
          <w:kern w:val="2"/>
          <w:sz w:val="32"/>
          <w:szCs w:val="32"/>
          <w:highlight w:val="none"/>
          <w:lang w:val="en-US" w:eastAsia="zh-CN" w:bidi="zh-CN"/>
        </w:rPr>
        <w:t>本机关审理后认为：</w:t>
      </w:r>
      <w:r>
        <w:rPr>
          <w:rFonts w:hint="eastAsia" w:ascii="仿宋_GB2312" w:hAnsi="仿宋_GB2312" w:eastAsia="仿宋_GB2312" w:cs="仿宋_GB2312"/>
          <w:color w:val="auto"/>
          <w:sz w:val="32"/>
          <w:szCs w:val="32"/>
          <w:highlight w:val="none"/>
          <w:lang w:eastAsia="zh-CN" w:bidi="zh-CN"/>
        </w:rPr>
        <w:t>根据《市场监督管理行政处罚程序规定》第十八条</w:t>
      </w:r>
      <w:r>
        <w:rPr>
          <w:rFonts w:hint="eastAsia" w:ascii="仿宋_GB2312" w:hAnsi="仿宋_GB2312" w:eastAsia="仿宋_GB2312" w:cs="仿宋_GB2312"/>
          <w:color w:val="auto"/>
          <w:sz w:val="32"/>
          <w:szCs w:val="32"/>
          <w:highlight w:val="none"/>
          <w:lang w:val="en-US" w:eastAsia="zh-CN" w:bidi="zh-CN"/>
        </w:rPr>
        <w:t>“</w:t>
      </w:r>
      <w:r>
        <w:rPr>
          <w:rFonts w:hint="eastAsia" w:ascii="仿宋_GB2312" w:hAnsi="仿宋_GB2312" w:eastAsia="仿宋_GB2312" w:cs="仿宋_GB2312"/>
          <w:color w:val="auto"/>
          <w:sz w:val="32"/>
          <w:szCs w:val="32"/>
          <w:highlight w:val="none"/>
          <w:lang w:eastAsia="zh-CN" w:bidi="zh-CN"/>
        </w:rPr>
        <w:t>市场</w:t>
      </w:r>
      <w:r>
        <w:rPr>
          <w:rFonts w:hint="eastAsia" w:ascii="仿宋_GB2312" w:hAnsi="仿宋_GB2312" w:eastAsia="仿宋_GB2312" w:cs="仿宋_GB2312"/>
          <w:bCs/>
          <w:kern w:val="2"/>
          <w:sz w:val="32"/>
          <w:szCs w:val="32"/>
          <w:highlight w:val="none"/>
          <w:lang w:val="en-US" w:eastAsia="zh-CN" w:bidi="zh-CN"/>
        </w:rPr>
        <w:t>监督</w:t>
      </w:r>
      <w:r>
        <w:rPr>
          <w:rFonts w:hint="eastAsia" w:ascii="仿宋_GB2312" w:hAnsi="仿宋_GB2312" w:eastAsia="仿宋_GB2312" w:cs="仿宋_GB2312"/>
          <w:color w:val="auto"/>
          <w:sz w:val="32"/>
          <w:szCs w:val="32"/>
          <w:highlight w:val="none"/>
          <w:lang w:eastAsia="zh-CN" w:bidi="zh-CN"/>
        </w:rPr>
        <w:t>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eastAsia" w:ascii="仿宋_GB2312" w:hAnsi="仿宋_GB2312" w:eastAsia="仿宋_GB2312" w:cs="仿宋_GB2312"/>
          <w:color w:val="auto"/>
          <w:sz w:val="32"/>
          <w:szCs w:val="32"/>
          <w:highlight w:val="none"/>
          <w:lang w:val="en-US" w:eastAsia="zh-CN" w:bidi="zh-CN"/>
        </w:rPr>
        <w:t>”</w:t>
      </w:r>
      <w:r>
        <w:rPr>
          <w:rFonts w:hint="eastAsia" w:ascii="仿宋_GB2312" w:hAnsi="仿宋_GB2312" w:eastAsia="仿宋_GB2312" w:cs="仿宋_GB2312"/>
          <w:color w:val="auto"/>
          <w:sz w:val="32"/>
          <w:szCs w:val="32"/>
          <w:highlight w:val="none"/>
          <w:lang w:eastAsia="zh-CN" w:bidi="zh-CN"/>
        </w:rPr>
        <w:t>。《市场监督管理投诉举报处理暂行办法》第三十一条“市场监督管理部门应当按照市场监督管理行政处罚等有关规定处理举报。举报人实名举报的，有处理权限的市场监督管理部门还应当自作出是否立案决</w:t>
      </w:r>
      <w:bookmarkStart w:id="0" w:name="_GoBack"/>
      <w:bookmarkEnd w:id="0"/>
      <w:r>
        <w:rPr>
          <w:rFonts w:hint="eastAsia" w:ascii="仿宋_GB2312" w:hAnsi="仿宋_GB2312" w:eastAsia="仿宋_GB2312" w:cs="仿宋_GB2312"/>
          <w:color w:val="auto"/>
          <w:sz w:val="32"/>
          <w:szCs w:val="32"/>
          <w:highlight w:val="none"/>
          <w:lang w:eastAsia="zh-CN" w:bidi="zh-CN"/>
        </w:rPr>
        <w:t>定之日起五个工作日内告知举报人”。依照上述规定，被举报人实际经营地或者住所地的县级市场监督管理部门具有处理举报的职权，应当自发现线索或者收到材料之日起十五个工作日内予以核查，经市场监督管理部门负责人决定作出立案或者不予立案的决定，举报人实名举报的，被申请人应当自作出是否立案决定之日起五个工作日内告知举报人。</w:t>
      </w:r>
    </w:p>
    <w:p w14:paraId="706EC3A8">
      <w:pPr>
        <w:pStyle w:val="8"/>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highlight w:val="none"/>
          <w:lang w:eastAsia="zh-CN" w:bidi="zh-CN"/>
        </w:rPr>
      </w:pPr>
      <w:r>
        <w:rPr>
          <w:rFonts w:hint="eastAsia" w:ascii="仿宋_GB2312" w:hAnsi="仿宋_GB2312" w:eastAsia="仿宋_GB2312" w:cs="仿宋_GB2312"/>
          <w:color w:val="auto"/>
          <w:sz w:val="32"/>
          <w:szCs w:val="32"/>
          <w:highlight w:val="none"/>
          <w:lang w:eastAsia="zh-CN" w:bidi="zh-CN"/>
        </w:rPr>
        <w:t>本案中，被申请人</w:t>
      </w:r>
      <w:r>
        <w:rPr>
          <w:rFonts w:hint="eastAsia" w:ascii="仿宋_GB2312" w:hAnsi="仿宋_GB2312" w:eastAsia="仿宋_GB2312" w:cs="仿宋_GB2312"/>
          <w:color w:val="auto"/>
          <w:sz w:val="32"/>
          <w:szCs w:val="32"/>
          <w:highlight w:val="none"/>
          <w:lang w:val="en-US" w:eastAsia="zh-CN" w:bidi="zh-CN"/>
        </w:rPr>
        <w:t>接到申请人举报信后，</w:t>
      </w:r>
      <w:r>
        <w:rPr>
          <w:rFonts w:hint="eastAsia" w:ascii="仿宋_GB2312" w:hAnsi="仿宋_GB2312" w:eastAsia="仿宋_GB2312" w:cs="仿宋_GB2312"/>
          <w:color w:val="auto"/>
          <w:sz w:val="32"/>
          <w:szCs w:val="32"/>
          <w:highlight w:val="none"/>
          <w:lang w:eastAsia="zh-CN" w:bidi="zh-CN"/>
        </w:rPr>
        <w:t>在法定期限内进行</w:t>
      </w:r>
      <w:r>
        <w:rPr>
          <w:rFonts w:hint="eastAsia" w:ascii="仿宋_GB2312" w:hAnsi="仿宋_GB2312" w:eastAsia="仿宋_GB2312" w:cs="仿宋_GB2312"/>
          <w:color w:val="auto"/>
          <w:sz w:val="32"/>
          <w:szCs w:val="32"/>
          <w:highlight w:val="none"/>
          <w:lang w:val="en-US" w:eastAsia="zh-CN" w:bidi="zh-CN"/>
        </w:rPr>
        <w:t>核查</w:t>
      </w:r>
      <w:r>
        <w:rPr>
          <w:rFonts w:hint="eastAsia" w:ascii="仿宋_GB2312" w:hAnsi="仿宋_GB2312" w:eastAsia="仿宋_GB2312" w:cs="仿宋_GB2312"/>
          <w:color w:val="auto"/>
          <w:sz w:val="32"/>
          <w:szCs w:val="32"/>
          <w:highlight w:val="none"/>
          <w:lang w:eastAsia="zh-CN" w:bidi="zh-CN"/>
        </w:rPr>
        <w:t>，决定不予立案后，在法定期限内告知申请人不立案决定。被申请人针对申请人的</w:t>
      </w:r>
      <w:r>
        <w:rPr>
          <w:rFonts w:hint="eastAsia" w:ascii="仿宋_GB2312" w:hAnsi="仿宋_GB2312" w:eastAsia="仿宋_GB2312" w:cs="仿宋_GB2312"/>
          <w:color w:val="auto"/>
          <w:sz w:val="32"/>
          <w:szCs w:val="32"/>
          <w:highlight w:val="none"/>
          <w:lang w:val="en-US" w:eastAsia="zh-CN" w:bidi="zh-CN"/>
        </w:rPr>
        <w:t>举报</w:t>
      </w:r>
      <w:r>
        <w:rPr>
          <w:rFonts w:hint="eastAsia" w:ascii="仿宋_GB2312" w:hAnsi="仿宋_GB2312" w:eastAsia="仿宋_GB2312" w:cs="仿宋_GB2312"/>
          <w:color w:val="auto"/>
          <w:sz w:val="32"/>
          <w:szCs w:val="32"/>
          <w:highlight w:val="none"/>
          <w:lang w:eastAsia="zh-CN" w:bidi="zh-CN"/>
        </w:rPr>
        <w:t>依法履行了法定职权，处理妥当，</w:t>
      </w:r>
      <w:r>
        <w:rPr>
          <w:rFonts w:hint="eastAsia" w:ascii="仿宋_GB2312" w:hAnsi="仿宋_GB2312" w:eastAsia="仿宋_GB2312" w:cs="仿宋_GB2312"/>
          <w:color w:val="auto"/>
          <w:sz w:val="32"/>
          <w:szCs w:val="32"/>
          <w:highlight w:val="none"/>
          <w:lang w:val="en-US" w:eastAsia="zh-CN" w:bidi="zh-CN"/>
        </w:rPr>
        <w:t>程序合法</w:t>
      </w:r>
      <w:r>
        <w:rPr>
          <w:rFonts w:hint="eastAsia" w:ascii="仿宋_GB2312" w:hAnsi="仿宋_GB2312" w:eastAsia="仿宋_GB2312" w:cs="仿宋_GB2312"/>
          <w:color w:val="auto"/>
          <w:sz w:val="32"/>
          <w:szCs w:val="32"/>
          <w:highlight w:val="none"/>
          <w:lang w:eastAsia="zh-CN" w:bidi="zh-CN"/>
        </w:rPr>
        <w:t>。</w:t>
      </w:r>
    </w:p>
    <w:p w14:paraId="5526920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综上，依据《中华人民共和国行政复议法》第六十八条之规定，本机关决定如下：</w:t>
      </w:r>
    </w:p>
    <w:p w14:paraId="476D1E4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维持被申请人洛阳市涧西区市场监督管理局对申请人孙某针对</w:t>
      </w:r>
      <w:r>
        <w:rPr>
          <w:rFonts w:hint="eastAsia" w:ascii="仿宋_GB2312" w:hAnsi="仿宋_GB2312" w:eastAsia="仿宋_GB2312" w:cs="仿宋_GB2312"/>
          <w:sz w:val="32"/>
          <w:szCs w:val="32"/>
          <w:highlight w:val="none"/>
          <w:lang w:val="en-US" w:eastAsia="zh-CN" w:bidi="zh-CN"/>
        </w:rPr>
        <w:t>某公司</w:t>
      </w:r>
      <w:r>
        <w:rPr>
          <w:rFonts w:hint="eastAsia" w:ascii="仿宋_GB2312" w:hAnsi="仿宋_GB2312" w:eastAsia="仿宋_GB2312" w:cs="仿宋_GB2312"/>
          <w:color w:val="auto"/>
          <w:sz w:val="32"/>
          <w:szCs w:val="32"/>
          <w:highlight w:val="none"/>
          <w:lang w:val="en-US" w:eastAsia="zh-CN" w:bidi="zh-CN"/>
        </w:rPr>
        <w:t>举报作出的答复行为。</w:t>
      </w:r>
    </w:p>
    <w:p w14:paraId="67BB525A">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Cs/>
          <w:sz w:val="32"/>
          <w:szCs w:val="32"/>
          <w:highlight w:val="none"/>
          <w:lang w:val="en-US" w:eastAsia="zh-CN" w:bidi="zh-CN"/>
        </w:rPr>
      </w:pPr>
      <w:r>
        <w:rPr>
          <w:rFonts w:hint="eastAsia" w:ascii="仿宋_GB2312" w:hAnsi="仿宋_GB2312" w:eastAsia="仿宋_GB2312" w:cs="仿宋_GB2312"/>
          <w:bCs/>
          <w:sz w:val="32"/>
          <w:szCs w:val="32"/>
          <w:highlight w:val="none"/>
          <w:lang w:val="en-US" w:eastAsia="zh-CN" w:bidi="zh-CN"/>
        </w:rPr>
        <w:t>申请人如对本决定不服，可在接到本决定书之日起15日内向有管辖权的人民法院提起行政诉讼。</w:t>
      </w:r>
    </w:p>
    <w:p w14:paraId="7F843541">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lang w:eastAsia="zh-CN" w:bidi="zh-CN"/>
        </w:rPr>
      </w:pPr>
    </w:p>
    <w:p w14:paraId="2B295AA8">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lang w:eastAsia="zh-CN" w:bidi="zh-CN"/>
        </w:rPr>
      </w:pPr>
    </w:p>
    <w:p w14:paraId="65BBF937">
      <w:pPr>
        <w:pStyle w:val="8"/>
        <w:keepNext w:val="0"/>
        <w:keepLines w:val="0"/>
        <w:pageBreakBefore w:val="0"/>
        <w:widowControl w:val="0"/>
        <w:tabs>
          <w:tab w:val="left" w:pos="7560"/>
        </w:tabs>
        <w:kinsoku/>
        <w:wordWrap/>
        <w:overflowPunct/>
        <w:topLinePunct w:val="0"/>
        <w:autoSpaceDE/>
        <w:autoSpaceDN/>
        <w:bidi w:val="0"/>
        <w:adjustRightInd/>
        <w:snapToGrid/>
        <w:spacing w:line="580" w:lineRule="exact"/>
        <w:ind w:left="5758" w:leftChars="304" w:hanging="5120" w:hangingChars="160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color w:val="auto"/>
          <w:sz w:val="32"/>
          <w:szCs w:val="32"/>
          <w:highlight w:val="none"/>
          <w:lang w:eastAsia="zh-CN" w:bidi="zh-CN"/>
        </w:rPr>
        <w:t xml:space="preserve">                        </w:t>
      </w:r>
      <w:r>
        <w:rPr>
          <w:rFonts w:hint="eastAsia" w:ascii="仿宋_GB2312" w:hAnsi="仿宋_GB2312" w:eastAsia="仿宋_GB2312" w:cs="仿宋_GB2312"/>
          <w:color w:val="auto"/>
          <w:sz w:val="32"/>
          <w:szCs w:val="32"/>
          <w:highlight w:val="none"/>
          <w:lang w:val="en-US" w:eastAsia="zh-CN" w:bidi="zh-CN"/>
        </w:rPr>
        <w:t xml:space="preserve">        </w:t>
      </w:r>
      <w:r>
        <w:rPr>
          <w:rFonts w:hint="eastAsia" w:ascii="仿宋_GB2312" w:hAnsi="仿宋_GB2312" w:eastAsia="仿宋_GB2312" w:cs="仿宋_GB2312"/>
          <w:color w:val="auto"/>
          <w:sz w:val="32"/>
          <w:szCs w:val="32"/>
          <w:highlight w:val="none"/>
          <w:lang w:eastAsia="zh-CN" w:bidi="zh-CN"/>
        </w:rPr>
        <w:t xml:space="preserve"> </w:t>
      </w:r>
      <w:r>
        <w:rPr>
          <w:rFonts w:hint="eastAsia" w:ascii="仿宋_GB2312" w:hAnsi="仿宋_GB2312" w:eastAsia="仿宋_GB2312" w:cs="仿宋_GB2312"/>
          <w:color w:val="auto"/>
          <w:sz w:val="32"/>
          <w:szCs w:val="32"/>
          <w:highlight w:val="none"/>
          <w:lang w:val="en-US" w:eastAsia="zh-CN" w:bidi="zh-CN"/>
        </w:rPr>
        <w:t xml:space="preserve">           </w:t>
      </w:r>
      <w:r>
        <w:rPr>
          <w:rFonts w:hint="eastAsia" w:ascii="仿宋_GB2312" w:hAnsi="仿宋_GB2312" w:eastAsia="仿宋_GB2312" w:cs="仿宋_GB2312"/>
          <w:color w:val="auto"/>
          <w:sz w:val="32"/>
          <w:szCs w:val="32"/>
          <w:highlight w:val="none"/>
          <w:lang w:eastAsia="zh-CN" w:bidi="zh-CN"/>
        </w:rPr>
        <w:t xml:space="preserve">  </w:t>
      </w:r>
      <w:r>
        <w:rPr>
          <w:rFonts w:hint="eastAsia" w:ascii="仿宋_GB2312" w:hAnsi="仿宋_GB2312" w:eastAsia="仿宋_GB2312" w:cs="仿宋_GB2312"/>
          <w:color w:val="auto"/>
          <w:sz w:val="32"/>
          <w:szCs w:val="32"/>
          <w:highlight w:val="none"/>
          <w:lang w:val="en-US" w:eastAsia="zh-CN" w:bidi="zh-CN"/>
        </w:rPr>
        <w:t xml:space="preserve">       </w:t>
      </w:r>
      <w:r>
        <w:rPr>
          <w:rFonts w:hint="eastAsia" w:ascii="仿宋_GB2312" w:hAnsi="仿宋_GB2312" w:eastAsia="仿宋_GB2312" w:cs="仿宋_GB2312"/>
          <w:color w:val="auto"/>
          <w:sz w:val="32"/>
          <w:szCs w:val="32"/>
          <w:highlight w:val="none"/>
          <w:lang w:eastAsia="zh-CN" w:bidi="zh-CN"/>
        </w:rPr>
        <w:t xml:space="preserve"> </w:t>
      </w:r>
      <w:r>
        <w:rPr>
          <w:rFonts w:hint="eastAsia" w:ascii="仿宋_GB2312" w:hAnsi="仿宋_GB2312" w:eastAsia="仿宋_GB2312" w:cs="仿宋_GB2312"/>
          <w:color w:val="auto"/>
          <w:sz w:val="32"/>
          <w:szCs w:val="32"/>
          <w:highlight w:val="none"/>
          <w:lang w:val="en-US" w:eastAsia="zh-CN" w:bidi="zh-CN"/>
        </w:rPr>
        <w:t xml:space="preserve">                              </w:t>
      </w:r>
      <w:r>
        <w:rPr>
          <w:rFonts w:hint="eastAsia" w:ascii="仿宋_GB2312" w:hAnsi="仿宋_GB2312" w:eastAsia="仿宋_GB2312" w:cs="仿宋_GB2312"/>
          <w:color w:val="auto"/>
          <w:sz w:val="32"/>
          <w:szCs w:val="32"/>
          <w:highlight w:val="none"/>
          <w:lang w:eastAsia="zh-CN" w:bidi="zh-CN"/>
        </w:rPr>
        <w:t>202</w:t>
      </w:r>
      <w:r>
        <w:rPr>
          <w:rFonts w:hint="eastAsia" w:ascii="仿宋_GB2312" w:hAnsi="仿宋_GB2312" w:eastAsia="仿宋_GB2312" w:cs="仿宋_GB2312"/>
          <w:color w:val="auto"/>
          <w:sz w:val="32"/>
          <w:szCs w:val="32"/>
          <w:highlight w:val="none"/>
          <w:lang w:val="en-US" w:eastAsia="zh-CN" w:bidi="zh-CN"/>
        </w:rPr>
        <w:t>4</w:t>
      </w:r>
      <w:r>
        <w:rPr>
          <w:rFonts w:hint="eastAsia" w:ascii="仿宋_GB2312" w:hAnsi="仿宋_GB2312" w:eastAsia="仿宋_GB2312" w:cs="仿宋_GB2312"/>
          <w:color w:val="auto"/>
          <w:sz w:val="32"/>
          <w:szCs w:val="32"/>
          <w:highlight w:val="none"/>
          <w:lang w:eastAsia="zh-CN" w:bidi="zh-CN"/>
        </w:rPr>
        <w:t>年</w:t>
      </w:r>
      <w:r>
        <w:rPr>
          <w:rFonts w:hint="eastAsia" w:ascii="仿宋_GB2312" w:hAnsi="仿宋_GB2312" w:eastAsia="仿宋_GB2312" w:cs="仿宋_GB2312"/>
          <w:color w:val="auto"/>
          <w:sz w:val="32"/>
          <w:szCs w:val="32"/>
          <w:highlight w:val="none"/>
          <w:lang w:val="en-US" w:eastAsia="zh-CN" w:bidi="zh-CN"/>
        </w:rPr>
        <w:t>1</w:t>
      </w:r>
      <w:r>
        <w:rPr>
          <w:rFonts w:hint="eastAsia" w:ascii="仿宋_GB2312" w:hAnsi="仿宋_GB2312" w:eastAsia="仿宋_GB2312" w:cs="仿宋_GB2312"/>
          <w:color w:val="auto"/>
          <w:sz w:val="32"/>
          <w:szCs w:val="32"/>
          <w:highlight w:val="none"/>
          <w:lang w:eastAsia="zh-CN" w:bidi="zh-CN"/>
        </w:rPr>
        <w:t>月</w:t>
      </w:r>
      <w:r>
        <w:rPr>
          <w:rFonts w:hint="eastAsia" w:ascii="仿宋_GB2312" w:hAnsi="仿宋_GB2312" w:eastAsia="仿宋_GB2312" w:cs="仿宋_GB2312"/>
          <w:color w:val="auto"/>
          <w:sz w:val="32"/>
          <w:szCs w:val="32"/>
          <w:highlight w:val="none"/>
          <w:lang w:val="en-US" w:eastAsia="zh-CN" w:bidi="zh-CN"/>
        </w:rPr>
        <w:t>30</w:t>
      </w:r>
      <w:r>
        <w:rPr>
          <w:rFonts w:hint="eastAsia" w:ascii="仿宋_GB2312" w:hAnsi="仿宋_GB2312" w:eastAsia="仿宋_GB2312" w:cs="仿宋_GB2312"/>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6A615A6-859E-4DF4-B7EC-F207ACE8162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E7B430E7-357E-49FF-BB66-3BE7B4A5EC7B}"/>
  </w:font>
  <w:font w:name="仿宋_GB2312">
    <w:panose1 w:val="02010609030101010101"/>
    <w:charset w:val="86"/>
    <w:family w:val="auto"/>
    <w:pitch w:val="default"/>
    <w:sig w:usb0="00000001" w:usb1="080E0000" w:usb2="00000000" w:usb3="00000000" w:csb0="00040000" w:csb1="00000000"/>
    <w:embedRegular r:id="rId3" w:fontKey="{28E216E3-B315-4656-A445-F700BC146E2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9D270">
    <w:pPr>
      <w:pStyle w:val="2"/>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2CFEEF73">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A0F1B"/>
    <w:rsid w:val="00B1058E"/>
    <w:rsid w:val="00F0023A"/>
    <w:rsid w:val="01935532"/>
    <w:rsid w:val="01AB71A3"/>
    <w:rsid w:val="01AE3AC2"/>
    <w:rsid w:val="01F55FF7"/>
    <w:rsid w:val="023044A3"/>
    <w:rsid w:val="02463B2B"/>
    <w:rsid w:val="04C258B7"/>
    <w:rsid w:val="05684CF4"/>
    <w:rsid w:val="05AB73D8"/>
    <w:rsid w:val="05F35C4C"/>
    <w:rsid w:val="06603828"/>
    <w:rsid w:val="0683788A"/>
    <w:rsid w:val="06E670D4"/>
    <w:rsid w:val="07676E55"/>
    <w:rsid w:val="0AEE412E"/>
    <w:rsid w:val="0B0F3846"/>
    <w:rsid w:val="0C592F5E"/>
    <w:rsid w:val="0CF93EE8"/>
    <w:rsid w:val="0D5658CA"/>
    <w:rsid w:val="0D581A7A"/>
    <w:rsid w:val="0EFD435B"/>
    <w:rsid w:val="0F12248E"/>
    <w:rsid w:val="0F5615D1"/>
    <w:rsid w:val="0F6E7396"/>
    <w:rsid w:val="0FBF372E"/>
    <w:rsid w:val="1087154B"/>
    <w:rsid w:val="12677A45"/>
    <w:rsid w:val="137F7056"/>
    <w:rsid w:val="14377C12"/>
    <w:rsid w:val="145660AB"/>
    <w:rsid w:val="14824112"/>
    <w:rsid w:val="15107D0B"/>
    <w:rsid w:val="15955C78"/>
    <w:rsid w:val="15B176FB"/>
    <w:rsid w:val="166B0A8A"/>
    <w:rsid w:val="168F1FC7"/>
    <w:rsid w:val="169E2EA4"/>
    <w:rsid w:val="16BB08CC"/>
    <w:rsid w:val="16F83DC9"/>
    <w:rsid w:val="194D5E34"/>
    <w:rsid w:val="1A0C427A"/>
    <w:rsid w:val="1A5E5AF6"/>
    <w:rsid w:val="1B341A3A"/>
    <w:rsid w:val="1B690CD7"/>
    <w:rsid w:val="1B894582"/>
    <w:rsid w:val="1C511AE1"/>
    <w:rsid w:val="1C7C5772"/>
    <w:rsid w:val="1CA4041A"/>
    <w:rsid w:val="1CA64FBD"/>
    <w:rsid w:val="1D246750"/>
    <w:rsid w:val="1DD0667F"/>
    <w:rsid w:val="1DD427E6"/>
    <w:rsid w:val="1E5F050A"/>
    <w:rsid w:val="1E72138E"/>
    <w:rsid w:val="1EAE0C12"/>
    <w:rsid w:val="1EF31B6A"/>
    <w:rsid w:val="208613EE"/>
    <w:rsid w:val="208B4BFB"/>
    <w:rsid w:val="20B15A4F"/>
    <w:rsid w:val="216C1917"/>
    <w:rsid w:val="216D5F5C"/>
    <w:rsid w:val="21822537"/>
    <w:rsid w:val="21E73C49"/>
    <w:rsid w:val="22514FF4"/>
    <w:rsid w:val="23101D06"/>
    <w:rsid w:val="244E5C06"/>
    <w:rsid w:val="247E525A"/>
    <w:rsid w:val="249013D3"/>
    <w:rsid w:val="24BD7C81"/>
    <w:rsid w:val="25687383"/>
    <w:rsid w:val="25B73126"/>
    <w:rsid w:val="26844111"/>
    <w:rsid w:val="26926393"/>
    <w:rsid w:val="26E82D43"/>
    <w:rsid w:val="27516B86"/>
    <w:rsid w:val="27B60709"/>
    <w:rsid w:val="28112338"/>
    <w:rsid w:val="28AF60CB"/>
    <w:rsid w:val="28F15BC1"/>
    <w:rsid w:val="290114EB"/>
    <w:rsid w:val="297910A8"/>
    <w:rsid w:val="29A67FF1"/>
    <w:rsid w:val="29C679CD"/>
    <w:rsid w:val="29DB05E0"/>
    <w:rsid w:val="29DC1788"/>
    <w:rsid w:val="2A6169CE"/>
    <w:rsid w:val="2A8C00A4"/>
    <w:rsid w:val="2A8E5B46"/>
    <w:rsid w:val="2AA702DB"/>
    <w:rsid w:val="2AE86452"/>
    <w:rsid w:val="2AF73E8C"/>
    <w:rsid w:val="2B1725AC"/>
    <w:rsid w:val="2B3301B0"/>
    <w:rsid w:val="2BE7258F"/>
    <w:rsid w:val="2BF5596C"/>
    <w:rsid w:val="2C0143DD"/>
    <w:rsid w:val="2CE6483A"/>
    <w:rsid w:val="2D00431D"/>
    <w:rsid w:val="2D950A4F"/>
    <w:rsid w:val="2DBF665F"/>
    <w:rsid w:val="2DD279B5"/>
    <w:rsid w:val="2E19473C"/>
    <w:rsid w:val="2F1A772C"/>
    <w:rsid w:val="2F995907"/>
    <w:rsid w:val="305038DF"/>
    <w:rsid w:val="30692E9B"/>
    <w:rsid w:val="308E7498"/>
    <w:rsid w:val="309B79B6"/>
    <w:rsid w:val="322B295E"/>
    <w:rsid w:val="32E72B3B"/>
    <w:rsid w:val="332F26E5"/>
    <w:rsid w:val="338B5419"/>
    <w:rsid w:val="34615317"/>
    <w:rsid w:val="347327FA"/>
    <w:rsid w:val="34DE42C3"/>
    <w:rsid w:val="35023358"/>
    <w:rsid w:val="35AB1595"/>
    <w:rsid w:val="35CF524D"/>
    <w:rsid w:val="36B82A7F"/>
    <w:rsid w:val="37083929"/>
    <w:rsid w:val="370A7A30"/>
    <w:rsid w:val="371862A9"/>
    <w:rsid w:val="374E6F28"/>
    <w:rsid w:val="37D0718F"/>
    <w:rsid w:val="37E83366"/>
    <w:rsid w:val="37F005AF"/>
    <w:rsid w:val="387E6AA8"/>
    <w:rsid w:val="39B42E2B"/>
    <w:rsid w:val="39EB533B"/>
    <w:rsid w:val="3A357B3E"/>
    <w:rsid w:val="3A9F0679"/>
    <w:rsid w:val="3B0312A1"/>
    <w:rsid w:val="3BBBC973"/>
    <w:rsid w:val="3C3629DD"/>
    <w:rsid w:val="3D1141E0"/>
    <w:rsid w:val="3D3C3730"/>
    <w:rsid w:val="3EDE61C9"/>
    <w:rsid w:val="3FCD9701"/>
    <w:rsid w:val="40670B29"/>
    <w:rsid w:val="41C64449"/>
    <w:rsid w:val="41D30943"/>
    <w:rsid w:val="42AD50EE"/>
    <w:rsid w:val="43394075"/>
    <w:rsid w:val="449A36B2"/>
    <w:rsid w:val="44A51827"/>
    <w:rsid w:val="44E70442"/>
    <w:rsid w:val="47675DD4"/>
    <w:rsid w:val="48513B2C"/>
    <w:rsid w:val="48FF3E1F"/>
    <w:rsid w:val="490308AB"/>
    <w:rsid w:val="4A0D3931"/>
    <w:rsid w:val="4A30518B"/>
    <w:rsid w:val="4A976065"/>
    <w:rsid w:val="4AB50353"/>
    <w:rsid w:val="4BB44AB8"/>
    <w:rsid w:val="4BEE4235"/>
    <w:rsid w:val="4BF76180"/>
    <w:rsid w:val="4C4617DA"/>
    <w:rsid w:val="4C9F663F"/>
    <w:rsid w:val="4CAB079A"/>
    <w:rsid w:val="4D617749"/>
    <w:rsid w:val="4E153175"/>
    <w:rsid w:val="4E892B8E"/>
    <w:rsid w:val="4EEB36E8"/>
    <w:rsid w:val="4EFB6111"/>
    <w:rsid w:val="4FA80DCA"/>
    <w:rsid w:val="50F30189"/>
    <w:rsid w:val="531C495C"/>
    <w:rsid w:val="53223260"/>
    <w:rsid w:val="53830F02"/>
    <w:rsid w:val="5410495A"/>
    <w:rsid w:val="55126890"/>
    <w:rsid w:val="56CE500E"/>
    <w:rsid w:val="573265F8"/>
    <w:rsid w:val="57B63C8A"/>
    <w:rsid w:val="59415B92"/>
    <w:rsid w:val="59CE07A9"/>
    <w:rsid w:val="5A314D99"/>
    <w:rsid w:val="5A414AD7"/>
    <w:rsid w:val="5A791156"/>
    <w:rsid w:val="5A8B5893"/>
    <w:rsid w:val="5A900F23"/>
    <w:rsid w:val="5BE340D4"/>
    <w:rsid w:val="5BF424F5"/>
    <w:rsid w:val="5CB337F7"/>
    <w:rsid w:val="5D6448EC"/>
    <w:rsid w:val="5D67459D"/>
    <w:rsid w:val="5D801B4F"/>
    <w:rsid w:val="5DDC5BCF"/>
    <w:rsid w:val="5E7530A7"/>
    <w:rsid w:val="5F1861FE"/>
    <w:rsid w:val="5F2CAEFE"/>
    <w:rsid w:val="5F6B608A"/>
    <w:rsid w:val="609114F4"/>
    <w:rsid w:val="60E21390"/>
    <w:rsid w:val="60FE457C"/>
    <w:rsid w:val="619937D4"/>
    <w:rsid w:val="62967EC8"/>
    <w:rsid w:val="64080EB3"/>
    <w:rsid w:val="641A55BD"/>
    <w:rsid w:val="64505863"/>
    <w:rsid w:val="64640EA2"/>
    <w:rsid w:val="64A758F9"/>
    <w:rsid w:val="6614691F"/>
    <w:rsid w:val="664320A1"/>
    <w:rsid w:val="66BF060A"/>
    <w:rsid w:val="68260326"/>
    <w:rsid w:val="684461C6"/>
    <w:rsid w:val="693D690F"/>
    <w:rsid w:val="69727678"/>
    <w:rsid w:val="69800A94"/>
    <w:rsid w:val="6A0D15A0"/>
    <w:rsid w:val="6A6478B3"/>
    <w:rsid w:val="6A7271DF"/>
    <w:rsid w:val="6A8915F0"/>
    <w:rsid w:val="6A906E2F"/>
    <w:rsid w:val="6BB96942"/>
    <w:rsid w:val="6BE93C0D"/>
    <w:rsid w:val="6C2D35DC"/>
    <w:rsid w:val="6CBB719C"/>
    <w:rsid w:val="6CCF1940"/>
    <w:rsid w:val="6CD06EA8"/>
    <w:rsid w:val="6D805AC5"/>
    <w:rsid w:val="6DAA534F"/>
    <w:rsid w:val="6E1663CE"/>
    <w:rsid w:val="6E9F307A"/>
    <w:rsid w:val="6F0A6680"/>
    <w:rsid w:val="6F223CBA"/>
    <w:rsid w:val="6F4551EB"/>
    <w:rsid w:val="6FC55CD2"/>
    <w:rsid w:val="6FE43798"/>
    <w:rsid w:val="703C78C3"/>
    <w:rsid w:val="703D56B5"/>
    <w:rsid w:val="710C6C52"/>
    <w:rsid w:val="713E0C0B"/>
    <w:rsid w:val="71F7460A"/>
    <w:rsid w:val="724F13FB"/>
    <w:rsid w:val="725D1936"/>
    <w:rsid w:val="766D7B9D"/>
    <w:rsid w:val="7776476A"/>
    <w:rsid w:val="779F2A68"/>
    <w:rsid w:val="78115138"/>
    <w:rsid w:val="78361C89"/>
    <w:rsid w:val="788758AB"/>
    <w:rsid w:val="798E7D96"/>
    <w:rsid w:val="7990031C"/>
    <w:rsid w:val="7A234A4C"/>
    <w:rsid w:val="7A2A0354"/>
    <w:rsid w:val="7A624E4F"/>
    <w:rsid w:val="7A6913E6"/>
    <w:rsid w:val="7A9207BD"/>
    <w:rsid w:val="7AB11DB7"/>
    <w:rsid w:val="7B24244A"/>
    <w:rsid w:val="7BEF44F0"/>
    <w:rsid w:val="7C1021D1"/>
    <w:rsid w:val="7CED3B5F"/>
    <w:rsid w:val="7DBEC43C"/>
    <w:rsid w:val="7EA2308E"/>
    <w:rsid w:val="7EAE5A01"/>
    <w:rsid w:val="7FDF16CB"/>
    <w:rsid w:val="87DA8C8E"/>
    <w:rsid w:val="BBFF9DA3"/>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5">
    <w:name w:val="Normal (Web)"/>
    <w:basedOn w:val="1"/>
    <w:qFormat/>
    <w:uiPriority w:val="99"/>
    <w:pPr>
      <w:spacing w:before="100" w:beforeAutospacing="1" w:after="100" w:afterAutospacing="1"/>
      <w:jc w:val="left"/>
    </w:pPr>
    <w:rPr>
      <w:rFonts w:cs="Times New Roman"/>
      <w:kern w:val="0"/>
      <w:sz w:val="24"/>
    </w:rPr>
  </w:style>
  <w:style w:type="paragraph" w:customStyle="1" w:styleId="8">
    <w:name w:val="Normal Indent"/>
    <w:basedOn w:val="1"/>
    <w:qFormat/>
    <w:uiPriority w:val="0"/>
    <w:pPr>
      <w:ind w:firstLine="420" w:firstLineChars="200"/>
    </w:pPr>
  </w:style>
  <w:style w:type="paragraph" w:customStyle="1"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10">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3793</Words>
  <Characters>3943</Characters>
  <Lines>0</Lines>
  <Paragraphs>0</Paragraphs>
  <TotalTime>27</TotalTime>
  <ScaleCrop>false</ScaleCrop>
  <LinksUpToDate>false</LinksUpToDate>
  <CharactersWithSpaces>4034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2024-01-18T19:59:00Z</cp:lastPrinted>
  <dcterms:modified xsi:type="dcterms:W3CDTF">2024-11-07T07:47:49Z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