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75DED0">
      <w:pPr>
        <w:keepNext w:val="0"/>
        <w:keepLines w:val="0"/>
        <w:pageBreakBefore w:val="0"/>
        <w:kinsoku/>
        <w:wordWrap/>
        <w:overflowPunct w:val="0"/>
        <w:topLinePunct w:val="0"/>
        <w:autoSpaceDE/>
        <w:autoSpaceDN/>
        <w:bidi w:val="0"/>
        <w:adjustRightInd/>
        <w:snapToGrid/>
        <w:jc w:val="center"/>
        <w:textAlignment w:val="auto"/>
        <w:rPr>
          <w:rFonts w:hint="default" w:ascii="Times New Roman" w:hAnsi="Times New Roman" w:eastAsia="方正小标宋简体" w:cs="Times New Roman"/>
          <w:sz w:val="44"/>
          <w:szCs w:val="44"/>
          <w:highlight w:val="none"/>
        </w:rPr>
      </w:pPr>
      <w:r>
        <w:rPr>
          <w:rFonts w:hint="default" w:ascii="Times New Roman" w:hAnsi="Times New Roman" w:eastAsia="方正小标宋简体" w:cs="Times New Roman"/>
          <w:sz w:val="44"/>
          <w:szCs w:val="44"/>
          <w:highlight w:val="none"/>
        </w:rPr>
        <w:t>行政复议决定书</w:t>
      </w:r>
    </w:p>
    <w:p w14:paraId="2659A2B5">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right"/>
        <w:textAlignment w:val="auto"/>
        <w:rPr>
          <w:rFonts w:hint="default" w:ascii="Times New Roman" w:hAnsi="Times New Roman" w:eastAsia="仿宋_GB2312" w:cs="Times New Roman"/>
          <w:color w:val="auto"/>
          <w:sz w:val="32"/>
          <w:szCs w:val="32"/>
          <w:highlight w:val="lightGray"/>
          <w:lang w:val="en-US" w:eastAsia="zh-CN" w:bidi="zh-CN"/>
        </w:rPr>
      </w:pPr>
      <w:r>
        <w:rPr>
          <w:rFonts w:hint="default" w:ascii="Times New Roman" w:hAnsi="Times New Roman" w:eastAsia="仿宋_GB2312" w:cs="Times New Roman"/>
          <w:color w:val="auto"/>
          <w:sz w:val="32"/>
          <w:szCs w:val="32"/>
          <w:highlight w:val="none"/>
          <w:lang w:val="en-US" w:eastAsia="zh-CN" w:bidi="zh-CN"/>
        </w:rPr>
        <w:t xml:space="preserve">    涧政复决字〔202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val="en-US" w:eastAsia="zh-CN" w:bidi="zh-CN"/>
        </w:rPr>
        <w:t>〕第</w:t>
      </w:r>
      <w:r>
        <w:rPr>
          <w:rFonts w:hint="eastAsia" w:ascii="Times New Roman" w:hAnsi="Times New Roman" w:eastAsia="仿宋_GB2312" w:cs="Times New Roman"/>
          <w:color w:val="auto"/>
          <w:sz w:val="32"/>
          <w:szCs w:val="32"/>
          <w:highlight w:val="none"/>
          <w:lang w:val="en-US" w:eastAsia="zh-CN" w:bidi="zh-CN"/>
        </w:rPr>
        <w:t>8</w:t>
      </w:r>
      <w:r>
        <w:rPr>
          <w:rFonts w:hint="default" w:ascii="Times New Roman" w:hAnsi="Times New Roman" w:eastAsia="仿宋_GB2312" w:cs="Times New Roman"/>
          <w:color w:val="auto"/>
          <w:sz w:val="32"/>
          <w:szCs w:val="32"/>
          <w:highlight w:val="none"/>
          <w:lang w:val="en-US" w:eastAsia="zh-CN" w:bidi="zh-CN"/>
        </w:rPr>
        <w:t>号</w:t>
      </w:r>
    </w:p>
    <w:p w14:paraId="1C2394C1">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申请人：</w:t>
      </w:r>
      <w:r>
        <w:rPr>
          <w:rFonts w:hint="eastAsia" w:ascii="Times New Roman" w:hAnsi="Times New Roman" w:eastAsia="仿宋_GB2312" w:cs="Times New Roman"/>
          <w:color w:val="auto"/>
          <w:sz w:val="32"/>
          <w:szCs w:val="32"/>
          <w:highlight w:val="none"/>
          <w:lang w:val="en-US" w:eastAsia="zh-CN" w:bidi="zh-CN"/>
        </w:rPr>
        <w:t>王某</w:t>
      </w:r>
      <w:r>
        <w:rPr>
          <w:rFonts w:hint="default" w:ascii="Times New Roman" w:hAnsi="Times New Roman" w:eastAsia="仿宋_GB2312" w:cs="Times New Roman"/>
          <w:color w:val="auto"/>
          <w:sz w:val="32"/>
          <w:szCs w:val="32"/>
          <w:highlight w:val="none"/>
          <w:lang w:val="en-US" w:eastAsia="zh-CN" w:bidi="zh-CN"/>
        </w:rPr>
        <w:t>。</w:t>
      </w:r>
    </w:p>
    <w:p w14:paraId="026A3F05">
      <w:pPr>
        <w:pStyle w:val="7"/>
        <w:keepNext w:val="0"/>
        <w:keepLines w:val="0"/>
        <w:pageBreakBefore w:val="0"/>
        <w:kinsoku/>
        <w:wordWrap/>
        <w:overflowPunct w:val="0"/>
        <w:topLinePunct w:val="0"/>
        <w:autoSpaceDE/>
        <w:autoSpaceDN/>
        <w:bidi w:val="0"/>
        <w:adjustRightInd/>
        <w:snapToGrid/>
        <w:spacing w:line="580" w:lineRule="exact"/>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被申请人：</w:t>
      </w:r>
      <w:r>
        <w:rPr>
          <w:rFonts w:hint="eastAsia" w:ascii="Times New Roman" w:hAnsi="Times New Roman" w:eastAsia="仿宋_GB2312" w:cs="Times New Roman"/>
          <w:color w:val="auto"/>
          <w:sz w:val="32"/>
          <w:szCs w:val="32"/>
          <w:highlight w:val="none"/>
          <w:lang w:val="en-US" w:eastAsia="zh-CN" w:bidi="zh-CN"/>
        </w:rPr>
        <w:t>洛阳市涧西区住房和城乡建设局</w:t>
      </w:r>
    </w:p>
    <w:p w14:paraId="0DBDB996">
      <w:pPr>
        <w:pStyle w:val="7"/>
        <w:keepNext w:val="0"/>
        <w:keepLines w:val="0"/>
        <w:pageBreakBefore w:val="0"/>
        <w:kinsoku/>
        <w:wordWrap/>
        <w:overflowPunct w:val="0"/>
        <w:topLinePunct w:val="0"/>
        <w:autoSpaceDE/>
        <w:autoSpaceDN/>
        <w:bidi w:val="0"/>
        <w:adjustRightInd/>
        <w:snapToGrid/>
        <w:spacing w:line="580" w:lineRule="exact"/>
        <w:textAlignment w:val="auto"/>
        <w:rPr>
          <w:rFonts w:hint="eastAsia"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第三人：洛阳某公司</w:t>
      </w:r>
    </w:p>
    <w:p w14:paraId="63D79C03">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申请人不服被申请人</w:t>
      </w:r>
      <w:r>
        <w:rPr>
          <w:rFonts w:hint="eastAsia" w:ascii="Times New Roman" w:hAnsi="Times New Roman" w:eastAsia="仿宋_GB2312" w:cs="Times New Roman"/>
          <w:color w:val="auto"/>
          <w:sz w:val="32"/>
          <w:szCs w:val="32"/>
          <w:highlight w:val="none"/>
          <w:lang w:val="en-US" w:eastAsia="zh-CN" w:bidi="zh-CN"/>
        </w:rPr>
        <w:t>未对其</w:t>
      </w:r>
      <w:r>
        <w:rPr>
          <w:rFonts w:hint="default" w:ascii="Times New Roman" w:hAnsi="Times New Roman" w:eastAsia="仿宋_GB2312" w:cs="Times New Roman"/>
          <w:color w:val="auto"/>
          <w:sz w:val="32"/>
          <w:szCs w:val="32"/>
          <w:highlight w:val="none"/>
          <w:lang w:val="en-US" w:eastAsia="zh-CN" w:bidi="zh-CN"/>
        </w:rPr>
        <w:t>20</w:t>
      </w:r>
      <w:r>
        <w:rPr>
          <w:rFonts w:hint="eastAsia" w:ascii="Times New Roman" w:hAnsi="Times New Roman" w:eastAsia="仿宋_GB2312" w:cs="Times New Roman"/>
          <w:color w:val="auto"/>
          <w:sz w:val="32"/>
          <w:szCs w:val="32"/>
          <w:highlight w:val="none"/>
          <w:lang w:val="en-US" w:eastAsia="zh-CN" w:bidi="zh-CN"/>
        </w:rPr>
        <w:t>23</w:t>
      </w:r>
      <w:r>
        <w:rPr>
          <w:rFonts w:hint="default" w:ascii="Times New Roman" w:hAnsi="Times New Roman" w:eastAsia="仿宋_GB2312" w:cs="Times New Roman"/>
          <w:color w:val="auto"/>
          <w:sz w:val="32"/>
          <w:szCs w:val="32"/>
          <w:highlight w:val="none"/>
          <w:lang w:val="en-US" w:eastAsia="zh-CN" w:bidi="zh-CN"/>
        </w:rPr>
        <w:t>年</w:t>
      </w:r>
      <w:r>
        <w:rPr>
          <w:rFonts w:hint="eastAsia" w:ascii="Times New Roman" w:hAnsi="Times New Roman" w:eastAsia="仿宋_GB2312" w:cs="Times New Roman"/>
          <w:color w:val="auto"/>
          <w:sz w:val="32"/>
          <w:szCs w:val="32"/>
          <w:highlight w:val="none"/>
          <w:lang w:val="en-US" w:eastAsia="zh-CN" w:bidi="zh-CN"/>
        </w:rPr>
        <w:t>10</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27</w:t>
      </w:r>
      <w:r>
        <w:rPr>
          <w:rFonts w:hint="default" w:ascii="Times New Roman" w:hAnsi="Times New Roman" w:eastAsia="仿宋_GB2312" w:cs="Times New Roman"/>
          <w:color w:val="auto"/>
          <w:sz w:val="32"/>
          <w:szCs w:val="32"/>
          <w:highlight w:val="none"/>
          <w:lang w:val="en-US" w:eastAsia="zh-CN" w:bidi="zh-CN"/>
        </w:rPr>
        <w:t>日</w:t>
      </w:r>
      <w:r>
        <w:rPr>
          <w:rFonts w:hint="eastAsia" w:ascii="Times New Roman" w:hAnsi="Times New Roman" w:eastAsia="仿宋_GB2312" w:cs="Times New Roman"/>
          <w:color w:val="auto"/>
          <w:sz w:val="32"/>
          <w:szCs w:val="32"/>
          <w:highlight w:val="none"/>
          <w:lang w:val="en-US" w:eastAsia="zh-CN" w:bidi="zh-CN"/>
        </w:rPr>
        <w:t>邮寄的履责申请书</w:t>
      </w:r>
      <w:r>
        <w:rPr>
          <w:rFonts w:hint="default" w:ascii="Times New Roman" w:hAnsi="Times New Roman" w:eastAsia="仿宋_GB2312" w:cs="Times New Roman"/>
          <w:color w:val="auto"/>
          <w:sz w:val="32"/>
          <w:szCs w:val="32"/>
          <w:highlight w:val="none"/>
          <w:lang w:val="en-US" w:eastAsia="zh-CN" w:bidi="zh-CN"/>
        </w:rPr>
        <w:t>作出</w:t>
      </w:r>
      <w:r>
        <w:rPr>
          <w:rFonts w:hint="eastAsia" w:ascii="Times New Roman" w:hAnsi="Times New Roman" w:eastAsia="仿宋_GB2312" w:cs="Times New Roman"/>
          <w:color w:val="auto"/>
          <w:sz w:val="32"/>
          <w:szCs w:val="32"/>
          <w:highlight w:val="none"/>
          <w:lang w:val="en-US" w:eastAsia="zh-CN" w:bidi="zh-CN"/>
        </w:rPr>
        <w:t>答复</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于2024年1月8日</w:t>
      </w:r>
      <w:r>
        <w:rPr>
          <w:rFonts w:hint="default" w:ascii="Times New Roman" w:hAnsi="Times New Roman" w:eastAsia="仿宋_GB2312" w:cs="Times New Roman"/>
          <w:color w:val="auto"/>
          <w:sz w:val="32"/>
          <w:szCs w:val="32"/>
          <w:highlight w:val="none"/>
          <w:lang w:val="en-US" w:eastAsia="zh-CN" w:bidi="zh-CN"/>
        </w:rPr>
        <w:t>向本机关申请行政复议</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2024年</w:t>
      </w:r>
      <w:r>
        <w:rPr>
          <w:rFonts w:hint="eastAsia" w:ascii="Times New Roman" w:hAnsi="Times New Roman" w:eastAsia="仿宋_GB2312" w:cs="Times New Roman"/>
          <w:color w:val="auto"/>
          <w:sz w:val="32"/>
          <w:szCs w:val="32"/>
          <w:highlight w:val="none"/>
          <w:lang w:val="en-US" w:eastAsia="zh-CN" w:bidi="zh-CN"/>
        </w:rPr>
        <w:t>1</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20</w:t>
      </w:r>
      <w:r>
        <w:rPr>
          <w:rFonts w:hint="default" w:ascii="Times New Roman" w:hAnsi="Times New Roman" w:eastAsia="仿宋_GB2312" w:cs="Times New Roman"/>
          <w:color w:val="auto"/>
          <w:sz w:val="32"/>
          <w:szCs w:val="32"/>
          <w:highlight w:val="none"/>
          <w:lang w:val="en-US" w:eastAsia="zh-CN" w:bidi="zh-CN"/>
        </w:rPr>
        <w:t>日，申请人提交补正资料。本机关</w:t>
      </w:r>
      <w:r>
        <w:rPr>
          <w:rFonts w:hint="eastAsia" w:ascii="Times New Roman" w:hAnsi="Times New Roman" w:eastAsia="仿宋_GB2312" w:cs="Times New Roman"/>
          <w:color w:val="auto"/>
          <w:sz w:val="32"/>
          <w:szCs w:val="32"/>
          <w:highlight w:val="none"/>
          <w:lang w:val="en-US" w:eastAsia="zh-CN" w:bidi="zh-CN"/>
        </w:rPr>
        <w:t>于2024年1月26日</w:t>
      </w:r>
      <w:r>
        <w:rPr>
          <w:rFonts w:hint="default" w:ascii="Times New Roman" w:hAnsi="Times New Roman" w:eastAsia="仿宋_GB2312" w:cs="Times New Roman"/>
          <w:color w:val="auto"/>
          <w:sz w:val="32"/>
          <w:szCs w:val="32"/>
          <w:highlight w:val="none"/>
          <w:lang w:val="en-US" w:eastAsia="zh-CN" w:bidi="zh-CN"/>
        </w:rPr>
        <w:t>依法予以受理，现已审理终结。</w:t>
      </w:r>
    </w:p>
    <w:p w14:paraId="46BA1C58">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color w:val="auto"/>
          <w:sz w:val="32"/>
          <w:szCs w:val="32"/>
          <w:highlight w:val="lightGray"/>
          <w:lang w:val="en-US" w:eastAsia="zh-CN" w:bidi="zh-CN"/>
        </w:rPr>
      </w:pPr>
      <w:r>
        <w:rPr>
          <w:rFonts w:hint="default" w:ascii="Times New Roman" w:hAnsi="Times New Roman" w:eastAsia="黑体" w:cs="Times New Roman"/>
          <w:b w:val="0"/>
          <w:bCs/>
          <w:color w:val="auto"/>
          <w:sz w:val="32"/>
          <w:szCs w:val="32"/>
          <w:highlight w:val="none"/>
          <w:lang w:eastAsia="zh-CN" w:bidi="zh-CN"/>
        </w:rPr>
        <w:t>申请人请求：</w:t>
      </w:r>
      <w:r>
        <w:rPr>
          <w:rFonts w:hint="eastAsia" w:ascii="Times New Roman" w:hAnsi="Times New Roman" w:eastAsia="仿宋_GB2312" w:cs="Times New Roman"/>
          <w:color w:val="auto"/>
          <w:sz w:val="32"/>
          <w:szCs w:val="32"/>
          <w:highlight w:val="none"/>
          <w:lang w:val="en-US" w:eastAsia="zh-CN" w:bidi="zh-CN"/>
        </w:rPr>
        <w:t>1.确认被申请人对申请人的履行法定职责申请未作出答复的行政行为违法；2.责令被申请人立即履行责令第三人洛阳某公司将申请人承租的公有房屋返还申请人，并赔偿申请人另行找房居住产生的租金损失并送达申请人的法定职责；3.责令被申请人立即履行依法对第三人洛阳某公司私自改变申请人承租的公有房屋的用途的违法行为进行立案调查，并依法作出处理的法定职责；4.将履行结果书面告知申请人。</w:t>
      </w:r>
    </w:p>
    <w:p w14:paraId="795E2700">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申请人称：</w:t>
      </w:r>
      <w:r>
        <w:rPr>
          <w:rFonts w:hint="eastAsia" w:ascii="Times New Roman" w:hAnsi="Times New Roman" w:eastAsia="仿宋_GB2312" w:cs="Times New Roman"/>
          <w:color w:val="auto"/>
          <w:sz w:val="32"/>
          <w:szCs w:val="32"/>
          <w:highlight w:val="none"/>
          <w:lang w:val="en-US" w:eastAsia="zh-CN" w:bidi="zh-CN"/>
        </w:rPr>
        <w:t>2009年申请人与第三人洛阳某公司签订《住房租赁协议》，约定租赁第三人洛阳某公司位于洛阳市涧西区的公有房屋。2020年至2022年，第三人洛阳某公司认定申请人租赁的房屋属于危房，以实际行动表明不再履行《住房租赁协议》。2022年2月8日，第三人洛阳某公司突然要求申请人搬离，并将申请人物品强行搬出。现在申请人公房租赁合同未解除的情况下，第三人洛阳某公司将该整栋房屋强行占用并改造成商铺出租给他人使用，致使申请人无处可住。基于前述事实，申请人认为涉案房屋是申请人原工作单位分给申请人的职工福利房，申请人有永久使用权，申请人与第三人洛阳某公司之间基于《住房租赁协议》建立了公有房屋租赁合同关系，申请人取得了案涉房屋的居住权。在有效租赁期间，第三人洛阳某公司不履行租赁协议约定的义务，占用申请人租赁的房屋并用于商用已经违法，应当承担赔偿申请人损失并继续履行合同义务的违约责任。根据洛阳市公共租赁住房管理实施办法第二条“市住房保障主管部门负责本市行政区域内公共租赁住房的指导和监督工作；各县（市）（含吉利区，下同）住房保障主管部门负责本行政区域内公共租赁住房的管理”之规定，被申请人作为房地产主管单位，具有负责其管辖范围内城镇中低收入群体住房保障工作的职责，对公房、房改房、公租房等进行监管的法定职责，并就发现的违法违规行为进行立案调查处理。申请人于2023年10月27日向被申请人邮寄履行职责申请材料，被申请人于2023年10月30日收到后，一直未予答复，申请人认为被申请人该不作为的行政行为违法，依法申请行政复议。</w:t>
      </w:r>
    </w:p>
    <w:p w14:paraId="50C0A01D">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被申请人称：</w:t>
      </w:r>
      <w:r>
        <w:rPr>
          <w:rFonts w:hint="eastAsia" w:ascii="Times New Roman" w:hAnsi="Times New Roman" w:eastAsia="仿宋_GB2312" w:cs="Times New Roman"/>
          <w:color w:val="auto"/>
          <w:sz w:val="32"/>
          <w:szCs w:val="32"/>
          <w:highlight w:val="none"/>
          <w:lang w:val="en-US" w:eastAsia="zh-CN" w:bidi="zh-CN"/>
        </w:rPr>
        <w:t>申请人于2023年10月27日向答复人邮寄履行职责申请材料，被申请人单位工作人员于2023年12月25日17:45分电话联系申请人代理人马律师，并已向马律师说明被申请人无其申请人申请事项的处理职权，不存在未作出答复的情况。申请人的申请事项不属于被申请人的职责范围：第一，被申请人负责全区城镇中低收入群体住房保障工作。若申请人认为其属于中低收入群体，可按照相关规定，提交中低收入住房保障的申请，被申请人将按照流程和制度进行审批。第二，被申请人负责监督管理全区房地产市场，房地产市场是指以房产作为交易对象的流通市场，流通市场具有社会性、公开性和大众性等特性。涉事房屋作为洛阳某甲公司的房产，只能由内部职工享受该待遇，有一定的福利性，且如果内部员工名下有其他房产或者购买了其他房产，就需要将过渡租赁房交回单位，因此，涉事房屋从未进入市场流通，具有一定的人身属性，属于单位内部的福利政策，不属于被申请人负责监督管理的房地产市场。综上，申请人请求的“确认被申请人对申请人的履行法定职责申请未作出答复的行政行为违法”不成立。经向第三人洛阳某公司了解，申请人提出的涉事房屋属20世纪70年代企业单位自建房，洛阳某公司系产权单位，与第三人某公司之间签订租赁协议，因收回房屋产生的纠纷，系单位内部分房而引起的占房、腾房纠纷，属于单位内部问题，不属于被申请人的职责范围。根据《河南省房屋租赁管理办法》、洛阳市人民政府《关于加强和规范城市管理执法监管工作机制的意见》（洛政</w:t>
      </w:r>
      <w:r>
        <w:rPr>
          <w:rFonts w:hint="eastAsia" w:ascii="微软雅黑" w:hAnsi="微软雅黑" w:eastAsia="微软雅黑" w:cs="微软雅黑"/>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2021</w:t>
      </w:r>
      <w:r>
        <w:rPr>
          <w:rFonts w:hint="eastAsia" w:ascii="微软雅黑" w:hAnsi="微软雅黑" w:eastAsia="微软雅黑" w:cs="微软雅黑"/>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28号）文件及洛阳市住建局和洛阳市城管局联合发文《关于移交住建领域全部行政处罚权的通告》，被申请人管理的公共租赁住房，是指限定建设标准和租金水平，面向符合规定条件的城镇中等偏下收入住房困难家庭、新就业无房职工和在城镇稳定就业的外来务工人员出租的保障性住房，且申请人应该根据市、县级人民政府住房保障主管部门提交申请材料，并公示后方可登记为轮候对象。涉事房屋属洛阳某甲公司的自建房，没有享受政策和上级补贴，未列入国家、省、市台账，也不属于公共租赁住房管理范畴，因此，申请人与</w:t>
      </w:r>
      <w:bookmarkStart w:id="0" w:name="_GoBack"/>
      <w:bookmarkEnd w:id="0"/>
      <w:r>
        <w:rPr>
          <w:rFonts w:hint="eastAsia" w:ascii="Times New Roman" w:hAnsi="Times New Roman" w:eastAsia="仿宋_GB2312" w:cs="Times New Roman"/>
          <w:color w:val="auto"/>
          <w:sz w:val="32"/>
          <w:szCs w:val="32"/>
          <w:highlight w:val="none"/>
          <w:lang w:val="en-US" w:eastAsia="zh-CN" w:bidi="zh-CN"/>
        </w:rPr>
        <w:t>第三人洛阳某公司的纠纷属于企业内部问题，不属于被申请人职责范围。同时被申请人无对私自改变房屋用途行为进行立案调查的职能。综上，被申请人作出的答复认定事实清楚、证据充分，请驳回申请人复议申请。</w:t>
      </w:r>
    </w:p>
    <w:p w14:paraId="6644431D">
      <w:pPr>
        <w:pStyle w:val="7"/>
        <w:keepNext w:val="0"/>
        <w:keepLines w:val="0"/>
        <w:pageBreakBefore w:val="0"/>
        <w:kinsoku/>
        <w:wordWrap/>
        <w:overflowPunct w:val="0"/>
        <w:topLinePunct w:val="0"/>
        <w:autoSpaceDE/>
        <w:autoSpaceDN/>
        <w:bidi w:val="0"/>
        <w:adjustRightInd/>
        <w:snapToGrid/>
        <w:spacing w:line="580" w:lineRule="exact"/>
        <w:textAlignment w:val="auto"/>
        <w:rPr>
          <w:rFonts w:hint="eastAsia"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val="en-US" w:eastAsia="zh-CN" w:bidi="zh-CN"/>
        </w:rPr>
        <w:t>第三人称：</w:t>
      </w:r>
      <w:r>
        <w:rPr>
          <w:rFonts w:hint="default" w:ascii="Times New Roman" w:hAnsi="Times New Roman" w:eastAsia="仿宋_GB2312" w:cs="Times New Roman"/>
          <w:color w:val="auto"/>
          <w:sz w:val="32"/>
          <w:szCs w:val="32"/>
          <w:highlight w:val="none"/>
          <w:lang w:val="en-US" w:eastAsia="zh-CN" w:bidi="zh-CN"/>
        </w:rPr>
        <w:t>申请人原为第三人管理的企业单身宿舍房间的承租人。现将韩</w:t>
      </w:r>
      <w:r>
        <w:rPr>
          <w:rFonts w:hint="eastAsia" w:ascii="Times New Roman" w:hAnsi="Times New Roman" w:eastAsia="仿宋_GB2312" w:cs="Times New Roman"/>
          <w:color w:val="auto"/>
          <w:sz w:val="32"/>
          <w:szCs w:val="32"/>
          <w:highlight w:val="none"/>
          <w:lang w:val="en-US" w:eastAsia="zh-CN" w:bidi="zh-CN"/>
        </w:rPr>
        <w:t>某</w:t>
      </w:r>
      <w:r>
        <w:rPr>
          <w:rFonts w:hint="default" w:ascii="Times New Roman" w:hAnsi="Times New Roman" w:eastAsia="仿宋_GB2312" w:cs="Times New Roman"/>
          <w:color w:val="auto"/>
          <w:sz w:val="32"/>
          <w:szCs w:val="32"/>
          <w:highlight w:val="none"/>
          <w:lang w:val="en-US" w:eastAsia="zh-CN" w:bidi="zh-CN"/>
        </w:rPr>
        <w:t>等人反映问题起因、经过说明如下：申请人承租的第三人单身宿舍建成于1971年，原设计建设为四层砖混结构的企业单身员工宿舍，楼宇内设公共卫生间和盥洗室。五十年来，在使用过程中虽有局部维修但从未进行过大修。2018年以来，第三人按照辖区政府房屋安全管理要求，在例行物业管理安全检查中发现房屋供电线路严重老化且负荷严重超载；木质门窗严重变形甚至损坏无法正常使用；屋面渗漏、落水管损坏、上下水管道锈蚀；室内顶棚裂缝掉皮、墙体也出现多处开裂、破损等安全隐患。2020年12月第三人委托第三方房屋安全鉴定单位对</w:t>
      </w:r>
      <w:r>
        <w:rPr>
          <w:rFonts w:hint="eastAsia" w:ascii="Times New Roman" w:hAnsi="Times New Roman" w:eastAsia="仿宋_GB2312" w:cs="Times New Roman"/>
          <w:color w:val="auto"/>
          <w:sz w:val="32"/>
          <w:szCs w:val="32"/>
          <w:highlight w:val="none"/>
          <w:lang w:val="en-US" w:eastAsia="zh-CN" w:bidi="zh-CN"/>
        </w:rPr>
        <w:t>房屋</w:t>
      </w:r>
      <w:r>
        <w:rPr>
          <w:rFonts w:hint="default" w:ascii="Times New Roman" w:hAnsi="Times New Roman" w:eastAsia="仿宋_GB2312" w:cs="Times New Roman"/>
          <w:color w:val="auto"/>
          <w:sz w:val="32"/>
          <w:szCs w:val="32"/>
          <w:highlight w:val="none"/>
          <w:lang w:val="en-US" w:eastAsia="zh-CN" w:bidi="zh-CN"/>
        </w:rPr>
        <w:t>进行了安全鉴定，鉴定结果为C级危房。本着对承租人居住安全的考虑，</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先期改造了其他区域房源137 套</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间</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，采取张贴搬迁方案、与社区工作人员开展座谈讲解、入户讲解等方式动员包括上述七人在内的承租人按同等条件在规定时间选房、退房搬迁。经</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的宣传和动员，大多数原租户对安全隐患充分了解，对安置方案房屋满意，并配合</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在通知规定的时间内退房搬出。但</w:t>
      </w:r>
      <w:r>
        <w:rPr>
          <w:rFonts w:hint="eastAsia" w:ascii="Times New Roman" w:hAnsi="Times New Roman" w:eastAsia="仿宋_GB2312" w:cs="Times New Roman"/>
          <w:color w:val="auto"/>
          <w:sz w:val="32"/>
          <w:szCs w:val="32"/>
          <w:highlight w:val="none"/>
          <w:lang w:val="en-US" w:eastAsia="zh-CN" w:bidi="zh-CN"/>
        </w:rPr>
        <w:t>申请人</w:t>
      </w:r>
      <w:r>
        <w:rPr>
          <w:rFonts w:hint="default" w:ascii="Times New Roman" w:hAnsi="Times New Roman" w:eastAsia="仿宋_GB2312" w:cs="Times New Roman"/>
          <w:color w:val="auto"/>
          <w:sz w:val="32"/>
          <w:szCs w:val="32"/>
          <w:highlight w:val="none"/>
          <w:lang w:val="en-US" w:eastAsia="zh-CN" w:bidi="zh-CN"/>
        </w:rPr>
        <w:t>等人将其私利置于公共安全之上且提出无理要求拒绝搬离，导致危房长达两年无法实施加固改造。为此，</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于2020年11月向涧西区法院起诉解除租赁合同要求依法判决这些租户迁出。后根据法院</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该纠纷属于企业内部问题，不属于法院主管范围</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的裁决精神，</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将此搬迁按内部问题处理</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连续不断向政府部门专题报送报告，引起了辖区政府部门高度重视成立了由辖区办事处、派出所、</w:t>
      </w:r>
      <w:r>
        <w:rPr>
          <w:rFonts w:hint="eastAsia" w:ascii="Times New Roman" w:hAnsi="Times New Roman" w:eastAsia="仿宋_GB2312" w:cs="Times New Roman"/>
          <w:color w:val="auto"/>
          <w:sz w:val="32"/>
          <w:szCs w:val="32"/>
          <w:highlight w:val="none"/>
          <w:lang w:val="en-US" w:eastAsia="zh-CN" w:bidi="zh-CN"/>
        </w:rPr>
        <w:t>某</w:t>
      </w:r>
      <w:r>
        <w:rPr>
          <w:rFonts w:hint="default" w:ascii="Times New Roman" w:hAnsi="Times New Roman" w:eastAsia="仿宋_GB2312" w:cs="Times New Roman"/>
          <w:color w:val="auto"/>
          <w:sz w:val="32"/>
          <w:szCs w:val="32"/>
          <w:highlight w:val="none"/>
          <w:lang w:val="en-US" w:eastAsia="zh-CN" w:bidi="zh-CN"/>
        </w:rPr>
        <w:t>集团公司、</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参加的解决危房工作专班。按照政府专班工作要求，在司法部门的配合下于2022年2月22日，</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再次张贴了《承租人最后限期退房搬离公告》，在确认单身公寓无人居住的情况下，房屋改造施工单位对公共区域遗留废弃物和垃圾清理后进行加固改造施工。此后，</w:t>
      </w:r>
      <w:r>
        <w:rPr>
          <w:rFonts w:hint="eastAsia" w:ascii="Times New Roman" w:hAnsi="Times New Roman" w:eastAsia="仿宋_GB2312" w:cs="Times New Roman"/>
          <w:color w:val="auto"/>
          <w:sz w:val="32"/>
          <w:szCs w:val="32"/>
          <w:highlight w:val="none"/>
          <w:lang w:val="en-US" w:eastAsia="zh-CN" w:bidi="zh-CN"/>
        </w:rPr>
        <w:t>申请人</w:t>
      </w:r>
      <w:r>
        <w:rPr>
          <w:rFonts w:hint="default" w:ascii="Times New Roman" w:hAnsi="Times New Roman" w:eastAsia="仿宋_GB2312" w:cs="Times New Roman"/>
          <w:color w:val="auto"/>
          <w:sz w:val="32"/>
          <w:szCs w:val="32"/>
          <w:highlight w:val="none"/>
          <w:lang w:val="en-US" w:eastAsia="zh-CN" w:bidi="zh-CN"/>
        </w:rPr>
        <w:t>等七人以《租赁证》就是《房产证》的错误认识，抱着政府拆迁给予商品房安置的不合理幻想，到政府信访部门上访</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在信访部门明确不受理的情况下</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2022年8月又把</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起诉至法院</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经过涧西区人民法院、洛阳市中级人民法院、河南省高级人民法院审理均驳回了他们的上诉请求。</w:t>
      </w:r>
    </w:p>
    <w:p w14:paraId="6D07FDBF">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i w:val="0"/>
          <w:iCs w:val="0"/>
          <w:caps w:val="0"/>
          <w:color w:val="000000"/>
          <w:spacing w:val="0"/>
          <w:sz w:val="32"/>
          <w:szCs w:val="32"/>
          <w:highlight w:val="lightGray"/>
          <w:lang w:val="en-US" w:eastAsia="zh-CN"/>
        </w:rPr>
      </w:pPr>
      <w:r>
        <w:rPr>
          <w:rFonts w:hint="default" w:ascii="Times New Roman" w:hAnsi="Times New Roman" w:eastAsia="黑体" w:cs="Times New Roman"/>
          <w:b w:val="0"/>
          <w:bCs/>
          <w:color w:val="auto"/>
          <w:sz w:val="32"/>
          <w:szCs w:val="32"/>
          <w:highlight w:val="none"/>
          <w:lang w:eastAsia="zh-CN" w:bidi="zh-CN"/>
        </w:rPr>
        <w:t>本机关</w:t>
      </w:r>
      <w:r>
        <w:rPr>
          <w:rFonts w:hint="default" w:ascii="Times New Roman" w:hAnsi="Times New Roman" w:eastAsia="黑体" w:cs="Times New Roman"/>
          <w:b w:val="0"/>
          <w:bCs/>
          <w:color w:val="auto"/>
          <w:sz w:val="32"/>
          <w:szCs w:val="32"/>
          <w:highlight w:val="none"/>
          <w:lang w:val="en-US" w:eastAsia="zh-CN" w:bidi="zh-CN"/>
        </w:rPr>
        <w:t>立案后</w:t>
      </w:r>
      <w:r>
        <w:rPr>
          <w:rFonts w:hint="default" w:ascii="Times New Roman" w:hAnsi="Times New Roman" w:eastAsia="黑体" w:cs="Times New Roman"/>
          <w:b w:val="0"/>
          <w:bCs/>
          <w:color w:val="auto"/>
          <w:sz w:val="32"/>
          <w:szCs w:val="32"/>
          <w:highlight w:val="none"/>
          <w:lang w:eastAsia="zh-CN" w:bidi="zh-CN"/>
        </w:rPr>
        <w:t>查明：</w:t>
      </w:r>
      <w:r>
        <w:rPr>
          <w:rFonts w:hint="default" w:ascii="Times New Roman" w:hAnsi="Times New Roman" w:eastAsia="仿宋_GB2312" w:cs="Times New Roman"/>
          <w:i w:val="0"/>
          <w:iCs w:val="0"/>
          <w:caps w:val="0"/>
          <w:color w:val="000000"/>
          <w:spacing w:val="0"/>
          <w:sz w:val="32"/>
          <w:szCs w:val="32"/>
          <w:highlight w:val="none"/>
          <w:lang w:val="en-US" w:eastAsia="zh-CN"/>
        </w:rPr>
        <w:t>2023年1</w:t>
      </w:r>
      <w:r>
        <w:rPr>
          <w:rFonts w:hint="eastAsia" w:ascii="Times New Roman" w:hAnsi="Times New Roman" w:eastAsia="仿宋_GB2312" w:cs="Times New Roman"/>
          <w:i w:val="0"/>
          <w:iCs w:val="0"/>
          <w:caps w:val="0"/>
          <w:color w:val="000000"/>
          <w:spacing w:val="0"/>
          <w:sz w:val="32"/>
          <w:szCs w:val="32"/>
          <w:highlight w:val="none"/>
          <w:lang w:val="en-US" w:eastAsia="zh-CN"/>
        </w:rPr>
        <w:t>0</w:t>
      </w:r>
      <w:r>
        <w:rPr>
          <w:rFonts w:hint="default" w:ascii="Times New Roman" w:hAnsi="Times New Roman" w:eastAsia="仿宋_GB2312" w:cs="Times New Roman"/>
          <w:i w:val="0"/>
          <w:iCs w:val="0"/>
          <w:caps w:val="0"/>
          <w:color w:val="000000"/>
          <w:spacing w:val="0"/>
          <w:sz w:val="32"/>
          <w:szCs w:val="32"/>
          <w:highlight w:val="none"/>
          <w:lang w:val="en-US" w:eastAsia="zh-CN"/>
        </w:rPr>
        <w:t>月27日，</w:t>
      </w:r>
      <w:r>
        <w:rPr>
          <w:rFonts w:hint="eastAsia" w:ascii="Times New Roman" w:hAnsi="Times New Roman" w:eastAsia="仿宋_GB2312" w:cs="Times New Roman"/>
          <w:i w:val="0"/>
          <w:iCs w:val="0"/>
          <w:caps w:val="0"/>
          <w:color w:val="000000"/>
          <w:spacing w:val="0"/>
          <w:sz w:val="32"/>
          <w:szCs w:val="32"/>
          <w:highlight w:val="none"/>
          <w:lang w:val="en-US" w:eastAsia="zh-CN"/>
        </w:rPr>
        <w:t>申请人向被申请人邮寄履行职责申请书，要求被申请人责令第三人将申请人承租的公有房屋返还申请人，赔偿申请人租金损失，并对第三人私自改变申请人承租的公有房屋用途的违法行为进行立案调查。因被申请人未书面答复申请人，申请人提起行政复议。</w:t>
      </w:r>
    </w:p>
    <w:p w14:paraId="52E28593">
      <w:pPr>
        <w:keepNext w:val="0"/>
        <w:keepLines w:val="0"/>
        <w:pageBreakBefore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仿宋_GB2312" w:cs="Times New Roman"/>
          <w:color w:val="auto"/>
          <w:kern w:val="2"/>
          <w:sz w:val="32"/>
          <w:szCs w:val="32"/>
          <w:highlight w:val="none"/>
          <w:lang w:val="en-US" w:eastAsia="zh-CN" w:bidi="zh-CN"/>
        </w:rPr>
      </w:pPr>
      <w:r>
        <w:rPr>
          <w:rFonts w:hint="default" w:ascii="Times New Roman" w:hAnsi="Times New Roman" w:eastAsia="仿宋_GB2312" w:cs="Times New Roman"/>
          <w:color w:val="auto"/>
          <w:kern w:val="2"/>
          <w:sz w:val="32"/>
          <w:szCs w:val="32"/>
          <w:highlight w:val="none"/>
          <w:lang w:val="en-US" w:eastAsia="zh-CN" w:bidi="zh-CN"/>
        </w:rPr>
        <w:t>另查明，</w:t>
      </w:r>
      <w:r>
        <w:rPr>
          <w:rFonts w:hint="eastAsia" w:ascii="Times New Roman" w:hAnsi="Times New Roman" w:eastAsia="仿宋_GB2312" w:cs="Times New Roman"/>
          <w:color w:val="auto"/>
          <w:kern w:val="2"/>
          <w:sz w:val="32"/>
          <w:szCs w:val="32"/>
          <w:highlight w:val="none"/>
          <w:lang w:val="en-US" w:eastAsia="zh-CN" w:bidi="zh-CN"/>
        </w:rPr>
        <w:t>案涉房屋</w:t>
      </w:r>
      <w:r>
        <w:rPr>
          <w:rFonts w:hint="default" w:ascii="Times New Roman" w:hAnsi="Times New Roman" w:eastAsia="仿宋_GB2312" w:cs="Times New Roman"/>
          <w:color w:val="auto"/>
          <w:kern w:val="2"/>
          <w:sz w:val="32"/>
          <w:szCs w:val="32"/>
          <w:highlight w:val="none"/>
          <w:lang w:val="en-US" w:eastAsia="zh-CN" w:bidi="zh-CN"/>
        </w:rPr>
        <w:t>不动产权人为</w:t>
      </w:r>
      <w:r>
        <w:rPr>
          <w:rFonts w:hint="eastAsia" w:ascii="Times New Roman" w:hAnsi="Times New Roman" w:eastAsia="仿宋_GB2312" w:cs="Times New Roman"/>
          <w:color w:val="auto"/>
          <w:kern w:val="2"/>
          <w:sz w:val="32"/>
          <w:szCs w:val="32"/>
          <w:highlight w:val="none"/>
          <w:lang w:val="en-US" w:eastAsia="zh-CN" w:bidi="zh-CN"/>
        </w:rPr>
        <w:t>第三人</w:t>
      </w:r>
      <w:r>
        <w:rPr>
          <w:rFonts w:hint="default" w:ascii="Times New Roman" w:hAnsi="Times New Roman" w:eastAsia="仿宋_GB2312" w:cs="Times New Roman"/>
          <w:color w:val="auto"/>
          <w:kern w:val="2"/>
          <w:sz w:val="32"/>
          <w:szCs w:val="32"/>
          <w:highlight w:val="none"/>
          <w:lang w:val="en-US" w:eastAsia="zh-CN" w:bidi="zh-CN"/>
        </w:rPr>
        <w:t>洛阳</w:t>
      </w:r>
      <w:r>
        <w:rPr>
          <w:rFonts w:hint="eastAsia" w:ascii="Times New Roman" w:hAnsi="Times New Roman" w:eastAsia="仿宋_GB2312" w:cs="Times New Roman"/>
          <w:color w:val="auto"/>
          <w:kern w:val="2"/>
          <w:sz w:val="32"/>
          <w:szCs w:val="32"/>
          <w:highlight w:val="none"/>
          <w:lang w:val="en-US" w:eastAsia="zh-CN" w:bidi="zh-CN"/>
        </w:rPr>
        <w:t>某</w:t>
      </w:r>
      <w:r>
        <w:rPr>
          <w:rFonts w:hint="default" w:ascii="Times New Roman" w:hAnsi="Times New Roman" w:eastAsia="仿宋_GB2312" w:cs="Times New Roman"/>
          <w:color w:val="auto"/>
          <w:kern w:val="2"/>
          <w:sz w:val="32"/>
          <w:szCs w:val="32"/>
          <w:highlight w:val="none"/>
          <w:lang w:val="en-US" w:eastAsia="zh-CN" w:bidi="zh-CN"/>
        </w:rPr>
        <w:t>公司</w:t>
      </w:r>
      <w:r>
        <w:rPr>
          <w:rFonts w:hint="eastAsia" w:ascii="Times New Roman" w:hAnsi="Times New Roman" w:eastAsia="仿宋_GB2312" w:cs="Times New Roman"/>
          <w:color w:val="auto"/>
          <w:kern w:val="2"/>
          <w:sz w:val="32"/>
          <w:szCs w:val="32"/>
          <w:highlight w:val="none"/>
          <w:lang w:val="en-US" w:eastAsia="zh-CN" w:bidi="zh-CN"/>
        </w:rPr>
        <w:t>，该房源</w:t>
      </w:r>
      <w:r>
        <w:rPr>
          <w:rFonts w:hint="default" w:ascii="Times New Roman" w:hAnsi="Times New Roman" w:eastAsia="仿宋_GB2312" w:cs="Times New Roman"/>
          <w:color w:val="auto"/>
          <w:kern w:val="2"/>
          <w:sz w:val="32"/>
          <w:szCs w:val="32"/>
          <w:highlight w:val="none"/>
          <w:lang w:val="en-US" w:eastAsia="zh-CN" w:bidi="zh-CN"/>
        </w:rPr>
        <w:t>未在公租房房源位置列表中</w:t>
      </w:r>
      <w:r>
        <w:rPr>
          <w:rFonts w:hint="eastAsia" w:ascii="Times New Roman" w:hAnsi="Times New Roman" w:eastAsia="仿宋_GB2312" w:cs="Times New Roman"/>
          <w:color w:val="auto"/>
          <w:kern w:val="2"/>
          <w:sz w:val="32"/>
          <w:szCs w:val="32"/>
          <w:highlight w:val="none"/>
          <w:lang w:val="en-US" w:eastAsia="zh-CN" w:bidi="zh-CN"/>
        </w:rPr>
        <w:t>。2009年2月1日，申请人与第三人签订《住房租赁协议》，第三人将</w:t>
      </w:r>
      <w:r>
        <w:rPr>
          <w:rFonts w:hint="default" w:ascii="Times New Roman" w:hAnsi="Times New Roman" w:eastAsia="仿宋_GB2312" w:cs="Times New Roman"/>
          <w:color w:val="auto"/>
          <w:kern w:val="2"/>
          <w:sz w:val="32"/>
          <w:szCs w:val="32"/>
          <w:highlight w:val="none"/>
          <w:lang w:val="en-US" w:eastAsia="zh-CN" w:bidi="zh-CN"/>
        </w:rPr>
        <w:t>房屋</w:t>
      </w:r>
      <w:r>
        <w:rPr>
          <w:rFonts w:hint="eastAsia" w:ascii="Times New Roman" w:hAnsi="Times New Roman" w:eastAsia="仿宋_GB2312" w:cs="Times New Roman"/>
          <w:color w:val="auto"/>
          <w:kern w:val="2"/>
          <w:sz w:val="32"/>
          <w:szCs w:val="32"/>
          <w:highlight w:val="none"/>
          <w:lang w:val="en-US" w:eastAsia="zh-CN" w:bidi="zh-CN"/>
        </w:rPr>
        <w:t>承租给申请人居住，</w:t>
      </w:r>
      <w:r>
        <w:rPr>
          <w:rFonts w:hint="default" w:ascii="Times New Roman" w:hAnsi="Times New Roman" w:eastAsia="仿宋_GB2312" w:cs="Times New Roman"/>
          <w:color w:val="auto"/>
          <w:kern w:val="2"/>
          <w:sz w:val="32"/>
          <w:szCs w:val="32"/>
          <w:highlight w:val="none"/>
          <w:lang w:val="en-US" w:eastAsia="zh-CN" w:bidi="zh-CN"/>
        </w:rPr>
        <w:t>月租金21.61元，</w:t>
      </w:r>
      <w:r>
        <w:rPr>
          <w:rFonts w:hint="eastAsia" w:ascii="Times New Roman" w:hAnsi="Times New Roman" w:eastAsia="仿宋_GB2312" w:cs="Times New Roman"/>
          <w:color w:val="auto"/>
          <w:kern w:val="2"/>
          <w:sz w:val="32"/>
          <w:szCs w:val="32"/>
          <w:highlight w:val="none"/>
          <w:lang w:val="en-US" w:eastAsia="zh-CN" w:bidi="zh-CN"/>
        </w:rPr>
        <w:t>期限为三年。在前述约定的租赁期限届满后，双方仍按照原协议约定的租金支付标准等内容履行。2020年4月，第三人以租赁房屋公共设施设备老化、存在严重安全隐患、不具备继续承租居住为由，通知申请人搬离并交回租赁住房。此后，第三人又多次发出通知，要求申请人尽快办理退租交房。2022年2月8日，第三人组织人员对北9号2栋整体进行了清腾，之后该栋楼进行了整体改造、维修。</w:t>
      </w:r>
    </w:p>
    <w:p w14:paraId="03D0BAF1">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color w:val="auto"/>
          <w:sz w:val="32"/>
          <w:szCs w:val="32"/>
          <w:highlight w:val="lightGray"/>
          <w:lang w:val="en-US" w:eastAsia="zh-CN" w:bidi="zh-CN"/>
        </w:rPr>
      </w:pPr>
      <w:r>
        <w:rPr>
          <w:rFonts w:hint="default" w:ascii="Times New Roman" w:hAnsi="Times New Roman" w:eastAsia="黑体" w:cs="Times New Roman"/>
          <w:b w:val="0"/>
          <w:bCs w:val="0"/>
          <w:sz w:val="32"/>
          <w:szCs w:val="32"/>
          <w:highlight w:val="none"/>
        </w:rPr>
        <w:t>上述事实有下列证据证明：</w:t>
      </w:r>
      <w:r>
        <w:rPr>
          <w:rFonts w:hint="default" w:ascii="Times New Roman" w:hAnsi="Times New Roman" w:eastAsia="仿宋_GB2312" w:cs="Times New Roman"/>
          <w:b w:val="0"/>
          <w:bCs/>
          <w:color w:val="auto"/>
          <w:sz w:val="32"/>
          <w:szCs w:val="32"/>
          <w:highlight w:val="none"/>
          <w:lang w:val="en-US" w:eastAsia="zh-CN" w:bidi="zh-CN"/>
        </w:rPr>
        <w:t>1.</w:t>
      </w:r>
      <w:r>
        <w:rPr>
          <w:rFonts w:hint="default" w:ascii="Times New Roman" w:hAnsi="Times New Roman" w:eastAsia="仿宋_GB2312" w:cs="Times New Roman"/>
          <w:spacing w:val="-6"/>
          <w:sz w:val="32"/>
          <w:highlight w:val="none"/>
          <w:lang w:val="en-US" w:eastAsia="zh-CN"/>
        </w:rPr>
        <w:t>《履责申请书》</w:t>
      </w:r>
      <w:r>
        <w:rPr>
          <w:rFonts w:hint="default" w:ascii="Times New Roman" w:hAnsi="Times New Roman" w:eastAsia="仿宋_GB2312" w:cs="Times New Roman"/>
          <w:color w:val="auto"/>
          <w:sz w:val="32"/>
          <w:szCs w:val="32"/>
          <w:highlight w:val="none"/>
          <w:lang w:val="en-US" w:eastAsia="zh-CN" w:bidi="zh-CN"/>
        </w:rPr>
        <w:t>；2.</w:t>
      </w:r>
      <w:r>
        <w:rPr>
          <w:rFonts w:hint="default" w:ascii="Times New Roman" w:hAnsi="Times New Roman" w:eastAsia="仿宋_GB2312" w:cs="Times New Roman"/>
          <w:spacing w:val="-6"/>
          <w:sz w:val="32"/>
          <w:highlight w:val="none"/>
          <w:lang w:val="en-US" w:eastAsia="zh-CN"/>
        </w:rPr>
        <w:t>《住房租赁协议》</w:t>
      </w:r>
      <w:r>
        <w:rPr>
          <w:rFonts w:hint="default" w:ascii="Times New Roman" w:hAnsi="Times New Roman" w:eastAsia="仿宋_GB2312" w:cs="Times New Roman"/>
          <w:color w:val="auto"/>
          <w:sz w:val="32"/>
          <w:szCs w:val="32"/>
          <w:highlight w:val="none"/>
          <w:lang w:val="en-US" w:eastAsia="zh-CN" w:bidi="zh-CN"/>
        </w:rPr>
        <w:t>；3.</w:t>
      </w:r>
      <w:r>
        <w:rPr>
          <w:rFonts w:hint="eastAsia" w:ascii="Times New Roman" w:hAnsi="Times New Roman" w:eastAsia="仿宋_GB2312" w:cs="Times New Roman"/>
          <w:color w:val="auto"/>
          <w:sz w:val="32"/>
          <w:szCs w:val="32"/>
          <w:highlight w:val="none"/>
          <w:lang w:val="en-US" w:eastAsia="zh-CN" w:bidi="zh-CN"/>
        </w:rPr>
        <w:t>住户登记</w:t>
      </w:r>
      <w:r>
        <w:rPr>
          <w:rFonts w:hint="default" w:ascii="Times New Roman" w:hAnsi="Times New Roman" w:eastAsia="仿宋_GB2312" w:cs="Times New Roman"/>
          <w:color w:val="auto"/>
          <w:sz w:val="32"/>
          <w:szCs w:val="32"/>
          <w:highlight w:val="none"/>
          <w:lang w:val="en-US" w:eastAsia="zh-CN" w:bidi="zh-CN"/>
        </w:rPr>
        <w:t>；4.</w:t>
      </w:r>
      <w:r>
        <w:rPr>
          <w:rFonts w:hint="eastAsia" w:ascii="Times New Roman" w:hAnsi="Times New Roman" w:eastAsia="仿宋_GB2312" w:cs="Times New Roman"/>
          <w:color w:val="auto"/>
          <w:sz w:val="32"/>
          <w:szCs w:val="32"/>
          <w:highlight w:val="none"/>
          <w:lang w:val="en-US" w:eastAsia="zh-CN" w:bidi="zh-CN"/>
        </w:rPr>
        <w:t>2022年2月7日《通告》；5.履责申请书邮件凭证及邮件轨迹；6.通话记录截图；7.涧西区公租房基本情况；8.洛阳市住建局 洛阳市城管局关于移交住建领域全部行政处罚权的通告；9.（2022）豫0305民初6626号民事判决书；10.（2022）豫03民终8376号民事判决书；11.洛阳市不动产登记中心不动产权登记记载表；12.房屋安全鉴定报告；13.洛阳某甲有限公司收到的房屋安全隐患《通知》4份；14.某集团公司生活区公有共有房屋租赁管理暂行办法。</w:t>
      </w:r>
    </w:p>
    <w:p w14:paraId="2A45BD99">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val="en-US" w:eastAsia="zh-CN" w:bidi="zh-CN"/>
        </w:rPr>
        <w:t>本机关审理后认为：</w:t>
      </w:r>
      <w:r>
        <w:rPr>
          <w:rFonts w:hint="default" w:ascii="Times New Roman" w:hAnsi="Times New Roman" w:eastAsia="仿宋_GB2312" w:cs="Times New Roman"/>
          <w:color w:val="auto"/>
          <w:kern w:val="2"/>
          <w:sz w:val="32"/>
          <w:szCs w:val="32"/>
          <w:highlight w:val="none"/>
          <w:lang w:val="en-US" w:eastAsia="zh-CN" w:bidi="zh-CN"/>
        </w:rPr>
        <w:t>申请人</w:t>
      </w:r>
      <w:r>
        <w:rPr>
          <w:rFonts w:hint="default" w:ascii="Times New Roman" w:hAnsi="Times New Roman" w:eastAsia="仿宋_GB2312" w:cs="Times New Roman"/>
          <w:sz w:val="32"/>
          <w:lang w:val="en-US" w:eastAsia="zh-CN"/>
        </w:rPr>
        <w:t>申请事项系企业内部纠纷问题，</w:t>
      </w:r>
      <w:r>
        <w:rPr>
          <w:rFonts w:hint="eastAsia" w:ascii="Times New Roman" w:hAnsi="Times New Roman" w:eastAsia="仿宋_GB2312" w:cs="Times New Roman"/>
          <w:sz w:val="32"/>
          <w:lang w:val="en-US" w:eastAsia="zh-CN"/>
        </w:rPr>
        <w:t>本案案涉</w:t>
      </w:r>
      <w:r>
        <w:rPr>
          <w:rFonts w:hint="default" w:ascii="Times New Roman" w:hAnsi="Times New Roman" w:eastAsia="仿宋_GB2312" w:cs="Times New Roman"/>
          <w:sz w:val="32"/>
          <w:lang w:val="en-US" w:eastAsia="zh-CN"/>
        </w:rPr>
        <w:t>房屋产权系私权，不属于公共租赁住房</w:t>
      </w:r>
      <w:r>
        <w:rPr>
          <w:rFonts w:hint="eastAsia" w:ascii="Times New Roman" w:hAnsi="Times New Roman" w:eastAsia="仿宋_GB2312" w:cs="Times New Roman"/>
          <w:sz w:val="32"/>
          <w:lang w:val="en-US" w:eastAsia="zh-CN"/>
        </w:rPr>
        <w:t>。</w:t>
      </w:r>
      <w:r>
        <w:rPr>
          <w:rFonts w:hint="default" w:ascii="Times New Roman" w:hAnsi="Times New Roman" w:eastAsia="仿宋_GB2312" w:cs="Times New Roman"/>
          <w:sz w:val="32"/>
          <w:lang w:val="en-US" w:eastAsia="zh-CN"/>
        </w:rPr>
        <w:t>根据《洛阳市公共租赁住房管理实施办法》第二条</w:t>
      </w:r>
      <w:r>
        <w:rPr>
          <w:rFonts w:hint="eastAsia" w:ascii="Times New Roman" w:hAnsi="Times New Roman" w:eastAsia="仿宋_GB2312" w:cs="Times New Roman"/>
          <w:sz w:val="32"/>
          <w:lang w:val="en-US" w:eastAsia="zh-CN"/>
        </w:rPr>
        <w:t>：</w:t>
      </w:r>
      <w:r>
        <w:rPr>
          <w:rFonts w:hint="default" w:ascii="Times New Roman" w:hAnsi="Times New Roman" w:eastAsia="仿宋_GB2312" w:cs="Times New Roman"/>
          <w:sz w:val="32"/>
          <w:lang w:val="en-US" w:eastAsia="zh-CN"/>
        </w:rPr>
        <w:t>“市住房保障主管部门负责本市行政区域内公共租赁住房的指导和监督工作；各县（市）（含吉利区，下同）住房保障主管部门负责本行政区域内公共租赁住房的管理”</w:t>
      </w:r>
      <w:r>
        <w:rPr>
          <w:rFonts w:hint="default" w:ascii="Times New Roman" w:hAnsi="Times New Roman" w:eastAsia="仿宋_GB2312" w:cs="Times New Roman"/>
          <w:color w:val="auto"/>
          <w:sz w:val="32"/>
          <w:lang w:val="en-US" w:eastAsia="zh-CN"/>
        </w:rPr>
        <w:t>之规定，</w:t>
      </w:r>
      <w:r>
        <w:rPr>
          <w:rFonts w:hint="default" w:ascii="Times New Roman" w:hAnsi="Times New Roman" w:eastAsia="仿宋_GB2312" w:cs="Times New Roman"/>
          <w:sz w:val="32"/>
          <w:lang w:val="en-US" w:eastAsia="zh-CN"/>
        </w:rPr>
        <w:t>申请人</w:t>
      </w:r>
      <w:r>
        <w:rPr>
          <w:rFonts w:hint="default" w:ascii="Times New Roman" w:hAnsi="Times New Roman" w:eastAsia="仿宋_GB2312" w:cs="Times New Roman"/>
          <w:color w:val="auto"/>
          <w:kern w:val="2"/>
          <w:sz w:val="32"/>
          <w:szCs w:val="32"/>
          <w:highlight w:val="none"/>
          <w:lang w:val="en-US" w:eastAsia="zh-CN" w:bidi="zh-CN"/>
        </w:rPr>
        <w:t>与第三人之间因收回房屋产生的纠纷，系单位内部分房而引起的占房、腾房纠纷</w:t>
      </w:r>
      <w:r>
        <w:rPr>
          <w:rFonts w:hint="eastAsia" w:ascii="Times New Roman" w:hAnsi="Times New Roman" w:eastAsia="仿宋_GB2312" w:cs="Times New Roman"/>
          <w:color w:val="auto"/>
          <w:kern w:val="2"/>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不属于公共租赁住房管理范畴，</w:t>
      </w:r>
      <w:r>
        <w:rPr>
          <w:rFonts w:hint="default" w:ascii="Times New Roman" w:hAnsi="Times New Roman" w:eastAsia="仿宋_GB2312" w:cs="Times New Roman"/>
          <w:sz w:val="32"/>
          <w:lang w:val="en-US" w:eastAsia="zh-CN"/>
        </w:rPr>
        <w:t>不属于被申请人职责范围</w:t>
      </w:r>
      <w:r>
        <w:rPr>
          <w:rFonts w:hint="eastAsia" w:ascii="Times New Roman" w:hAnsi="Times New Roman" w:eastAsia="仿宋_GB2312" w:cs="Times New Roman"/>
          <w:sz w:val="32"/>
          <w:lang w:val="en-US" w:eastAsia="zh-CN"/>
        </w:rPr>
        <w:t>，被申请人不存在不作为情况。</w:t>
      </w:r>
    </w:p>
    <w:p w14:paraId="5C452DBE">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综上，</w:t>
      </w:r>
      <w:r>
        <w:rPr>
          <w:rFonts w:hint="default" w:ascii="Times New Roman" w:hAnsi="Times New Roman" w:eastAsia="仿宋_GB2312" w:cs="Times New Roman"/>
          <w:color w:val="auto"/>
          <w:sz w:val="32"/>
          <w:szCs w:val="32"/>
          <w:highlight w:val="none"/>
          <w:lang w:val="en-US" w:eastAsia="zh-CN" w:bidi="zh-CN"/>
        </w:rPr>
        <w:t>依据《中华人民共和国行政复议法》第</w:t>
      </w:r>
      <w:r>
        <w:rPr>
          <w:rFonts w:hint="eastAsia" w:ascii="Times New Roman" w:hAnsi="Times New Roman" w:eastAsia="仿宋_GB2312" w:cs="Times New Roman"/>
          <w:color w:val="auto"/>
          <w:sz w:val="32"/>
          <w:szCs w:val="32"/>
          <w:highlight w:val="none"/>
          <w:lang w:val="en-US" w:eastAsia="zh-CN" w:bidi="zh-CN"/>
        </w:rPr>
        <w:t>六十九</w:t>
      </w:r>
      <w:r>
        <w:rPr>
          <w:rFonts w:hint="default" w:ascii="Times New Roman" w:hAnsi="Times New Roman" w:eastAsia="仿宋_GB2312" w:cs="Times New Roman"/>
          <w:color w:val="auto"/>
          <w:sz w:val="32"/>
          <w:szCs w:val="32"/>
          <w:highlight w:val="none"/>
          <w:lang w:val="en-US" w:eastAsia="zh-CN" w:bidi="zh-CN"/>
        </w:rPr>
        <w:t>条之规定，本机关决定如下：</w:t>
      </w:r>
    </w:p>
    <w:p w14:paraId="4F6FC3A6">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驳回申请人王某的行政复议请求</w:t>
      </w:r>
      <w:r>
        <w:rPr>
          <w:rFonts w:hint="default" w:ascii="Times New Roman" w:hAnsi="Times New Roman" w:eastAsia="仿宋_GB2312" w:cs="Times New Roman"/>
          <w:color w:val="auto"/>
          <w:sz w:val="32"/>
          <w:szCs w:val="32"/>
          <w:highlight w:val="none"/>
          <w:lang w:val="en-US" w:eastAsia="zh-CN" w:bidi="zh-CN"/>
        </w:rPr>
        <w:t>。</w:t>
      </w:r>
    </w:p>
    <w:p w14:paraId="1C77C088">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如对本决定不服，可在接到本决定书之日起15日内向有管辖权的人民法院提起行政诉讼。</w:t>
      </w:r>
    </w:p>
    <w:p w14:paraId="00903FB6">
      <w:pPr>
        <w:pStyle w:val="7"/>
        <w:keepNext w:val="0"/>
        <w:keepLines w:val="0"/>
        <w:pageBreakBefore w:val="0"/>
        <w:tabs>
          <w:tab w:val="left" w:pos="7560"/>
        </w:tabs>
        <w:kinsoku/>
        <w:wordWrap/>
        <w:overflowPunct w:val="0"/>
        <w:topLinePunct w:val="0"/>
        <w:autoSpaceDE/>
        <w:autoSpaceDN/>
        <w:bidi w:val="0"/>
        <w:adjustRightInd/>
        <w:snapToGrid/>
        <w:spacing w:line="58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1B5D118A">
      <w:pPr>
        <w:pStyle w:val="7"/>
        <w:keepNext w:val="0"/>
        <w:keepLines w:val="0"/>
        <w:pageBreakBefore w:val="0"/>
        <w:tabs>
          <w:tab w:val="left" w:pos="7560"/>
        </w:tabs>
        <w:kinsoku/>
        <w:wordWrap/>
        <w:overflowPunct w:val="0"/>
        <w:topLinePunct w:val="0"/>
        <w:autoSpaceDE/>
        <w:autoSpaceDN/>
        <w:bidi w:val="0"/>
        <w:adjustRightInd/>
        <w:snapToGrid/>
        <w:spacing w:line="58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0489CB7E">
      <w:pPr>
        <w:pStyle w:val="7"/>
        <w:keepNext w:val="0"/>
        <w:keepLines w:val="0"/>
        <w:pageBreakBefore w:val="0"/>
        <w:tabs>
          <w:tab w:val="left" w:pos="7560"/>
        </w:tabs>
        <w:kinsoku/>
        <w:wordWrap/>
        <w:overflowPunct w:val="0"/>
        <w:topLinePunct w:val="0"/>
        <w:autoSpaceDE/>
        <w:autoSpaceDN/>
        <w:bidi w:val="0"/>
        <w:adjustRightInd/>
        <w:snapToGrid/>
        <w:spacing w:line="58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26EB1485">
      <w:pPr>
        <w:pStyle w:val="7"/>
        <w:keepNext w:val="0"/>
        <w:keepLines w:val="0"/>
        <w:pageBreakBefore w:val="0"/>
        <w:tabs>
          <w:tab w:val="left" w:pos="7560"/>
        </w:tabs>
        <w:kinsoku/>
        <w:wordWrap/>
        <w:overflowPunct w:val="0"/>
        <w:topLinePunct w:val="0"/>
        <w:autoSpaceDE/>
        <w:autoSpaceDN/>
        <w:bidi w:val="0"/>
        <w:adjustRightInd/>
        <w:snapToGrid/>
        <w:spacing w:line="580" w:lineRule="exact"/>
        <w:ind w:firstLine="5440" w:firstLineChars="1700"/>
        <w:textAlignment w:val="auto"/>
        <w:rPr>
          <w:rFonts w:hint="default" w:ascii="Times New Roman" w:hAnsi="Times New Roman" w:eastAsia="仿宋_GB2312" w:cs="Times New Roman"/>
          <w:sz w:val="32"/>
          <w:szCs w:val="32"/>
          <w:highlight w:val="lightGray"/>
          <w:lang w:val="en-US" w:eastAsia="zh-CN"/>
        </w:rPr>
      </w:pPr>
      <w:r>
        <w:rPr>
          <w:rFonts w:hint="default" w:ascii="Times New Roman" w:hAnsi="Times New Roman" w:eastAsia="仿宋_GB2312" w:cs="Times New Roman"/>
          <w:color w:val="auto"/>
          <w:sz w:val="32"/>
          <w:szCs w:val="32"/>
          <w:highlight w:val="none"/>
          <w:lang w:val="en-US"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val="en-US" w:eastAsia="zh-CN" w:bidi="zh-CN"/>
        </w:rPr>
        <w:t>年</w:t>
      </w:r>
      <w:r>
        <w:rPr>
          <w:rFonts w:hint="eastAsia" w:ascii="Times New Roman" w:hAnsi="Times New Roman" w:eastAsia="仿宋_GB2312" w:cs="Times New Roman"/>
          <w:color w:val="auto"/>
          <w:sz w:val="32"/>
          <w:szCs w:val="32"/>
          <w:highlight w:val="none"/>
          <w:lang w:val="en-US" w:eastAsia="zh-CN" w:bidi="zh-CN"/>
        </w:rPr>
        <w:t>3</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22</w:t>
      </w:r>
      <w:r>
        <w:rPr>
          <w:rFonts w:hint="default" w:ascii="Times New Roman" w:hAnsi="Times New Roman" w:eastAsia="仿宋_GB2312" w:cs="Times New Roman"/>
          <w:color w:val="auto"/>
          <w:sz w:val="32"/>
          <w:szCs w:val="32"/>
          <w:highlight w:val="none"/>
          <w:lang w:val="en-US" w:eastAsia="zh-CN" w:bidi="zh-CN"/>
        </w:rPr>
        <w:t>日</w:t>
      </w:r>
    </w:p>
    <w:sectPr>
      <w:footerReference r:id="rId3" w:type="default"/>
      <w:pgSz w:w="11906" w:h="16838"/>
      <w:pgMar w:top="1701" w:right="1531" w:bottom="1417" w:left="1531"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ED98F0C-1582-442C-B2D9-F8CD6228A1A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C8B7C266-E3A4-4C32-AFB3-D5A3E1C8DD0F}"/>
  </w:font>
  <w:font w:name="仿宋_GB2312">
    <w:panose1 w:val="02010609030101010101"/>
    <w:charset w:val="86"/>
    <w:family w:val="auto"/>
    <w:pitch w:val="default"/>
    <w:sig w:usb0="00000001" w:usb1="080E0000" w:usb2="00000000" w:usb3="00000000" w:csb0="00040000" w:csb1="00000000"/>
    <w:embedRegular r:id="rId3" w:fontKey="{EB322C99-A9CB-45A7-A015-B1616A2F66B6}"/>
  </w:font>
  <w:font w:name="微软雅黑">
    <w:panose1 w:val="020B0503020204020204"/>
    <w:charset w:val="86"/>
    <w:family w:val="auto"/>
    <w:pitch w:val="default"/>
    <w:sig w:usb0="80000287" w:usb1="2ACF3C50" w:usb2="00000016" w:usb3="00000000" w:csb0="0004001F" w:csb1="00000000"/>
    <w:embedRegular r:id="rId4" w:fontKey="{C2DC9C4D-55B3-44FB-B8D7-F1890026A5C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DAD808">
    <w:pPr>
      <w:pStyle w:val="2"/>
      <w:jc w:val="center"/>
      <w:rPr>
        <w:rFonts w:hint="eastAsia" w:eastAsia="宋体"/>
        <w:lang w:eastAsia="zh-CN"/>
      </w:rPr>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77E6DEE8">
                <w:pPr>
                  <w:pStyle w:val="2"/>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0508A4"/>
    <w:rsid w:val="00153FF5"/>
    <w:rsid w:val="0024309C"/>
    <w:rsid w:val="00867C46"/>
    <w:rsid w:val="01435A54"/>
    <w:rsid w:val="01B80FCB"/>
    <w:rsid w:val="01FC40A1"/>
    <w:rsid w:val="025102F4"/>
    <w:rsid w:val="037E54A3"/>
    <w:rsid w:val="03CD0FD2"/>
    <w:rsid w:val="03FC767B"/>
    <w:rsid w:val="04C4568D"/>
    <w:rsid w:val="050C5E76"/>
    <w:rsid w:val="05B63FD6"/>
    <w:rsid w:val="05C26D59"/>
    <w:rsid w:val="061F3DDB"/>
    <w:rsid w:val="09046318"/>
    <w:rsid w:val="094865B2"/>
    <w:rsid w:val="09CD226A"/>
    <w:rsid w:val="09D36778"/>
    <w:rsid w:val="09DB07FD"/>
    <w:rsid w:val="0A417965"/>
    <w:rsid w:val="0A9C35E3"/>
    <w:rsid w:val="0AFB1A29"/>
    <w:rsid w:val="0C50209C"/>
    <w:rsid w:val="0C70106C"/>
    <w:rsid w:val="0C7017CB"/>
    <w:rsid w:val="0C8F1240"/>
    <w:rsid w:val="0D2E6635"/>
    <w:rsid w:val="0D3B48D7"/>
    <w:rsid w:val="0D9F7891"/>
    <w:rsid w:val="0E6E3471"/>
    <w:rsid w:val="0F203A3E"/>
    <w:rsid w:val="0F292ED3"/>
    <w:rsid w:val="0FBF372E"/>
    <w:rsid w:val="0FC712FE"/>
    <w:rsid w:val="107374DA"/>
    <w:rsid w:val="11974A4E"/>
    <w:rsid w:val="11AB53A0"/>
    <w:rsid w:val="11DC6E49"/>
    <w:rsid w:val="120B3D4E"/>
    <w:rsid w:val="12936141"/>
    <w:rsid w:val="12EB456C"/>
    <w:rsid w:val="13726E72"/>
    <w:rsid w:val="13816ECC"/>
    <w:rsid w:val="139B20B6"/>
    <w:rsid w:val="14163CCF"/>
    <w:rsid w:val="14F32412"/>
    <w:rsid w:val="158D2F44"/>
    <w:rsid w:val="16417787"/>
    <w:rsid w:val="171E20DF"/>
    <w:rsid w:val="17200870"/>
    <w:rsid w:val="17536547"/>
    <w:rsid w:val="17A10BB7"/>
    <w:rsid w:val="17F119BD"/>
    <w:rsid w:val="181429D2"/>
    <w:rsid w:val="1852245C"/>
    <w:rsid w:val="18C96C96"/>
    <w:rsid w:val="18FB66E5"/>
    <w:rsid w:val="19540489"/>
    <w:rsid w:val="197724DC"/>
    <w:rsid w:val="19ED7FE6"/>
    <w:rsid w:val="1AD07837"/>
    <w:rsid w:val="1C1F660B"/>
    <w:rsid w:val="1CBFD38E"/>
    <w:rsid w:val="1CC141D4"/>
    <w:rsid w:val="1DC01001"/>
    <w:rsid w:val="1DCE373B"/>
    <w:rsid w:val="1DD40180"/>
    <w:rsid w:val="1E291CFE"/>
    <w:rsid w:val="1EB074FF"/>
    <w:rsid w:val="1EC8408C"/>
    <w:rsid w:val="1F3F2EA1"/>
    <w:rsid w:val="1F5A6FB2"/>
    <w:rsid w:val="1F8F5C67"/>
    <w:rsid w:val="1FC31AF2"/>
    <w:rsid w:val="20051DB1"/>
    <w:rsid w:val="20CF2660"/>
    <w:rsid w:val="2144494B"/>
    <w:rsid w:val="21493214"/>
    <w:rsid w:val="21D666E8"/>
    <w:rsid w:val="21E73C49"/>
    <w:rsid w:val="242239CD"/>
    <w:rsid w:val="244B5416"/>
    <w:rsid w:val="25B04B74"/>
    <w:rsid w:val="25F74973"/>
    <w:rsid w:val="26056D25"/>
    <w:rsid w:val="26485FEE"/>
    <w:rsid w:val="26F366D6"/>
    <w:rsid w:val="27C36AF2"/>
    <w:rsid w:val="297053DE"/>
    <w:rsid w:val="29830BB3"/>
    <w:rsid w:val="2A1B14D6"/>
    <w:rsid w:val="2A356197"/>
    <w:rsid w:val="2A3971ED"/>
    <w:rsid w:val="2C3A15DC"/>
    <w:rsid w:val="2CBE5D2D"/>
    <w:rsid w:val="2E375631"/>
    <w:rsid w:val="2E3B3738"/>
    <w:rsid w:val="2F7B0454"/>
    <w:rsid w:val="2FD361A8"/>
    <w:rsid w:val="30374CD4"/>
    <w:rsid w:val="30C400C9"/>
    <w:rsid w:val="30CE4099"/>
    <w:rsid w:val="30DB181E"/>
    <w:rsid w:val="30FD1934"/>
    <w:rsid w:val="310E3961"/>
    <w:rsid w:val="31AE3364"/>
    <w:rsid w:val="32182ABD"/>
    <w:rsid w:val="32651C89"/>
    <w:rsid w:val="32B06D03"/>
    <w:rsid w:val="32CA473F"/>
    <w:rsid w:val="32FF7833"/>
    <w:rsid w:val="33572206"/>
    <w:rsid w:val="34367E3A"/>
    <w:rsid w:val="34F94E29"/>
    <w:rsid w:val="351A7D6D"/>
    <w:rsid w:val="356A32F7"/>
    <w:rsid w:val="360016CD"/>
    <w:rsid w:val="36336BA7"/>
    <w:rsid w:val="372B233F"/>
    <w:rsid w:val="373066FF"/>
    <w:rsid w:val="37580C1E"/>
    <w:rsid w:val="38137C9C"/>
    <w:rsid w:val="38822138"/>
    <w:rsid w:val="38854651"/>
    <w:rsid w:val="38B557C0"/>
    <w:rsid w:val="38DF05D9"/>
    <w:rsid w:val="39120973"/>
    <w:rsid w:val="394E7CFE"/>
    <w:rsid w:val="3984189D"/>
    <w:rsid w:val="3A3E649C"/>
    <w:rsid w:val="3A4E41E0"/>
    <w:rsid w:val="3AAF2A68"/>
    <w:rsid w:val="3ABE2DBF"/>
    <w:rsid w:val="3BBBC973"/>
    <w:rsid w:val="3C7060DA"/>
    <w:rsid w:val="3C780AE5"/>
    <w:rsid w:val="3D90407E"/>
    <w:rsid w:val="3D987AD7"/>
    <w:rsid w:val="3D9E3A7A"/>
    <w:rsid w:val="3DDE38B5"/>
    <w:rsid w:val="3DFD1951"/>
    <w:rsid w:val="3E174EC3"/>
    <w:rsid w:val="3E76393B"/>
    <w:rsid w:val="3EBB2FCC"/>
    <w:rsid w:val="3F087868"/>
    <w:rsid w:val="3F7D7772"/>
    <w:rsid w:val="3FDF4E54"/>
    <w:rsid w:val="408D26B3"/>
    <w:rsid w:val="40916E76"/>
    <w:rsid w:val="40954526"/>
    <w:rsid w:val="40A74D5D"/>
    <w:rsid w:val="41507DDC"/>
    <w:rsid w:val="41BA33F8"/>
    <w:rsid w:val="41FA176A"/>
    <w:rsid w:val="42311014"/>
    <w:rsid w:val="42CB65B7"/>
    <w:rsid w:val="43F64BC0"/>
    <w:rsid w:val="446C09BA"/>
    <w:rsid w:val="44EA1CA9"/>
    <w:rsid w:val="45683BB5"/>
    <w:rsid w:val="456B35BB"/>
    <w:rsid w:val="458B6BE1"/>
    <w:rsid w:val="45BE79B4"/>
    <w:rsid w:val="461047BD"/>
    <w:rsid w:val="46180D2F"/>
    <w:rsid w:val="46A342F8"/>
    <w:rsid w:val="473558D0"/>
    <w:rsid w:val="475E04B0"/>
    <w:rsid w:val="48176608"/>
    <w:rsid w:val="485416D6"/>
    <w:rsid w:val="4A5D66FE"/>
    <w:rsid w:val="4A617FE4"/>
    <w:rsid w:val="4B5830D2"/>
    <w:rsid w:val="4BAD6A77"/>
    <w:rsid w:val="4C3F4705"/>
    <w:rsid w:val="4D2224B2"/>
    <w:rsid w:val="4DAC25D4"/>
    <w:rsid w:val="4E2A67E0"/>
    <w:rsid w:val="4E7F20A8"/>
    <w:rsid w:val="4EC5069E"/>
    <w:rsid w:val="4EFF40E1"/>
    <w:rsid w:val="50897E78"/>
    <w:rsid w:val="5172372D"/>
    <w:rsid w:val="5196613F"/>
    <w:rsid w:val="51A216FE"/>
    <w:rsid w:val="51A25E91"/>
    <w:rsid w:val="51AC5FFA"/>
    <w:rsid w:val="51B34E7A"/>
    <w:rsid w:val="51B71F8C"/>
    <w:rsid w:val="51C504A8"/>
    <w:rsid w:val="51CF4D95"/>
    <w:rsid w:val="526933B0"/>
    <w:rsid w:val="52CF1440"/>
    <w:rsid w:val="52D90F4C"/>
    <w:rsid w:val="534A2D0D"/>
    <w:rsid w:val="53A61752"/>
    <w:rsid w:val="53F35A51"/>
    <w:rsid w:val="5413297B"/>
    <w:rsid w:val="546F04EF"/>
    <w:rsid w:val="549A29F3"/>
    <w:rsid w:val="54FA2088"/>
    <w:rsid w:val="56177C28"/>
    <w:rsid w:val="56923F20"/>
    <w:rsid w:val="57B63C8A"/>
    <w:rsid w:val="584A7729"/>
    <w:rsid w:val="58A9794E"/>
    <w:rsid w:val="58D41C07"/>
    <w:rsid w:val="58D44810"/>
    <w:rsid w:val="59BC320F"/>
    <w:rsid w:val="59C81391"/>
    <w:rsid w:val="59D67A6F"/>
    <w:rsid w:val="5A323864"/>
    <w:rsid w:val="5B032BD8"/>
    <w:rsid w:val="5B104ECD"/>
    <w:rsid w:val="5B122FBA"/>
    <w:rsid w:val="5B724DC1"/>
    <w:rsid w:val="5BA83951"/>
    <w:rsid w:val="5BD53796"/>
    <w:rsid w:val="5C265DD8"/>
    <w:rsid w:val="5C8A773E"/>
    <w:rsid w:val="5C9C2179"/>
    <w:rsid w:val="5D3B4C80"/>
    <w:rsid w:val="5D8F68FE"/>
    <w:rsid w:val="5DCF6FD6"/>
    <w:rsid w:val="5E4F45FE"/>
    <w:rsid w:val="5E796E4B"/>
    <w:rsid w:val="5E8A1A2D"/>
    <w:rsid w:val="5F2CAEFE"/>
    <w:rsid w:val="5F3B7874"/>
    <w:rsid w:val="5F4F1572"/>
    <w:rsid w:val="5F73062B"/>
    <w:rsid w:val="5FFE6B64"/>
    <w:rsid w:val="602D7FBA"/>
    <w:rsid w:val="60971A96"/>
    <w:rsid w:val="61106810"/>
    <w:rsid w:val="61131548"/>
    <w:rsid w:val="619314C1"/>
    <w:rsid w:val="61F5069E"/>
    <w:rsid w:val="62246CD2"/>
    <w:rsid w:val="624262AC"/>
    <w:rsid w:val="627A192C"/>
    <w:rsid w:val="627D474B"/>
    <w:rsid w:val="628263D9"/>
    <w:rsid w:val="62AB0378"/>
    <w:rsid w:val="633F7F17"/>
    <w:rsid w:val="63655610"/>
    <w:rsid w:val="63682FEE"/>
    <w:rsid w:val="63847AD9"/>
    <w:rsid w:val="638C22A1"/>
    <w:rsid w:val="64395110"/>
    <w:rsid w:val="64537D84"/>
    <w:rsid w:val="646402CB"/>
    <w:rsid w:val="6502023B"/>
    <w:rsid w:val="6535207F"/>
    <w:rsid w:val="657A3716"/>
    <w:rsid w:val="65C60DEB"/>
    <w:rsid w:val="65E9606D"/>
    <w:rsid w:val="65EA4FF6"/>
    <w:rsid w:val="665C2F25"/>
    <w:rsid w:val="68014955"/>
    <w:rsid w:val="683D46F4"/>
    <w:rsid w:val="68697C5F"/>
    <w:rsid w:val="691F65C2"/>
    <w:rsid w:val="698443DF"/>
    <w:rsid w:val="6A036897"/>
    <w:rsid w:val="6A9F481C"/>
    <w:rsid w:val="6B140CE2"/>
    <w:rsid w:val="6BD77BAE"/>
    <w:rsid w:val="6C2F0215"/>
    <w:rsid w:val="6CE452D6"/>
    <w:rsid w:val="6D422DE4"/>
    <w:rsid w:val="6D6B7B64"/>
    <w:rsid w:val="6DA26C2E"/>
    <w:rsid w:val="6DCC7F54"/>
    <w:rsid w:val="6DE54241"/>
    <w:rsid w:val="6E385814"/>
    <w:rsid w:val="6EBC0F1A"/>
    <w:rsid w:val="6EC613C4"/>
    <w:rsid w:val="6EE352C5"/>
    <w:rsid w:val="6F1D07DC"/>
    <w:rsid w:val="6F6E4088"/>
    <w:rsid w:val="6F9400A3"/>
    <w:rsid w:val="6FEF7B11"/>
    <w:rsid w:val="706C7836"/>
    <w:rsid w:val="708918FF"/>
    <w:rsid w:val="70AD7294"/>
    <w:rsid w:val="711E0050"/>
    <w:rsid w:val="716430B3"/>
    <w:rsid w:val="71A00300"/>
    <w:rsid w:val="72AE4C15"/>
    <w:rsid w:val="72D63F05"/>
    <w:rsid w:val="73C23C4F"/>
    <w:rsid w:val="742D577E"/>
    <w:rsid w:val="74537454"/>
    <w:rsid w:val="74B5584D"/>
    <w:rsid w:val="74F5054B"/>
    <w:rsid w:val="752323AC"/>
    <w:rsid w:val="77195E9E"/>
    <w:rsid w:val="7725536A"/>
    <w:rsid w:val="776D2139"/>
    <w:rsid w:val="778B4A79"/>
    <w:rsid w:val="781D7CD6"/>
    <w:rsid w:val="781E079A"/>
    <w:rsid w:val="785564F0"/>
    <w:rsid w:val="78CD3839"/>
    <w:rsid w:val="790128DD"/>
    <w:rsid w:val="79274F0F"/>
    <w:rsid w:val="799B36E1"/>
    <w:rsid w:val="79B21659"/>
    <w:rsid w:val="79E941A2"/>
    <w:rsid w:val="79F74636"/>
    <w:rsid w:val="7A0C7455"/>
    <w:rsid w:val="7A526DB4"/>
    <w:rsid w:val="7B0D200C"/>
    <w:rsid w:val="7B555B44"/>
    <w:rsid w:val="7C2E7CD6"/>
    <w:rsid w:val="7C3930F7"/>
    <w:rsid w:val="7D663A0C"/>
    <w:rsid w:val="7D8F113F"/>
    <w:rsid w:val="7DBEC43C"/>
    <w:rsid w:val="7DC22F82"/>
    <w:rsid w:val="7E6341B5"/>
    <w:rsid w:val="7F1545FB"/>
    <w:rsid w:val="7F5A4613"/>
    <w:rsid w:val="7FA171CD"/>
    <w:rsid w:val="7FDC2280"/>
    <w:rsid w:val="87DA8C8E"/>
    <w:rsid w:val="AC7FA602"/>
    <w:rsid w:val="E74F2346"/>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customStyle="1" w:styleId="7">
    <w:name w:val="Normal Indent"/>
    <w:basedOn w:val="1"/>
    <w:qFormat/>
    <w:uiPriority w:val="0"/>
    <w:pPr>
      <w:ind w:firstLine="420" w:firstLineChars="200"/>
    </w:pPr>
  </w:style>
  <w:style w:type="paragraph" w:customStyle="1" w:styleId="8">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9">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3727</Words>
  <Characters>3876</Characters>
  <Lines>0</Lines>
  <Paragraphs>0</Paragraphs>
  <TotalTime>0</TotalTime>
  <ScaleCrop>false</ScaleCrop>
  <LinksUpToDate>false</LinksUpToDate>
  <CharactersWithSpaces>3882</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2014-11-03T12:08:00Z</dcterms:created>
  <dc:creator>Administrator</dc:creator>
  <cp:lastModifiedBy>金融工作</cp:lastModifiedBy>
  <cp:lastPrinted>2024-03-23T01:51:00Z</cp:lastPrinted>
  <dcterms:modified xsi:type="dcterms:W3CDTF">2024-11-07T08:00:20Z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