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7B78E">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行政复议决定书</w:t>
      </w:r>
    </w:p>
    <w:p w14:paraId="4D73C108">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号</w:t>
      </w:r>
    </w:p>
    <w:p w14:paraId="7B2DC2AD">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芦某</w:t>
      </w:r>
      <w:r>
        <w:rPr>
          <w:rFonts w:hint="default" w:ascii="Times New Roman" w:hAnsi="Times New Roman" w:eastAsia="仿宋_GB2312" w:cs="Times New Roman"/>
          <w:color w:val="auto"/>
          <w:sz w:val="32"/>
          <w:szCs w:val="32"/>
          <w:highlight w:val="none"/>
          <w:lang w:val="en-US" w:eastAsia="zh-CN" w:bidi="zh-CN"/>
        </w:rPr>
        <w:t>。</w:t>
      </w:r>
    </w:p>
    <w:p w14:paraId="5FD59978">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洛阳市涧西区住房和城乡建设局</w:t>
      </w:r>
    </w:p>
    <w:p w14:paraId="542B97BA">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第三人：洛阳某公司。</w:t>
      </w:r>
    </w:p>
    <w:p w14:paraId="426F45F4">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w:t>
      </w:r>
      <w:r>
        <w:rPr>
          <w:rFonts w:hint="eastAsia" w:ascii="Times New Roman" w:hAnsi="Times New Roman" w:eastAsia="仿宋_GB2312" w:cs="Times New Roman"/>
          <w:color w:val="auto"/>
          <w:sz w:val="32"/>
          <w:szCs w:val="32"/>
          <w:highlight w:val="none"/>
          <w:lang w:val="en-US" w:eastAsia="zh-CN" w:bidi="zh-CN"/>
        </w:rPr>
        <w:t>未对其</w:t>
      </w:r>
      <w:r>
        <w:rPr>
          <w:rFonts w:hint="default" w:ascii="Times New Roman" w:hAnsi="Times New Roman" w:eastAsia="仿宋_GB2312" w:cs="Times New Roman"/>
          <w:color w:val="auto"/>
          <w:sz w:val="32"/>
          <w:szCs w:val="32"/>
          <w:highlight w:val="none"/>
          <w:lang w:val="en-US" w:eastAsia="zh-CN" w:bidi="zh-CN"/>
        </w:rPr>
        <w:t>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邮寄的履责申请书</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于2024年1月8日</w:t>
      </w:r>
      <w:r>
        <w:rPr>
          <w:rFonts w:hint="default" w:ascii="Times New Roman" w:hAnsi="Times New Roman" w:eastAsia="仿宋_GB2312" w:cs="Times New Roman"/>
          <w:color w:val="auto"/>
          <w:sz w:val="32"/>
          <w:szCs w:val="32"/>
          <w:highlight w:val="none"/>
          <w:lang w:val="en-US" w:eastAsia="zh-CN" w:bidi="zh-CN"/>
        </w:rPr>
        <w:t>向本机关申请行政复议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20</w:t>
      </w:r>
      <w:r>
        <w:rPr>
          <w:rFonts w:hint="default" w:ascii="Times New Roman" w:hAnsi="Times New Roman" w:eastAsia="仿宋_GB2312" w:cs="Times New Roman"/>
          <w:color w:val="auto"/>
          <w:sz w:val="32"/>
          <w:szCs w:val="32"/>
          <w:highlight w:val="none"/>
          <w:lang w:val="en-US" w:eastAsia="zh-CN" w:bidi="zh-CN"/>
        </w:rPr>
        <w:t>日，申请人提交补正资料。本机关</w:t>
      </w:r>
      <w:r>
        <w:rPr>
          <w:rFonts w:hint="eastAsia" w:ascii="Times New Roman" w:hAnsi="Times New Roman" w:eastAsia="仿宋_GB2312" w:cs="Times New Roman"/>
          <w:color w:val="auto"/>
          <w:sz w:val="32"/>
          <w:szCs w:val="32"/>
          <w:highlight w:val="none"/>
          <w:lang w:val="en-US" w:eastAsia="zh-CN" w:bidi="zh-CN"/>
        </w:rPr>
        <w:t>于2024年1月26日</w:t>
      </w:r>
      <w:r>
        <w:rPr>
          <w:rFonts w:hint="default" w:ascii="Times New Roman" w:hAnsi="Times New Roman" w:eastAsia="仿宋_GB2312" w:cs="Times New Roman"/>
          <w:color w:val="auto"/>
          <w:sz w:val="32"/>
          <w:szCs w:val="32"/>
          <w:highlight w:val="none"/>
          <w:lang w:val="en-US" w:eastAsia="zh-CN" w:bidi="zh-CN"/>
        </w:rPr>
        <w:t>依法予以受理，现已审理终结。</w:t>
      </w:r>
    </w:p>
    <w:p w14:paraId="045162B2">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确认被申请人对申请人的履行法定职责申请未作出答复的行政行为违法；2.责令被申请人立即履行责令第三人洛阳某公司将申请人承租的公有房屋返还申请人，并赔偿申请人另行找房居住产生的租金损失并送达申请人的法定职责；3.责令被申请人立即履行依法对第三人洛阳某公司私自改变申请人承租的公有房屋的用途的违法行为进行立案调查，并依法作出处理的法定职责；4.将履行结果书面告知申请人。</w:t>
      </w:r>
    </w:p>
    <w:p w14:paraId="07F0C46C">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2009年申请人与第三人洛阳某公司签订《住房租赁协议》，约定租赁第三人洛阳某公司位于洛阳市涧西区北九号街坊的公有房屋。2020年至2022年，第三人洛阳某公司认定申请人租赁的房屋属于危房，以实际行动表明不再履行《住房租赁协议》。2022年2月8日，第三人洛阳某公司突然要求申请人搬离，并将申请人物品强行搬出。现在申请人公房租赁合同未解除的情况下，第三人洛阳某公司将该整栋房屋强行占用并改造成商铺出租给他人使用，致使申请人无处可住。基于前述事实，申请人认为涉案房屋是申请人原工作单位分给申请人的职工福利房，申请人有永久使用权，申请人与第三人洛阳某公司之间基于《住房租赁协议》建立了公有房屋租赁合同关系，申请人取得了案涉房屋的居住权。在有效租赁期间，第三人洛阳某公司不履行租赁协议约定的义务，占用申请人租赁的房屋并用于商用已经违法，应当承担赔偿申请人损失并继续履行合同义务的违约责任。根据洛阳市公共租赁住房管理实施办法第二条“市住房保障主管部门负责本市行政区域内公共租赁住房的指导和监督工作；各县（市）（含吉利区，下同）住房保障主管部门负责本行政区域内公共租赁住房的管理”之规定，被申请人作为房地产主管单位，具有负责其管辖范围内城镇中低收入群体住房保障工作的职责，对公房、房改房、公租房等进行监管的法定职责，并就发现的违法违规行为进行立案调查处理。申请人于2023年10月27日向被申请人邮寄履行职责申请材料，被申请人于2023年10月30日收到后，一直未予答复，申请人认为被申请人该不作为的行政行为违法，依法申请行政复议。</w:t>
      </w:r>
    </w:p>
    <w:p w14:paraId="2AC8B74F">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申请人于2023年10月27日向答复人邮寄履行职责申请材料，被申请人单位工作人员于2023年12月25日17:45分电话联系申请人代理人马律师，并已向马律师说明被申请人无其申请人申请事项的处理职权，不存在未作出答复的情况。申请人的申请事项不属于被申请人的职责范围：第一，被申请人负责全区城镇中低收入群体住房保障工作。若申请人认为其属于中低收入群体，可按照相关规定，提交中低收入住房保障的申请，被申请人将按照流程和制度进行审批。第二，被申请人负责监督管理全区房地产市场，房地产市场是指以房产作为交易对象的流通市场，流通市场具有社会性、公开性和大众性等特性。涉事房屋作为洛阳某甲公司的房产，只能由内部职工享受该待遇，有一定的福利性，且如果内部员工名下有其他房产或者购买了其他房产，就需要将过渡租赁房交回单位，因此，涉事房屋从未进入市场流通，具有一定的人身属性，属于单位内部的福利政策，不属于被申请人负责监督管理的房地产市场。综上，申请人请求的“确认被申请人对申请人的履行法定职责申请未作出答复的行政行为违法”不成立。经向第三人洛阳某公司了解，申请人提出的涉事房屋属20世纪70年代企业单位自建房，洛阳某甲公司系产权单位，与第三人某公司之间签订租赁协议，因收回房屋产生的纠纷，系单位内部分房而引起的占房、腾房纠纷，属于单位内部问题，不属于被申请人的职责范围。根据《河南省房屋租赁管理办法》、洛阳市人民政府《关于加强和规范城市管理执法监管工作机制的意见》（洛政</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2021</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28号）文件及洛阳市住建局和洛阳市城管局联合发文《关于移交住建领域全部行政处罚权的通告》，被申请人管理的公共租赁住房，是指限定建设标准和租金水平，面向符合规定条件的城镇中等偏下收入住房困难家庭、新就业无房职工和在城镇稳定就业的外来务工人员出租的保障性住房，且申请人应该根据市、县级人民政府住房保障主管部门提交申请材料，并公示后方可登记为轮候对象。涉事房屋属洛阳某甲公司的自建房，没有享受政策和上级补贴，未列入国家、</w:t>
      </w:r>
      <w:bookmarkStart w:id="0" w:name="_GoBack"/>
      <w:bookmarkEnd w:id="0"/>
      <w:r>
        <w:rPr>
          <w:rFonts w:hint="eastAsia" w:ascii="Times New Roman" w:hAnsi="Times New Roman" w:eastAsia="仿宋_GB2312" w:cs="Times New Roman"/>
          <w:color w:val="auto"/>
          <w:sz w:val="32"/>
          <w:szCs w:val="32"/>
          <w:highlight w:val="none"/>
          <w:lang w:val="en-US" w:eastAsia="zh-CN" w:bidi="zh-CN"/>
        </w:rPr>
        <w:t>省、市台账，也不属于公共租赁住房管理范畴，因此，申请人与第三人洛阳某公司的纠纷属于企业内部问题，不属于被申请人职责范围。同时被申请人无对私自改变房屋用途行为进行立案调查的职能。综上，被申请人作出的答复认定事实清楚、证据充分，请驳回申请人复议申请。</w:t>
      </w:r>
    </w:p>
    <w:p w14:paraId="147CC28A">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申请人原为第三人管理的企业单身宿舍房间的承租人。现将韩</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等人反映问题起因、经过说明如下：申请人承租的第三人单身宿舍建成于1971年，原设计建设为四层砖混结构的企业单身员工宿舍，楼宇内设公共卫生间和盥洗室。五十年来，在使用过程中虽有局部维修但从未进行过大修。2018年以来，第三人按照辖区政府房屋安全管理要求，在例行物业管理安全检查中发现房屋供电线路严重老化且负荷严重超载；木质门窗严重变形甚至损坏无法正常使用；屋面渗漏、落水管损坏、上下水管道锈蚀；室内顶棚裂缝掉皮、墙体也出现多处开裂、破损等安全隐患。2020年12月第三人委托第三方房屋安全鉴定单位对</w:t>
      </w:r>
      <w:r>
        <w:rPr>
          <w:rFonts w:hint="eastAsia" w:ascii="Times New Roman" w:hAnsi="Times New Roman" w:eastAsia="仿宋_GB2312" w:cs="Times New Roman"/>
          <w:color w:val="auto"/>
          <w:sz w:val="32"/>
          <w:szCs w:val="32"/>
          <w:highlight w:val="none"/>
          <w:lang w:val="en-US" w:eastAsia="zh-CN" w:bidi="zh-CN"/>
        </w:rPr>
        <w:t>房屋</w:t>
      </w:r>
      <w:r>
        <w:rPr>
          <w:rFonts w:hint="default" w:ascii="Times New Roman" w:hAnsi="Times New Roman" w:eastAsia="仿宋_GB2312" w:cs="Times New Roman"/>
          <w:color w:val="auto"/>
          <w:sz w:val="32"/>
          <w:szCs w:val="32"/>
          <w:highlight w:val="none"/>
          <w:lang w:val="en-US" w:eastAsia="zh-CN" w:bidi="zh-CN"/>
        </w:rPr>
        <w:t>进行了安全鉴定，鉴定结果为C级危房。本着对承租人居住安全的考虑，</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先期改造了其他区域房源137 套</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，采取张贴搬迁方案、与社区工作人员开展座谈讲解、入户讲解等方式动员包括上述七人在内的承租人按同等条件在规定时间选房、退房搬迁。经</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的宣传和动员，大多数原租户对安全隐患充分了解，对安置方案房屋满意，并配合</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在通知规定的时间内退房搬出。但</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等人将其私利置于公共安全之上且提出无理要求拒绝搬离，导致危房长达两年无法实施加固改造。为此，</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于2020年11月向涧西区法院起诉解除租赁合同要求依法判决这些租户迁出。后根据法院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该纠纷属于企业内部问题，不属于法院主管范围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的裁决精神，</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将此搬迁按内部问题处理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连续不断向政府部门专题报送报告，引起了辖区政府部门高度重视成立了由辖区办事处、派出所、</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集团公司、</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参加的解决危房工作专班。按照政府专班工作要求，在司法部门的配合下于2022年2月22日，</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再次张贴了《承租人最后限期退房搬离公告》，在确认单身公寓无人居住的情况下，房屋改造施工单位对公共区域遗留废弃物和垃圾清理后进行加固改造施工。此后，</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等七人以《租赁证》就是《房产证》的错误认识，抱着政府拆迁给予商品房安置的不合理幻想，到政府信访部门上访</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在信访部门明确不受理的情况下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2022年8月又把</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起诉至法院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经过涧西区人民法院、洛阳市中级人民法院、河南省高级人民法院审理均驳回了他们的上诉请求。</w:t>
      </w:r>
    </w:p>
    <w:p w14:paraId="0782BE5B">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2023年1</w:t>
      </w:r>
      <w:r>
        <w:rPr>
          <w:rFonts w:hint="eastAsia" w:ascii="Times New Roman" w:hAnsi="Times New Roman" w:eastAsia="仿宋_GB2312" w:cs="Times New Roman"/>
          <w:i w:val="0"/>
          <w:iCs w:val="0"/>
          <w:caps w:val="0"/>
          <w:color w:val="000000"/>
          <w:spacing w:val="0"/>
          <w:sz w:val="32"/>
          <w:szCs w:val="32"/>
          <w:highlight w:val="none"/>
          <w:lang w:val="en-US" w:eastAsia="zh-CN"/>
        </w:rPr>
        <w:t>0</w:t>
      </w:r>
      <w:r>
        <w:rPr>
          <w:rFonts w:hint="default" w:ascii="Times New Roman" w:hAnsi="Times New Roman" w:eastAsia="仿宋_GB2312" w:cs="Times New Roman"/>
          <w:i w:val="0"/>
          <w:iCs w:val="0"/>
          <w:caps w:val="0"/>
          <w:color w:val="000000"/>
          <w:spacing w:val="0"/>
          <w:sz w:val="32"/>
          <w:szCs w:val="32"/>
          <w:highlight w:val="none"/>
          <w:lang w:val="en-US" w:eastAsia="zh-CN"/>
        </w:rPr>
        <w:t>月27日，</w:t>
      </w:r>
      <w:r>
        <w:rPr>
          <w:rFonts w:hint="eastAsia" w:ascii="Times New Roman" w:hAnsi="Times New Roman" w:eastAsia="仿宋_GB2312" w:cs="Times New Roman"/>
          <w:i w:val="0"/>
          <w:iCs w:val="0"/>
          <w:caps w:val="0"/>
          <w:color w:val="000000"/>
          <w:spacing w:val="0"/>
          <w:sz w:val="32"/>
          <w:szCs w:val="32"/>
          <w:highlight w:val="none"/>
          <w:lang w:val="en-US" w:eastAsia="zh-CN"/>
        </w:rPr>
        <w:t>申请人向被申请人邮寄履行职责申请书，要求被申请人责令第三人将申请人承租的公有房屋返还申请人，赔偿申请人租金损失，并对第三人私自改变申请人承租的公有房屋用途的违法行为进行立案调查。因被申请人未书面答复申请人，申请人提起行政复议。</w:t>
      </w:r>
    </w:p>
    <w:p w14:paraId="7F6E0ED8">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案涉房屋</w:t>
      </w:r>
      <w:r>
        <w:rPr>
          <w:rFonts w:hint="default" w:ascii="Times New Roman" w:hAnsi="Times New Roman" w:eastAsia="仿宋_GB2312" w:cs="Times New Roman"/>
          <w:color w:val="auto"/>
          <w:kern w:val="2"/>
          <w:sz w:val="32"/>
          <w:szCs w:val="32"/>
          <w:highlight w:val="none"/>
          <w:lang w:val="en-US" w:eastAsia="zh-CN" w:bidi="zh-CN"/>
        </w:rPr>
        <w:t>不动产权人为</w:t>
      </w:r>
      <w:r>
        <w:rPr>
          <w:rFonts w:hint="eastAsia" w:ascii="Times New Roman" w:hAnsi="Times New Roman" w:eastAsia="仿宋_GB2312" w:cs="Times New Roman"/>
          <w:color w:val="auto"/>
          <w:kern w:val="2"/>
          <w:sz w:val="32"/>
          <w:szCs w:val="32"/>
          <w:highlight w:val="none"/>
          <w:lang w:val="en-US" w:eastAsia="zh-CN" w:bidi="zh-CN"/>
        </w:rPr>
        <w:t>第三人</w:t>
      </w:r>
      <w:r>
        <w:rPr>
          <w:rFonts w:hint="default" w:ascii="Times New Roman" w:hAnsi="Times New Roman" w:eastAsia="仿宋_GB2312" w:cs="Times New Roman"/>
          <w:color w:val="auto"/>
          <w:kern w:val="2"/>
          <w:sz w:val="32"/>
          <w:szCs w:val="32"/>
          <w:highlight w:val="none"/>
          <w:lang w:val="en-US" w:eastAsia="zh-CN" w:bidi="zh-CN"/>
        </w:rPr>
        <w:t>洛阳</w:t>
      </w:r>
      <w:r>
        <w:rPr>
          <w:rFonts w:hint="eastAsia" w:ascii="Times New Roman" w:hAnsi="Times New Roman" w:eastAsia="仿宋_GB2312" w:cs="Times New Roman"/>
          <w:color w:val="auto"/>
          <w:kern w:val="2"/>
          <w:sz w:val="32"/>
          <w:szCs w:val="32"/>
          <w:highlight w:val="none"/>
          <w:lang w:val="en-US" w:eastAsia="zh-CN" w:bidi="zh-CN"/>
        </w:rPr>
        <w:t>某</w:t>
      </w:r>
      <w:r>
        <w:rPr>
          <w:rFonts w:hint="default" w:ascii="Times New Roman" w:hAnsi="Times New Roman" w:eastAsia="仿宋_GB2312" w:cs="Times New Roman"/>
          <w:color w:val="auto"/>
          <w:kern w:val="2"/>
          <w:sz w:val="32"/>
          <w:szCs w:val="32"/>
          <w:highlight w:val="none"/>
          <w:lang w:val="en-US" w:eastAsia="zh-CN" w:bidi="zh-CN"/>
        </w:rPr>
        <w:t>公司</w:t>
      </w:r>
      <w:r>
        <w:rPr>
          <w:rFonts w:hint="eastAsia" w:ascii="Times New Roman" w:hAnsi="Times New Roman" w:eastAsia="仿宋_GB2312" w:cs="Times New Roman"/>
          <w:color w:val="auto"/>
          <w:kern w:val="2"/>
          <w:sz w:val="32"/>
          <w:szCs w:val="32"/>
          <w:highlight w:val="none"/>
          <w:lang w:val="en-US" w:eastAsia="zh-CN" w:bidi="zh-CN"/>
        </w:rPr>
        <w:t>，该房源</w:t>
      </w:r>
      <w:r>
        <w:rPr>
          <w:rFonts w:hint="default" w:ascii="Times New Roman" w:hAnsi="Times New Roman" w:eastAsia="仿宋_GB2312" w:cs="Times New Roman"/>
          <w:color w:val="auto"/>
          <w:kern w:val="2"/>
          <w:sz w:val="32"/>
          <w:szCs w:val="32"/>
          <w:highlight w:val="none"/>
          <w:lang w:val="en-US" w:eastAsia="zh-CN" w:bidi="zh-CN"/>
        </w:rPr>
        <w:t>未在公租房房源位置列表中</w:t>
      </w:r>
      <w:r>
        <w:rPr>
          <w:rFonts w:hint="eastAsia" w:ascii="Times New Roman" w:hAnsi="Times New Roman" w:eastAsia="仿宋_GB2312" w:cs="Times New Roman"/>
          <w:color w:val="auto"/>
          <w:kern w:val="2"/>
          <w:sz w:val="32"/>
          <w:szCs w:val="32"/>
          <w:highlight w:val="none"/>
          <w:lang w:val="en-US" w:eastAsia="zh-CN" w:bidi="zh-CN"/>
        </w:rPr>
        <w:t>。2009年2月1日，申请人与第三人签订《住房租赁协议》，第三人将</w:t>
      </w:r>
      <w:r>
        <w:rPr>
          <w:rFonts w:hint="default" w:ascii="Times New Roman" w:hAnsi="Times New Roman" w:eastAsia="仿宋_GB2312" w:cs="Times New Roman"/>
          <w:color w:val="auto"/>
          <w:kern w:val="2"/>
          <w:sz w:val="32"/>
          <w:szCs w:val="32"/>
          <w:highlight w:val="none"/>
          <w:lang w:val="en-US" w:eastAsia="zh-CN" w:bidi="zh-CN"/>
        </w:rPr>
        <w:t>位于涧西区北</w:t>
      </w:r>
      <w:r>
        <w:rPr>
          <w:rFonts w:hint="eastAsia" w:ascii="Times New Roman" w:hAnsi="Times New Roman" w:eastAsia="仿宋_GB2312" w:cs="Times New Roman"/>
          <w:color w:val="auto"/>
          <w:kern w:val="2"/>
          <w:sz w:val="32"/>
          <w:szCs w:val="32"/>
          <w:highlight w:val="none"/>
          <w:lang w:val="en-US" w:eastAsia="zh-CN" w:bidi="zh-CN"/>
        </w:rPr>
        <w:t>9—</w:t>
      </w:r>
      <w:r>
        <w:rPr>
          <w:rFonts w:hint="default" w:ascii="Times New Roman" w:hAnsi="Times New Roman" w:eastAsia="仿宋_GB2312" w:cs="Times New Roman"/>
          <w:color w:val="auto"/>
          <w:kern w:val="2"/>
          <w:sz w:val="32"/>
          <w:szCs w:val="32"/>
          <w:highlight w:val="none"/>
          <w:lang w:val="en-US" w:eastAsia="zh-CN" w:bidi="zh-CN"/>
        </w:rPr>
        <w:t>2</w:t>
      </w:r>
      <w:r>
        <w:rPr>
          <w:rFonts w:hint="eastAsia" w:ascii="Times New Roman" w:hAnsi="Times New Roman" w:eastAsia="仿宋_GB2312" w:cs="Times New Roman"/>
          <w:color w:val="auto"/>
          <w:kern w:val="2"/>
          <w:sz w:val="32"/>
          <w:szCs w:val="32"/>
          <w:highlight w:val="none"/>
          <w:lang w:val="en-US" w:eastAsia="zh-CN" w:bidi="zh-CN"/>
        </w:rPr>
        <w:t>—129</w:t>
      </w:r>
      <w:r>
        <w:rPr>
          <w:rFonts w:hint="default" w:ascii="Times New Roman" w:hAnsi="Times New Roman" w:eastAsia="仿宋_GB2312" w:cs="Times New Roman"/>
          <w:color w:val="auto"/>
          <w:kern w:val="2"/>
          <w:sz w:val="32"/>
          <w:szCs w:val="32"/>
          <w:highlight w:val="none"/>
          <w:lang w:val="en-US" w:eastAsia="zh-CN" w:bidi="zh-CN"/>
        </w:rPr>
        <w:t>号房屋</w:t>
      </w:r>
      <w:r>
        <w:rPr>
          <w:rFonts w:hint="eastAsia" w:ascii="Times New Roman" w:hAnsi="Times New Roman" w:eastAsia="仿宋_GB2312" w:cs="Times New Roman"/>
          <w:color w:val="auto"/>
          <w:kern w:val="2"/>
          <w:sz w:val="32"/>
          <w:szCs w:val="32"/>
          <w:highlight w:val="none"/>
          <w:lang w:val="en-US" w:eastAsia="zh-CN" w:bidi="zh-CN"/>
        </w:rPr>
        <w:t>承租给申请人居住，</w:t>
      </w:r>
      <w:r>
        <w:rPr>
          <w:rFonts w:hint="default" w:ascii="Times New Roman" w:hAnsi="Times New Roman" w:eastAsia="仿宋_GB2312" w:cs="Times New Roman"/>
          <w:color w:val="auto"/>
          <w:kern w:val="2"/>
          <w:sz w:val="32"/>
          <w:szCs w:val="32"/>
          <w:highlight w:val="none"/>
          <w:lang w:val="en-US" w:eastAsia="zh-CN" w:bidi="zh-CN"/>
        </w:rPr>
        <w:t>月租金</w:t>
      </w:r>
      <w:r>
        <w:rPr>
          <w:rFonts w:hint="eastAsia" w:ascii="Times New Roman" w:hAnsi="Times New Roman" w:eastAsia="仿宋_GB2312" w:cs="Times New Roman"/>
          <w:color w:val="auto"/>
          <w:kern w:val="2"/>
          <w:sz w:val="32"/>
          <w:szCs w:val="32"/>
          <w:highlight w:val="none"/>
          <w:lang w:val="en-US" w:eastAsia="zh-CN" w:bidi="zh-CN"/>
        </w:rPr>
        <w:t>24.93</w:t>
      </w:r>
      <w:r>
        <w:rPr>
          <w:rFonts w:hint="default" w:ascii="Times New Roman" w:hAnsi="Times New Roman" w:eastAsia="仿宋_GB2312" w:cs="Times New Roman"/>
          <w:color w:val="auto"/>
          <w:kern w:val="2"/>
          <w:sz w:val="32"/>
          <w:szCs w:val="32"/>
          <w:highlight w:val="none"/>
          <w:lang w:val="en-US" w:eastAsia="zh-CN" w:bidi="zh-CN"/>
        </w:rPr>
        <w:t>元，</w:t>
      </w:r>
      <w:r>
        <w:rPr>
          <w:rFonts w:hint="eastAsia" w:ascii="Times New Roman" w:hAnsi="Times New Roman" w:eastAsia="仿宋_GB2312" w:cs="Times New Roman"/>
          <w:color w:val="auto"/>
          <w:kern w:val="2"/>
          <w:sz w:val="32"/>
          <w:szCs w:val="32"/>
          <w:highlight w:val="none"/>
          <w:lang w:val="en-US" w:eastAsia="zh-CN" w:bidi="zh-CN"/>
        </w:rPr>
        <w:t>期限为三年。在前述约定的租赁期限届满后，双方仍按照原协议约定的租金支付标准等内容履行。2020年4月，第三人以租赁房屋公共设施设备老化、存在严重安全隐患、不具备继续承租居住为由，通知申请人搬离并交回租赁住房。此后，第三人又多次发出通知，要求申请人尽快办理退租交房。2022年2月8日，第三人组织人员对房屋整体进行了清腾，之后该栋楼进行了整体改造、维修。</w:t>
      </w:r>
    </w:p>
    <w:p w14:paraId="52B5D769">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spacing w:val="-6"/>
          <w:sz w:val="32"/>
          <w:highlight w:val="none"/>
          <w:lang w:val="en-US" w:eastAsia="zh-CN"/>
        </w:rPr>
        <w:t>《履责申请书》</w:t>
      </w:r>
      <w:r>
        <w:rPr>
          <w:rFonts w:hint="default"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spacing w:val="-6"/>
          <w:sz w:val="32"/>
          <w:highlight w:val="none"/>
          <w:lang w:val="en-US" w:eastAsia="zh-CN"/>
        </w:rPr>
        <w:t>《住房租赁协议》</w:t>
      </w:r>
      <w:r>
        <w:rPr>
          <w:rFonts w:hint="default" w:ascii="Times New Roman" w:hAnsi="Times New Roman" w:eastAsia="仿宋_GB2312" w:cs="Times New Roman"/>
          <w:color w:val="auto"/>
          <w:sz w:val="32"/>
          <w:szCs w:val="32"/>
          <w:highlight w:val="none"/>
          <w:lang w:val="en-US" w:eastAsia="zh-CN" w:bidi="zh-CN"/>
        </w:rPr>
        <w:t>；3.</w:t>
      </w:r>
      <w:r>
        <w:rPr>
          <w:rFonts w:hint="eastAsia" w:ascii="Times New Roman" w:hAnsi="Times New Roman" w:eastAsia="仿宋_GB2312" w:cs="Times New Roman"/>
          <w:color w:val="auto"/>
          <w:sz w:val="32"/>
          <w:szCs w:val="32"/>
          <w:highlight w:val="none"/>
          <w:lang w:val="en-US" w:eastAsia="zh-CN" w:bidi="zh-CN"/>
        </w:rPr>
        <w:t>住户登记</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2022年2月7日《通告》；5.履责申请书邮件凭证及邮件轨迹；6.通话记录截图；7.涧西区公租房基本情况；8.洛阳市住建局 洛阳市城管局关于移交住建领域全部行政处罚权的通告；9.（2022）豫0305民初4589号民事判决书；10.（2022）豫03民终7534号民事判决书；11.洛阳市不动产登记中心不动产权登记记载表；12.房屋安全鉴定报告；13.洛阳某甲公司收到的房屋安全隐患《通知》4份；14.某集团有限公司生活区公有共有房屋租赁管理暂行办法。</w:t>
      </w:r>
    </w:p>
    <w:p w14:paraId="4FB9F3C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kern w:val="2"/>
          <w:sz w:val="32"/>
          <w:szCs w:val="32"/>
          <w:highlight w:val="none"/>
          <w:lang w:val="en-US" w:eastAsia="zh-CN" w:bidi="zh-CN"/>
        </w:rPr>
        <w:t>申请人</w:t>
      </w:r>
      <w:r>
        <w:rPr>
          <w:rFonts w:hint="default" w:ascii="Times New Roman" w:hAnsi="Times New Roman" w:eastAsia="仿宋_GB2312" w:cs="Times New Roman"/>
          <w:sz w:val="32"/>
          <w:lang w:val="en-US" w:eastAsia="zh-CN"/>
        </w:rPr>
        <w:t>申请事项系企业内部纠纷问题，</w:t>
      </w:r>
      <w:r>
        <w:rPr>
          <w:rFonts w:hint="eastAsia" w:ascii="Times New Roman" w:hAnsi="Times New Roman" w:eastAsia="仿宋_GB2312" w:cs="Times New Roman"/>
          <w:sz w:val="32"/>
          <w:lang w:val="en-US" w:eastAsia="zh-CN"/>
        </w:rPr>
        <w:t>本案案涉</w:t>
      </w:r>
      <w:r>
        <w:rPr>
          <w:rFonts w:hint="default" w:ascii="Times New Roman" w:hAnsi="Times New Roman" w:eastAsia="仿宋_GB2312" w:cs="Times New Roman"/>
          <w:sz w:val="32"/>
          <w:lang w:val="en-US" w:eastAsia="zh-CN"/>
        </w:rPr>
        <w:t>房屋产权系私权，不属于公共租赁住房</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根据《洛阳市公共租赁住房管理实施办法》第二条</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“市住房保障主管部门负责本市行政区域内公共租赁住房的指导和监督工作；各县（市）（含吉利区，下同）住房保障主管部门负责本行政区域内公共租赁住房的管理”</w:t>
      </w:r>
      <w:r>
        <w:rPr>
          <w:rFonts w:hint="default" w:ascii="Times New Roman" w:hAnsi="Times New Roman" w:eastAsia="仿宋_GB2312" w:cs="Times New Roman"/>
          <w:color w:val="auto"/>
          <w:sz w:val="32"/>
          <w:lang w:val="en-US" w:eastAsia="zh-CN"/>
        </w:rPr>
        <w:t>之规定，</w:t>
      </w:r>
      <w:r>
        <w:rPr>
          <w:rFonts w:hint="default" w:ascii="Times New Roman" w:hAnsi="Times New Roman" w:eastAsia="仿宋_GB2312" w:cs="Times New Roman"/>
          <w:sz w:val="32"/>
          <w:lang w:val="en-US" w:eastAsia="zh-CN"/>
        </w:rPr>
        <w:t>申请人</w:t>
      </w:r>
      <w:r>
        <w:rPr>
          <w:rFonts w:hint="default" w:ascii="Times New Roman" w:hAnsi="Times New Roman" w:eastAsia="仿宋_GB2312" w:cs="Times New Roman"/>
          <w:color w:val="auto"/>
          <w:kern w:val="2"/>
          <w:sz w:val="32"/>
          <w:szCs w:val="32"/>
          <w:highlight w:val="none"/>
          <w:lang w:val="en-US" w:eastAsia="zh-CN" w:bidi="zh-CN"/>
        </w:rPr>
        <w:t>与第三人之间因收回房屋产生的纠纷，系单位内部分房而引起的占房、腾房纠纷</w:t>
      </w:r>
      <w:r>
        <w:rPr>
          <w:rFonts w:hint="eastAsia" w:ascii="Times New Roman" w:hAnsi="Times New Roman" w:eastAsia="仿宋_GB2312" w:cs="Times New Roman"/>
          <w:color w:val="auto"/>
          <w:kern w:val="2"/>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不属于公共租赁住房管理范畴，</w:t>
      </w:r>
      <w:r>
        <w:rPr>
          <w:rFonts w:hint="default" w:ascii="Times New Roman" w:hAnsi="Times New Roman" w:eastAsia="仿宋_GB2312" w:cs="Times New Roman"/>
          <w:sz w:val="32"/>
          <w:lang w:val="en-US" w:eastAsia="zh-CN"/>
        </w:rPr>
        <w:t>不属于被申请人职责范围</w:t>
      </w:r>
      <w:r>
        <w:rPr>
          <w:rFonts w:hint="eastAsia" w:ascii="Times New Roman" w:hAnsi="Times New Roman" w:eastAsia="仿宋_GB2312" w:cs="Times New Roman"/>
          <w:sz w:val="32"/>
          <w:lang w:val="en-US" w:eastAsia="zh-CN"/>
        </w:rPr>
        <w:t>，被申请人不存在不作为情况。</w:t>
      </w:r>
    </w:p>
    <w:p w14:paraId="6F7337DD">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234EAE35">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驳回申请人芦某的行政复议请求</w:t>
      </w:r>
      <w:r>
        <w:rPr>
          <w:rFonts w:hint="default" w:ascii="Times New Roman" w:hAnsi="Times New Roman" w:eastAsia="仿宋_GB2312" w:cs="Times New Roman"/>
          <w:color w:val="auto"/>
          <w:sz w:val="32"/>
          <w:szCs w:val="32"/>
          <w:highlight w:val="none"/>
          <w:lang w:val="en-US" w:eastAsia="zh-CN" w:bidi="zh-CN"/>
        </w:rPr>
        <w:t>。</w:t>
      </w:r>
    </w:p>
    <w:p w14:paraId="708480B0">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386EF34E">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18FB806">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6776E5B">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0FF509D7">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22</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31" w:bottom="1417"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3A6245F-1C93-4A9D-8E30-EDAEED93445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3A3E91D6-F4B7-475B-B8DA-E51D9302E3AD}"/>
  </w:font>
  <w:font w:name="仿宋_GB2312">
    <w:panose1 w:val="02010609030101010101"/>
    <w:charset w:val="86"/>
    <w:family w:val="auto"/>
    <w:pitch w:val="default"/>
    <w:sig w:usb0="00000001" w:usb1="080E0000" w:usb2="00000000" w:usb3="00000000" w:csb0="00040000" w:csb1="00000000"/>
    <w:embedRegular r:id="rId3" w:fontKey="{4BF61FFB-BA5F-4AD9-959E-F0598EA8200D}"/>
  </w:font>
  <w:font w:name="微软雅黑">
    <w:panose1 w:val="020B0503020204020204"/>
    <w:charset w:val="86"/>
    <w:family w:val="auto"/>
    <w:pitch w:val="default"/>
    <w:sig w:usb0="80000287" w:usb1="2ACF3C50" w:usb2="00000016" w:usb3="00000000" w:csb0="0004001F" w:csb1="00000000"/>
    <w:embedRegular r:id="rId4" w:fontKey="{DFF1D8C8-25DD-4DDE-83E1-B6F32EDCBD5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D2E21">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9FDD1C0">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CD0FD2"/>
    <w:rsid w:val="03FC767B"/>
    <w:rsid w:val="04C4568D"/>
    <w:rsid w:val="050C5E76"/>
    <w:rsid w:val="05B63FD6"/>
    <w:rsid w:val="05C26D59"/>
    <w:rsid w:val="061F3DDB"/>
    <w:rsid w:val="09046318"/>
    <w:rsid w:val="094865B2"/>
    <w:rsid w:val="09CD226A"/>
    <w:rsid w:val="09D36778"/>
    <w:rsid w:val="09DB07FD"/>
    <w:rsid w:val="0A417965"/>
    <w:rsid w:val="0A9C35E3"/>
    <w:rsid w:val="0AFB1A29"/>
    <w:rsid w:val="0C50209C"/>
    <w:rsid w:val="0C70106C"/>
    <w:rsid w:val="0C7017CB"/>
    <w:rsid w:val="0C8F1240"/>
    <w:rsid w:val="0D2E6635"/>
    <w:rsid w:val="0D3B48D7"/>
    <w:rsid w:val="0D9F7891"/>
    <w:rsid w:val="0E6E3471"/>
    <w:rsid w:val="0F203A3E"/>
    <w:rsid w:val="0F292ED3"/>
    <w:rsid w:val="0FBF372E"/>
    <w:rsid w:val="0FC712FE"/>
    <w:rsid w:val="107374DA"/>
    <w:rsid w:val="11974A4E"/>
    <w:rsid w:val="11AB53A0"/>
    <w:rsid w:val="11DC6E49"/>
    <w:rsid w:val="120B3D4E"/>
    <w:rsid w:val="12936141"/>
    <w:rsid w:val="12EB456C"/>
    <w:rsid w:val="13726E72"/>
    <w:rsid w:val="13816ECC"/>
    <w:rsid w:val="139B20B6"/>
    <w:rsid w:val="14163CCF"/>
    <w:rsid w:val="14F32412"/>
    <w:rsid w:val="157F55D2"/>
    <w:rsid w:val="158D2F44"/>
    <w:rsid w:val="16417787"/>
    <w:rsid w:val="171E20DF"/>
    <w:rsid w:val="17200870"/>
    <w:rsid w:val="17536547"/>
    <w:rsid w:val="17A10BB7"/>
    <w:rsid w:val="17F119BD"/>
    <w:rsid w:val="181429D2"/>
    <w:rsid w:val="1852245C"/>
    <w:rsid w:val="18C96C96"/>
    <w:rsid w:val="18FB66E5"/>
    <w:rsid w:val="19540489"/>
    <w:rsid w:val="197724DC"/>
    <w:rsid w:val="19ED7FE6"/>
    <w:rsid w:val="1AA91E28"/>
    <w:rsid w:val="1AD07837"/>
    <w:rsid w:val="1C1F660B"/>
    <w:rsid w:val="1CC141D4"/>
    <w:rsid w:val="1DC01001"/>
    <w:rsid w:val="1DCE373B"/>
    <w:rsid w:val="1DD40180"/>
    <w:rsid w:val="1E291CFE"/>
    <w:rsid w:val="1EB074FF"/>
    <w:rsid w:val="1EC8408C"/>
    <w:rsid w:val="1F3F2EA1"/>
    <w:rsid w:val="1F5A6FB2"/>
    <w:rsid w:val="1F8F5C67"/>
    <w:rsid w:val="1FC31AF2"/>
    <w:rsid w:val="20051DB1"/>
    <w:rsid w:val="20CF2660"/>
    <w:rsid w:val="2144494B"/>
    <w:rsid w:val="21493214"/>
    <w:rsid w:val="21D666E8"/>
    <w:rsid w:val="21E73C49"/>
    <w:rsid w:val="22354733"/>
    <w:rsid w:val="23F37E43"/>
    <w:rsid w:val="242239CD"/>
    <w:rsid w:val="244B5416"/>
    <w:rsid w:val="25B04B74"/>
    <w:rsid w:val="25F74973"/>
    <w:rsid w:val="26056D25"/>
    <w:rsid w:val="26485FEE"/>
    <w:rsid w:val="26F366D6"/>
    <w:rsid w:val="27C36AF2"/>
    <w:rsid w:val="297053DE"/>
    <w:rsid w:val="29830BB3"/>
    <w:rsid w:val="2A1B14D6"/>
    <w:rsid w:val="2A356197"/>
    <w:rsid w:val="2A3971ED"/>
    <w:rsid w:val="2C3A15DC"/>
    <w:rsid w:val="2CBE5D2D"/>
    <w:rsid w:val="2E375631"/>
    <w:rsid w:val="2E3B3738"/>
    <w:rsid w:val="2F7B0454"/>
    <w:rsid w:val="2FD361A8"/>
    <w:rsid w:val="30374CD4"/>
    <w:rsid w:val="30C400C9"/>
    <w:rsid w:val="30CE4099"/>
    <w:rsid w:val="30DB181E"/>
    <w:rsid w:val="30FD1934"/>
    <w:rsid w:val="310E3961"/>
    <w:rsid w:val="31AE3364"/>
    <w:rsid w:val="32182ABD"/>
    <w:rsid w:val="32651C89"/>
    <w:rsid w:val="32B06D03"/>
    <w:rsid w:val="32CA473F"/>
    <w:rsid w:val="32FF7833"/>
    <w:rsid w:val="33572206"/>
    <w:rsid w:val="34367E3A"/>
    <w:rsid w:val="34F94E29"/>
    <w:rsid w:val="351A7D6D"/>
    <w:rsid w:val="356A32F7"/>
    <w:rsid w:val="360016CD"/>
    <w:rsid w:val="36336BA7"/>
    <w:rsid w:val="372B233F"/>
    <w:rsid w:val="373066FF"/>
    <w:rsid w:val="37580C1E"/>
    <w:rsid w:val="38137C9C"/>
    <w:rsid w:val="38822138"/>
    <w:rsid w:val="38854651"/>
    <w:rsid w:val="38B557C0"/>
    <w:rsid w:val="38DF05D9"/>
    <w:rsid w:val="39120973"/>
    <w:rsid w:val="394E7CFE"/>
    <w:rsid w:val="3984189D"/>
    <w:rsid w:val="3A3E649C"/>
    <w:rsid w:val="3A4E41E0"/>
    <w:rsid w:val="3AAF2A68"/>
    <w:rsid w:val="3ABE2DBF"/>
    <w:rsid w:val="3BBBC973"/>
    <w:rsid w:val="3C7060DA"/>
    <w:rsid w:val="3C780AE5"/>
    <w:rsid w:val="3D90407E"/>
    <w:rsid w:val="3D987AD7"/>
    <w:rsid w:val="3D9E3A7A"/>
    <w:rsid w:val="3DDE38B5"/>
    <w:rsid w:val="3DFD1951"/>
    <w:rsid w:val="3E174EC3"/>
    <w:rsid w:val="3E76393B"/>
    <w:rsid w:val="3EBB2FCC"/>
    <w:rsid w:val="3F087868"/>
    <w:rsid w:val="3F7D7772"/>
    <w:rsid w:val="3FDF4E54"/>
    <w:rsid w:val="408D26B3"/>
    <w:rsid w:val="40916E76"/>
    <w:rsid w:val="40954526"/>
    <w:rsid w:val="40A74D5D"/>
    <w:rsid w:val="41507DDC"/>
    <w:rsid w:val="41BA33F8"/>
    <w:rsid w:val="41FA176A"/>
    <w:rsid w:val="42311014"/>
    <w:rsid w:val="42CB65B7"/>
    <w:rsid w:val="43F64BC0"/>
    <w:rsid w:val="446C09BA"/>
    <w:rsid w:val="44EA1CA9"/>
    <w:rsid w:val="45683BB5"/>
    <w:rsid w:val="458B6BE1"/>
    <w:rsid w:val="45BE79B4"/>
    <w:rsid w:val="461047BD"/>
    <w:rsid w:val="46A342F8"/>
    <w:rsid w:val="473558D0"/>
    <w:rsid w:val="475E04B0"/>
    <w:rsid w:val="48176608"/>
    <w:rsid w:val="485416D6"/>
    <w:rsid w:val="4A5D66FE"/>
    <w:rsid w:val="4A617FE4"/>
    <w:rsid w:val="4B5830D2"/>
    <w:rsid w:val="4BAD6A77"/>
    <w:rsid w:val="4C3F4705"/>
    <w:rsid w:val="4D2224B2"/>
    <w:rsid w:val="4DAC25D4"/>
    <w:rsid w:val="4E2A67E0"/>
    <w:rsid w:val="4E7F20A8"/>
    <w:rsid w:val="4EC5069E"/>
    <w:rsid w:val="4EFF40E1"/>
    <w:rsid w:val="50897E78"/>
    <w:rsid w:val="5172372D"/>
    <w:rsid w:val="5196613F"/>
    <w:rsid w:val="51A216FE"/>
    <w:rsid w:val="51A25E91"/>
    <w:rsid w:val="51AC5FFA"/>
    <w:rsid w:val="51B34E7A"/>
    <w:rsid w:val="51B71F8C"/>
    <w:rsid w:val="51C504A8"/>
    <w:rsid w:val="51CF4D95"/>
    <w:rsid w:val="526933B0"/>
    <w:rsid w:val="52CF1440"/>
    <w:rsid w:val="52D90F4C"/>
    <w:rsid w:val="534A2D0D"/>
    <w:rsid w:val="53A61752"/>
    <w:rsid w:val="53F35A51"/>
    <w:rsid w:val="5413297B"/>
    <w:rsid w:val="546F04EF"/>
    <w:rsid w:val="549A29F3"/>
    <w:rsid w:val="56177C28"/>
    <w:rsid w:val="56923F20"/>
    <w:rsid w:val="57B63C8A"/>
    <w:rsid w:val="584A7729"/>
    <w:rsid w:val="58A9794E"/>
    <w:rsid w:val="58D41C07"/>
    <w:rsid w:val="58D44810"/>
    <w:rsid w:val="59675315"/>
    <w:rsid w:val="59BC320F"/>
    <w:rsid w:val="59C81391"/>
    <w:rsid w:val="59D67A6F"/>
    <w:rsid w:val="5A323864"/>
    <w:rsid w:val="5B032BD8"/>
    <w:rsid w:val="5B104ECD"/>
    <w:rsid w:val="5B122FBA"/>
    <w:rsid w:val="5B724DC1"/>
    <w:rsid w:val="5BA8395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FE6B64"/>
    <w:rsid w:val="602D7FBA"/>
    <w:rsid w:val="60971A96"/>
    <w:rsid w:val="61106810"/>
    <w:rsid w:val="61131548"/>
    <w:rsid w:val="619314C1"/>
    <w:rsid w:val="61F5069E"/>
    <w:rsid w:val="62246CD2"/>
    <w:rsid w:val="624262AC"/>
    <w:rsid w:val="627A192C"/>
    <w:rsid w:val="627D474B"/>
    <w:rsid w:val="628263D9"/>
    <w:rsid w:val="62AB0378"/>
    <w:rsid w:val="633F7F17"/>
    <w:rsid w:val="63655610"/>
    <w:rsid w:val="63682FEE"/>
    <w:rsid w:val="63847AD9"/>
    <w:rsid w:val="638C22A1"/>
    <w:rsid w:val="64395110"/>
    <w:rsid w:val="64537D84"/>
    <w:rsid w:val="646402CB"/>
    <w:rsid w:val="6502023B"/>
    <w:rsid w:val="6535207F"/>
    <w:rsid w:val="657A3716"/>
    <w:rsid w:val="65C60DEB"/>
    <w:rsid w:val="65E9606D"/>
    <w:rsid w:val="65EA4FF6"/>
    <w:rsid w:val="665C2F25"/>
    <w:rsid w:val="68014955"/>
    <w:rsid w:val="683D46F4"/>
    <w:rsid w:val="68697C5F"/>
    <w:rsid w:val="691F65C2"/>
    <w:rsid w:val="698443DF"/>
    <w:rsid w:val="6A036897"/>
    <w:rsid w:val="6A9F481C"/>
    <w:rsid w:val="6B140CE2"/>
    <w:rsid w:val="6BD77BAE"/>
    <w:rsid w:val="6C2F0215"/>
    <w:rsid w:val="6CE452D6"/>
    <w:rsid w:val="6D422DE4"/>
    <w:rsid w:val="6D6B7B64"/>
    <w:rsid w:val="6DA26C2E"/>
    <w:rsid w:val="6DCC7F54"/>
    <w:rsid w:val="6DE54241"/>
    <w:rsid w:val="6E385814"/>
    <w:rsid w:val="6EBC0F1A"/>
    <w:rsid w:val="6EC613C4"/>
    <w:rsid w:val="6EE352C5"/>
    <w:rsid w:val="6F1D07DC"/>
    <w:rsid w:val="6F6E4088"/>
    <w:rsid w:val="6F9400A3"/>
    <w:rsid w:val="6FEF7B11"/>
    <w:rsid w:val="706C7836"/>
    <w:rsid w:val="708918FF"/>
    <w:rsid w:val="70AD7294"/>
    <w:rsid w:val="711E0050"/>
    <w:rsid w:val="716430B3"/>
    <w:rsid w:val="71A00300"/>
    <w:rsid w:val="72AE4C15"/>
    <w:rsid w:val="72D63F05"/>
    <w:rsid w:val="73C23C4F"/>
    <w:rsid w:val="742D577E"/>
    <w:rsid w:val="74537454"/>
    <w:rsid w:val="74B5584D"/>
    <w:rsid w:val="74F5054B"/>
    <w:rsid w:val="752323AC"/>
    <w:rsid w:val="77195E9E"/>
    <w:rsid w:val="7725536A"/>
    <w:rsid w:val="776D2139"/>
    <w:rsid w:val="778B4A79"/>
    <w:rsid w:val="781D7CD6"/>
    <w:rsid w:val="781E079A"/>
    <w:rsid w:val="785564F0"/>
    <w:rsid w:val="78CD3839"/>
    <w:rsid w:val="790128DD"/>
    <w:rsid w:val="79274F0F"/>
    <w:rsid w:val="799B36E1"/>
    <w:rsid w:val="79B21659"/>
    <w:rsid w:val="79E941A2"/>
    <w:rsid w:val="79F74636"/>
    <w:rsid w:val="7A0C7455"/>
    <w:rsid w:val="7A526DB4"/>
    <w:rsid w:val="7B0D200C"/>
    <w:rsid w:val="7B555B44"/>
    <w:rsid w:val="7C2E7CD6"/>
    <w:rsid w:val="7C3930F7"/>
    <w:rsid w:val="7D663A0C"/>
    <w:rsid w:val="7D8F113F"/>
    <w:rsid w:val="7DBEC43C"/>
    <w:rsid w:val="7DC22F82"/>
    <w:rsid w:val="7E6341B5"/>
    <w:rsid w:val="7F1545FB"/>
    <w:rsid w:val="7F5A4613"/>
    <w:rsid w:val="7FA171CD"/>
    <w:rsid w:val="7FDC2280"/>
    <w:rsid w:val="7FFE88F0"/>
    <w:rsid w:val="87DA8C8E"/>
    <w:rsid w:val="E7F99A9B"/>
    <w:rsid w:val="EFFFE2A9"/>
    <w:rsid w:val="F7673387"/>
    <w:rsid w:val="FDFC1C70"/>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qFormat/>
    <w:uiPriority w:val="0"/>
    <w:pPr>
      <w:ind w:firstLine="420" w:firstLineChars="200"/>
    </w:p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3742</Words>
  <Characters>3894</Characters>
  <Lines>0</Lines>
  <Paragraphs>0</Paragraphs>
  <TotalTime>0</TotalTime>
  <ScaleCrop>false</ScaleCrop>
  <LinksUpToDate>false</LinksUpToDate>
  <CharactersWithSpaces>3900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2024-02-19T16:52:00Z</cp:lastPrinted>
  <dcterms:modified xsi:type="dcterms:W3CDTF">2024-11-07T08:02:03Z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