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45C11">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31E146BF">
      <w:pPr>
        <w:keepNext w:val="0"/>
        <w:keepLines w:val="0"/>
        <w:pageBreakBefore w:val="0"/>
        <w:widowControl w:val="0"/>
        <w:kinsoku/>
        <w:wordWrap/>
        <w:overflowPunct/>
        <w:topLinePunct w:val="0"/>
        <w:autoSpaceDE/>
        <w:autoSpaceDN/>
        <w:bidi w:val="0"/>
        <w:adjustRightInd/>
        <w:snapToGrid/>
        <w:spacing w:after="120" w:afterLines="50" w:line="580" w:lineRule="exact"/>
        <w:jc w:val="right"/>
        <w:textAlignment w:val="auto"/>
        <w:rPr>
          <w:rFonts w:hint="default" w:ascii="Times New Roman" w:hAnsi="Times New Roman" w:eastAsia="仿宋" w:cs="Times New Roman"/>
          <w:sz w:val="32"/>
          <w:szCs w:val="32"/>
          <w:highlight w:val="lightGray"/>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涧政复决字〔202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17</w:t>
      </w:r>
      <w:r>
        <w:rPr>
          <w:rFonts w:hint="default" w:ascii="Times New Roman" w:hAnsi="Times New Roman" w:eastAsia="仿宋_GB2312" w:cs="Times New Roman"/>
          <w:color w:val="auto"/>
          <w:sz w:val="32"/>
          <w:szCs w:val="32"/>
          <w:highlight w:val="none"/>
          <w:lang w:val="en-US" w:eastAsia="zh-CN" w:bidi="zh-CN"/>
        </w:rPr>
        <w:t xml:space="preserve">号 </w:t>
      </w: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 w:cs="Times New Roman"/>
          <w:sz w:val="32"/>
          <w:szCs w:val="32"/>
          <w:highlight w:val="none"/>
          <w:lang w:eastAsia="zh-CN"/>
        </w:rPr>
        <w:t xml:space="preserve">    </w:t>
      </w:r>
    </w:p>
    <w:p w14:paraId="0F0CE1F2">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黄某。</w:t>
      </w:r>
    </w:p>
    <w:p w14:paraId="1C289750">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highlight w:val="lightGray"/>
          <w:lang w:val="en-US" w:eastAsia="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7A9D8B1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lightGray"/>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黄某</w:t>
      </w:r>
      <w:r>
        <w:rPr>
          <w:rFonts w:hint="default" w:ascii="Times New Roman" w:hAnsi="Times New Roman" w:eastAsia="仿宋_GB2312" w:cs="Times New Roman"/>
          <w:sz w:val="32"/>
          <w:szCs w:val="32"/>
          <w:highlight w:val="none"/>
          <w:lang w:eastAsia="zh-CN" w:bidi="zh-CN"/>
        </w:rPr>
        <w:t>不服被申请人洛阳市涧西区市场监督管理局</w:t>
      </w:r>
      <w:r>
        <w:rPr>
          <w:rFonts w:hint="eastAsia" w:ascii="Times New Roman" w:hAnsi="Times New Roman" w:eastAsia="仿宋_GB2312" w:cs="Times New Roman"/>
          <w:sz w:val="32"/>
          <w:szCs w:val="32"/>
          <w:highlight w:val="none"/>
          <w:lang w:val="en-US" w:eastAsia="zh-CN" w:bidi="zh-CN"/>
        </w:rPr>
        <w:t>2024年1月15日作出《政府信息公开申请答复书》，</w:t>
      </w:r>
      <w:r>
        <w:rPr>
          <w:rFonts w:hint="default" w:ascii="Times New Roman" w:hAnsi="Times New Roman" w:eastAsia="仿宋_GB2312" w:cs="Times New Roman"/>
          <w:sz w:val="32"/>
          <w:szCs w:val="32"/>
          <w:highlight w:val="none"/>
          <w:lang w:eastAsia="zh-CN" w:bidi="zh-CN"/>
        </w:rPr>
        <w:t>于202</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eastAsia="zh-CN" w:bidi="zh-CN"/>
        </w:rPr>
        <w:t>年</w:t>
      </w:r>
      <w:r>
        <w:rPr>
          <w:rFonts w:hint="eastAsia" w:ascii="Times New Roman" w:hAnsi="Times New Roman" w:eastAsia="仿宋_GB2312" w:cs="Times New Roman"/>
          <w:sz w:val="32"/>
          <w:szCs w:val="32"/>
          <w:highlight w:val="none"/>
          <w:lang w:val="en-US" w:eastAsia="zh-CN" w:bidi="zh-CN"/>
        </w:rPr>
        <w:t>1</w:t>
      </w:r>
      <w:r>
        <w:rPr>
          <w:rFonts w:hint="default" w:ascii="Times New Roman" w:hAnsi="Times New Roman" w:eastAsia="仿宋_GB2312" w:cs="Times New Roman"/>
          <w:sz w:val="32"/>
          <w:szCs w:val="32"/>
          <w:highlight w:val="none"/>
          <w:lang w:eastAsia="zh-CN" w:bidi="zh-CN"/>
        </w:rPr>
        <w:t>月</w:t>
      </w:r>
      <w:r>
        <w:rPr>
          <w:rFonts w:hint="eastAsia" w:ascii="Times New Roman" w:hAnsi="Times New Roman" w:eastAsia="仿宋_GB2312" w:cs="Times New Roman"/>
          <w:sz w:val="32"/>
          <w:szCs w:val="32"/>
          <w:highlight w:val="none"/>
          <w:lang w:val="en-US" w:eastAsia="zh-CN" w:bidi="zh-CN"/>
        </w:rPr>
        <w:t>25</w:t>
      </w:r>
      <w:r>
        <w:rPr>
          <w:rFonts w:hint="default" w:ascii="Times New Roman" w:hAnsi="Times New Roman" w:eastAsia="仿宋_GB2312" w:cs="Times New Roman"/>
          <w:sz w:val="32"/>
          <w:szCs w:val="32"/>
          <w:highlight w:val="none"/>
          <w:lang w:eastAsia="zh-CN" w:bidi="zh-CN"/>
        </w:rPr>
        <w:t>日向本机关提出行政复议申请，</w:t>
      </w:r>
      <w:r>
        <w:rPr>
          <w:rFonts w:hint="default" w:ascii="Times New Roman" w:hAnsi="Times New Roman" w:eastAsia="仿宋_GB2312" w:cs="Times New Roman"/>
          <w:color w:val="auto"/>
          <w:sz w:val="32"/>
          <w:szCs w:val="32"/>
          <w:highlight w:val="none"/>
          <w:lang w:val="en-US" w:eastAsia="zh-CN" w:bidi="zh-CN"/>
        </w:rPr>
        <w:t>本机关</w:t>
      </w:r>
      <w:r>
        <w:rPr>
          <w:rFonts w:hint="eastAsia" w:ascii="Times New Roman" w:hAnsi="Times New Roman" w:eastAsia="仿宋_GB2312" w:cs="Times New Roman"/>
          <w:color w:val="auto"/>
          <w:sz w:val="32"/>
          <w:szCs w:val="32"/>
          <w:highlight w:val="none"/>
          <w:lang w:val="en-US" w:eastAsia="zh-CN" w:bidi="zh-CN"/>
        </w:rPr>
        <w:t>于2024年1月31日</w:t>
      </w:r>
      <w:r>
        <w:rPr>
          <w:rFonts w:hint="default" w:ascii="Times New Roman" w:hAnsi="Times New Roman" w:eastAsia="仿宋_GB2312" w:cs="Times New Roman"/>
          <w:color w:val="auto"/>
          <w:sz w:val="32"/>
          <w:szCs w:val="32"/>
          <w:highlight w:val="none"/>
          <w:lang w:val="en-US" w:eastAsia="zh-CN" w:bidi="zh-CN"/>
        </w:rPr>
        <w:t>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5F882A56">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仿宋_GB2312" w:cs="Times New Roman"/>
          <w:sz w:val="32"/>
          <w:szCs w:val="32"/>
          <w:highlight w:val="none"/>
          <w:lang w:val="en-US" w:eastAsia="zh-CN" w:bidi="zh-CN"/>
        </w:rPr>
        <w:t>1.确认被申请人洛阳市涧西区市场监督管理局未完全履行信息公开职能违法；2.确认被申请人洛阳市涧西区市场监督管理局未提供信息公开内容违法；3.责令被申请人洛阳市涧西区市场监督管理局限期重作。</w:t>
      </w:r>
    </w:p>
    <w:p w14:paraId="731613AA">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lightGray"/>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eastAsia" w:ascii="Times New Roman" w:hAnsi="Times New Roman" w:eastAsia="仿宋_GB2312" w:cs="Times New Roman"/>
          <w:sz w:val="32"/>
          <w:szCs w:val="32"/>
          <w:highlight w:val="none"/>
          <w:lang w:val="en-US" w:eastAsia="zh-CN" w:bidi="zh-CN"/>
        </w:rPr>
        <w:t>申请人为行使公民知情、监督权利及促进法治政府工作透明化建设，向被申请人提起了政府信息公开申请，被申请人作出了答复，申请人认为该答复认定事实不清，适用法律不当，遂提起复议。《中华人民共和国政府信息公开条例》第四条 各级人民政府及县级以上人民政府部门应当建立健全本行政机关的政府信息公开工作制度，并指定机构（以下统称政府信息公开工作机构）负责本行政机关政府信息公开的日常工作。第十条 行政机关制作的政府信息，由制作该政府信息的行政机关负责公开。行政机关从公民、法人和其他组织获取的政府信息，由保存该政府信息的行政机关负责公开；行政机关获取的其他行政机关的政府信息，由制作或者最初获取该政府信息的行政机关负责公开。法律法规对政府信息公开的权限另有规定的，从其规定。第二十条 行政机关应当依照本条例第十九条的规定，主动公开本行政机关的下列政府信息：（一）行政法规、规章和规范性文件；（二）机关职能、机构设置、办公地址、办公时间、联系方式、负责人姓名；（五）办理行政许可和其他对外管理服务事项的依据、条件、程序以及办理结果；（六）实施行政处罚、行政强制的依据、条件、程序以及本行政机关认为具有一定社会影响的行政处罚决定；（十三）环境保护、公共卫生、安全生产、食品药品、产品质量的监督检查情况；（十五）法律法规、规章和国家有关规定规定应当主动公开的其他政府信息。第三十六条 对政府信息公开申请，行政机关根据下列情况分别作出答复：（二）所申请公开信息可以公开的，向申请人提供该政府信息，或者告知申请人获取该政府信息的方式、途径和时间。第三十七条 申请公开的信息中含有不应当公开或者不属于政府信息的内容，但是能够作区分处理的，行政机关应当向申请人提供可以公开的政府信息内容，并对不予公开的内容说明理由。第三十八条 行政机关向申请人提供的信息，应当是已制作或者获取的政府信息。除依照本条例第三十七条的规定能够作区分处理的外，需要行政机关对现有政府信息进行加工分析的，行政机关可以不予提供。《中华人民共和国行政处罚法》第五条规定：行政处罚遵循公正、公开的原则。对违法行为给予行政处罚的规定必须公布；未经公布的不得作为行政处罚的依据。明确了罚没项应当公开。本案中被申请人认定事实不清，未依法进行区分处理，也未就信息公开内容作具体提供告知。申请人申请事项属于不需要加工的政府信息，也不属于内部信息，属于第二十条信息公开法定范围内。被申请人认定事实不清，行政复议与行政诉讼只需答复公开案件的数量即可，辖区内罚没的案件数量和罚款总额，都是被申请人所直接掌握的信息，是特定的信息而不是分散的信息，不需要加工这是现有的信息，所以被申请人未区分处理申请人的政府信息公开申请全部不予公开是错误的，属于认定事实不清，适用法律不当，应确认违法。申请人作为投诉举报人人身财产受到侵害，是利害关系人，同时作为行政行为相对告知人，了解办理本人案件的执法人员信息以及执法证编号，合情合理合法，被申请人认定属于内部事务信息是错误的，该项目仅仅针对行政行为告知人进行公开。另依据《行政执法公示办法》执法人员信息属于可公开范围，并且执法过程应全程公开透明，接受当事人监督为原则，如不公开则会导致申请人丧失知情监督参与权，不利于法治政府工作透明化建设，被申请人利用执法优势地位不予公开是错误的，被申请人不予公开于法无据，应确认违法。被申请人遗漏多项申请人的公开请求，背离信息公开条例立法本意，未履行信息公开职能。政府信息公开作为最重要的信息资源的政府信息涵盖全社会信息的80%，它既是公众了解政府行为的直接途径，也是公众监督政府行为的重要依据。因而，政府信息应该公开。并且政府信息公开条例的公开为常态、不公开为例外的原则。然而被申请人背离了这一原则，故意遗漏了申请人的多项请求，被申请人仅仅给了告知书，申请人无法就答复书内容信息获取申请人的申请公开项目内容，就告知书内容也未查阅到有关于本次公开的内容，被申请人未告知答复本次公开申请项目，未达到公开目的，未履行信息公开的职能。被申请人的官本位思想严重背离了群众路线。行政行为明显不当，应当作为而不作为，应确认违法。综上所述，被申请人未能落实《法治政府建设实施纲要》精神，也未尊重申请人的监督权、知情权。违背了 《条例》的立法本意，被申请人作出行政行为认定事实不清，适用法律依据错误，行政行为明显不合理，未全面履行法定职责应当依法予以纠正，依据法律优先原则及专业化原则，《法治政府建设实施纲要》加强行政调解工作，请依法支持申请人的全部复议请求。</w:t>
      </w:r>
    </w:p>
    <w:p w14:paraId="634D5917">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lightGray"/>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被申请人于2023年12月21日接到申请人黄某的政府信息公开申请，其声称为了解被申请人法治政府建设落实情况，要求公开的信息包括投诉举报办理具体经办人的姓名，电话等信息（详见《政府信息公开申请表》）。依据《中华人民共和国政府信息公开条例》的规定，被申请人逐条予以核对并在法定期限内通过书面形式予以答复，已经履行了政府信息公开的法定职责。申请人申请公开“我局2022年度及2023年度所有类型的行政复议/行政诉讼数量”“罚没案件数量、罚款总额”这些均属于被申请人工作开展中形成的内部信息，依据《中华人民共和国政府信息公开条例》第十六条的规定，被申请人不予公开。申请人申请公开“获取相关人员的姓名、联系方式、执法编号、岗位”，申请理由为：便于后续救济使用。按照规定，申请人对被申请人投诉举报处理不服可以申请行政复议和行政诉讼，并未剥夺其救济的权利，其申请公开的理由明显不合理，依据《中华人民共和国政府信息公开条例》第三十五条的规定，被申请人不予处理。申请人要求公开的“本辖区食品药品监督检查情况”，食品药品监督检查是被申请人法定职责，涉及食品药品投诉举报处理、日常监管、案件办理等等，被申请人需要对大量的数据进行总结、加工、分析，依据《中华人民共和国政府信息公开条例》第三十八条的规定，被申请人可以不予提供。通过查询“全国 12315 投诉举报平台”可以检索出申请人投诉次数为798次，举报为234次，上述数据还不包括未被收录进该平台的现场投诉举报、邮寄投诉举报信等方式，其明显为职业举报人。法律法规保护公民的合法权益，包括监督权、知情权，但权利的运用应遵循合情、合理、合法的基本原则。申请人通信地址为贵州省兴仁市，该地与洛阳市涧西区远隔千里，一个远在千里之外的职业打假人声称要了解被申请人法治政府建设情况明显违背常理，名为行使监督权，实为胡搅蛮缠浪费行政资源。综上，被申请人认为在处理该政府信息公开工作中，被申请人适用法律妥当，作出决定合适，请对申请人行政复议予以驳回。</w:t>
      </w:r>
    </w:p>
    <w:p w14:paraId="364E946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eastAsia" w:ascii="Times New Roman" w:hAnsi="Times New Roman" w:eastAsia="黑体" w:cs="Times New Roman"/>
          <w:b w:val="0"/>
          <w:bCs/>
          <w:sz w:val="32"/>
          <w:szCs w:val="32"/>
          <w:highlight w:val="none"/>
          <w:lang w:eastAsia="zh-CN" w:bidi="zh-CN"/>
        </w:rPr>
        <w:t>：</w:t>
      </w:r>
      <w:r>
        <w:rPr>
          <w:rFonts w:hint="eastAsia" w:ascii="Times New Roman" w:hAnsi="Times New Roman" w:eastAsia="仿宋_GB2312" w:cs="Times New Roman"/>
          <w:sz w:val="32"/>
          <w:szCs w:val="32"/>
          <w:highlight w:val="none"/>
          <w:lang w:val="en-US" w:eastAsia="zh-CN" w:bidi="zh-CN"/>
        </w:rPr>
        <w:t>2023年12月18日，申请人黄某向被申请人邮寄了《政府信息公开申请表》，申请公开以下信息：现申请公开你机关2022年度及2023年度截至目前的所有类型行政复议/行政诉讼案件的数量，胜诉率和败诉率以及行政机关负责人出庭率与不履行职责被处分的人员数量及名单。办理本人投诉举报案件人员的姓名和联系电话、行政执法证编号、执法类别和岗位，便于后续救济途径使用。以及你辖区食品药品的监督检查情况、罚没案件数量、罚款总额，以行使公民监督权、知情权。</w:t>
      </w:r>
    </w:p>
    <w:p w14:paraId="741D79B7">
      <w:pPr>
        <w:pStyle w:val="2"/>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2023年12月21日，被申请人收到申请人邮寄的政府信息公开申请表。</w:t>
      </w:r>
    </w:p>
    <w:p w14:paraId="5DCDD254">
      <w:pPr>
        <w:pStyle w:val="2"/>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1月15日，被申请人作出《政府信息公开申请答复书》，并于当日向申请人进行邮寄。《政府信息公开申请答复书》的主要内容为：1.你申请公开的关于“我局2022年度及2023年度截至目前的所有类型的行政复议/行政诉讼的数量”“罚没案件数量、罚款总额”，该政府信息属于行政机关的内部事务信息，依据《中华人民共和国政府信息公开条例》第十六条的规定，我局依法不予公开。2.2022年度至今，我局所涉行政诉讼胜诉率为100%、行政机关负责人出庭率为100%；无人员因不履行职责被处分。3.你声称“获取相关人员的姓名、联系电话、执法证编号、执法类别、岗位”便于后续救济途径使用，该申请理由不合理，依据《中华人民共和国政府信息公开条例》第三十五条的规定，我局不予处理。4.你申请公开的本辖区食品药品监督检查情况，我局需要对日常监督检查、执法稽查等信息进行加工、分析，依据《中华人民共和国政府信息公开条例》第三十八条的规定本机关不予提供。</w:t>
      </w:r>
    </w:p>
    <w:p w14:paraId="5D11C109">
      <w:pPr>
        <w:pStyle w:val="2"/>
        <w:rPr>
          <w:rFonts w:hint="default"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2024年1月18日，申请人收到被申请人邮寄的《政府信息公开申请答复书》。</w:t>
      </w:r>
    </w:p>
    <w:p w14:paraId="57F0AD83">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政府信息公开申请表</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邮件封皮；4.邮件物流追踪轨迹；5.政府信息公开申请答复书；6.国内挂号信函收据；7.邮件轨迹。</w:t>
      </w:r>
    </w:p>
    <w:p w14:paraId="4103406C">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eastAsia" w:ascii="Times New Roman" w:hAnsi="Times New Roman" w:eastAsia="仿宋_GB2312" w:cs="Times New Roman"/>
          <w:color w:val="auto"/>
          <w:sz w:val="32"/>
          <w:szCs w:val="32"/>
          <w:highlight w:val="none"/>
          <w:lang w:val="en-US" w:eastAsia="zh-CN" w:bidi="zh-CN"/>
        </w:rPr>
        <w:t>根据《中华人民共和国政府信息公开条例》第二条“本条例所称政府信息，是指行政机关在履行行政管理职能过程中制作或者获取的，以一定形式记录、保存的信息”和第十六条“行政机关的内部事务信息，包括人事管理、后勤管理、内部工作流程等方面的信息，可以不予公开”之规定，申请人要求公开办理其投诉举报案件人员的姓名、联系电话、行政执法证编号、执法类别和岗位的请求，不属于《中华人民共和国政府信息公开条例》的调整范围。故被申请人以申请理由不合理为由进行答复，答复内容部分不合法，本机关予以纠正。</w:t>
      </w:r>
    </w:p>
    <w:p w14:paraId="24293E6C">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根据《中华人民共和国政府信息公开条例》第三十八条</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行政机关向申请人提供的信息，应当是已制作或者获取的政府信息。除依照本条例第三十七条的规定能够作区分处理的外，需要行政机关对现有政府信息进行加工、分析的，行政机关可以不予提供</w:t>
      </w:r>
      <w:r>
        <w:rPr>
          <w:rFonts w:hint="eastAsia" w:ascii="Times New Roman" w:hAnsi="Times New Roman" w:eastAsia="仿宋_GB2312" w:cs="Times New Roman"/>
          <w:color w:val="auto"/>
          <w:sz w:val="32"/>
          <w:szCs w:val="32"/>
          <w:highlight w:val="none"/>
          <w:lang w:val="en-US" w:eastAsia="zh-CN" w:bidi="zh-CN"/>
        </w:rPr>
        <w:t>”之规定，本案中申请人要求公开被申请人2022年度、2023年度截至目前的所有类型行政复议/行政诉讼案件的数量以及被申请人管理辖区食品药品的监督检查情况、罚没案件数量、罚款总额，以上信息需要被申请人进行收集、汇总、分析，并非被申请人已经制作或者获取的信息，按照《中华人民共和国政府信息公开条例》第三十八条规定，被申请人可以不予提供。故被申请人以2022年度、2023年度截至目前的所有类型行政复议/行政诉讼案件的数量以及罚没案件数量、罚款总额属于行政机关的内部事务信息为由不予公开，答复内容部分不合法，本机关予以纠正。</w:t>
      </w:r>
    </w:p>
    <w:p w14:paraId="3AF8AECF">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鉴于被申请人不存在应当公开而不公开的情形，故确认被申请人洛阳市涧西区市场监督管理局针对申请人黄某的政府信息公开申请作出的答复违法。</w:t>
      </w:r>
    </w:p>
    <w:p w14:paraId="07BC80D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w:t>
      </w:r>
      <w:r>
        <w:rPr>
          <w:rFonts w:hint="eastAsia" w:ascii="Times New Roman" w:hAnsi="Times New Roman" w:eastAsia="仿宋_GB2312" w:cs="Times New Roman"/>
          <w:color w:val="auto"/>
          <w:sz w:val="32"/>
          <w:szCs w:val="32"/>
          <w:highlight w:val="none"/>
          <w:lang w:val="en-US" w:eastAsia="zh-CN" w:bidi="zh-CN"/>
        </w:rPr>
        <w:t>六十五</w:t>
      </w:r>
      <w:r>
        <w:rPr>
          <w:rFonts w:hint="default" w:ascii="Times New Roman" w:hAnsi="Times New Roman" w:eastAsia="仿宋_GB2312" w:cs="Times New Roman"/>
          <w:color w:val="auto"/>
          <w:sz w:val="32"/>
          <w:szCs w:val="32"/>
          <w:highlight w:val="none"/>
          <w:lang w:val="en-US" w:eastAsia="zh-CN" w:bidi="zh-CN"/>
        </w:rPr>
        <w:t>条</w:t>
      </w:r>
      <w:r>
        <w:rPr>
          <w:rFonts w:hint="eastAsia" w:ascii="Times New Roman" w:hAnsi="Times New Roman" w:eastAsia="仿宋_GB2312" w:cs="Times New Roman"/>
          <w:color w:val="auto"/>
          <w:sz w:val="32"/>
          <w:szCs w:val="32"/>
          <w:highlight w:val="none"/>
          <w:lang w:val="en-US" w:eastAsia="zh-CN" w:bidi="zh-CN"/>
        </w:rPr>
        <w:t>第二款第（一）项</w:t>
      </w:r>
      <w:r>
        <w:rPr>
          <w:rFonts w:hint="default" w:ascii="Times New Roman" w:hAnsi="Times New Roman" w:eastAsia="仿宋_GB2312" w:cs="Times New Roman"/>
          <w:color w:val="auto"/>
          <w:sz w:val="32"/>
          <w:szCs w:val="32"/>
          <w:highlight w:val="none"/>
          <w:lang w:val="en-US" w:eastAsia="zh-CN" w:bidi="zh-CN"/>
        </w:rPr>
        <w:t>之规定，本机关决定如下：</w:t>
      </w:r>
    </w:p>
    <w:p w14:paraId="44674E9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确认</w:t>
      </w:r>
      <w:r>
        <w:rPr>
          <w:rFonts w:hint="default" w:ascii="Times New Roman" w:hAnsi="Times New Roman" w:eastAsia="仿宋_GB2312" w:cs="Times New Roman"/>
          <w:color w:val="auto"/>
          <w:sz w:val="32"/>
          <w:szCs w:val="32"/>
          <w:highlight w:val="none"/>
          <w:lang w:val="en-US" w:eastAsia="zh-CN" w:bidi="zh-CN"/>
        </w:rPr>
        <w:t>被申请人洛阳市涧西区市场监督管理局对申请人</w:t>
      </w:r>
      <w:r>
        <w:rPr>
          <w:rFonts w:hint="eastAsia" w:ascii="Times New Roman" w:hAnsi="Times New Roman" w:eastAsia="仿宋_GB2312" w:cs="Times New Roman"/>
          <w:color w:val="auto"/>
          <w:sz w:val="32"/>
          <w:szCs w:val="32"/>
          <w:highlight w:val="none"/>
          <w:lang w:val="en-US" w:eastAsia="zh-CN" w:bidi="zh-CN"/>
        </w:rPr>
        <w:t>黄某政府信息公开申请</w:t>
      </w:r>
      <w:r>
        <w:rPr>
          <w:rFonts w:hint="default" w:ascii="Times New Roman" w:hAnsi="Times New Roman" w:eastAsia="仿宋_GB2312" w:cs="Times New Roman"/>
          <w:color w:val="auto"/>
          <w:sz w:val="32"/>
          <w:szCs w:val="32"/>
          <w:highlight w:val="none"/>
          <w:lang w:val="en-US" w:eastAsia="zh-CN" w:bidi="zh-CN"/>
        </w:rPr>
        <w:t>作出的</w:t>
      </w:r>
      <w:r>
        <w:rPr>
          <w:rFonts w:hint="eastAsia" w:ascii="Times New Roman" w:hAnsi="Times New Roman" w:eastAsia="仿宋_GB2312" w:cs="Times New Roman"/>
          <w:color w:val="auto"/>
          <w:sz w:val="32"/>
          <w:szCs w:val="32"/>
          <w:highlight w:val="none"/>
          <w:lang w:val="en-US" w:eastAsia="zh-CN" w:bidi="zh-CN"/>
        </w:rPr>
        <w:t>答复违法</w:t>
      </w:r>
      <w:r>
        <w:rPr>
          <w:rFonts w:hint="default" w:ascii="Times New Roman" w:hAnsi="Times New Roman" w:eastAsia="仿宋_GB2312" w:cs="Times New Roman"/>
          <w:color w:val="auto"/>
          <w:sz w:val="32"/>
          <w:szCs w:val="32"/>
          <w:highlight w:val="none"/>
          <w:lang w:val="en-US" w:eastAsia="zh-CN" w:bidi="zh-CN"/>
        </w:rPr>
        <w:t>。</w:t>
      </w:r>
    </w:p>
    <w:p w14:paraId="3FB98973">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4CFC85AA">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312D20E4">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31AF156F">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sz w:val="32"/>
          <w:szCs w:val="32"/>
          <w:highlight w:val="lightGray"/>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2</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26</w:t>
      </w:r>
      <w:r>
        <w:rPr>
          <w:rFonts w:hint="default" w:ascii="Times New Roman" w:hAnsi="Times New Roman" w:eastAsia="仿宋_GB2312" w:cs="Times New Roman"/>
          <w:color w:val="auto"/>
          <w:sz w:val="32"/>
          <w:szCs w:val="32"/>
          <w:highlight w:val="none"/>
          <w:lang w:eastAsia="zh-CN" w:bidi="zh-CN"/>
        </w:rPr>
        <w:t xml:space="preserve">日     </w:t>
      </w:r>
      <w:bookmarkStart w:id="0" w:name="_GoBack"/>
      <w:bookmarkEnd w:id="0"/>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19A5AAD-3EED-48F5-AA7C-C10B8327E12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E201FDDC-4F16-4A29-9703-3B3D675B419C}"/>
  </w:font>
  <w:font w:name="仿宋">
    <w:panose1 w:val="02010609060101010101"/>
    <w:charset w:val="86"/>
    <w:family w:val="modern"/>
    <w:pitch w:val="default"/>
    <w:sig w:usb0="800002BF" w:usb1="38CF7CFA" w:usb2="00000016" w:usb3="00000000" w:csb0="00040001" w:csb1="00000000"/>
    <w:embedRegular r:id="rId3" w:fontKey="{972FDACA-475A-4E13-84D4-8F7DDF3D3B19}"/>
  </w:font>
  <w:font w:name="仿宋_GB2312">
    <w:panose1 w:val="02010609030101010101"/>
    <w:charset w:val="86"/>
    <w:family w:val="auto"/>
    <w:pitch w:val="default"/>
    <w:sig w:usb0="00000001" w:usb1="080E0000" w:usb2="00000000" w:usb3="00000000" w:csb0="00040000" w:csb1="00000000"/>
    <w:embedRegular r:id="rId4" w:fontKey="{0C8AF7DB-BBD4-4C08-9DCA-BF167F9F24B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9F3817">
    <w:pPr>
      <w:pStyle w:val="3"/>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2D4E4B47">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7A0F1B"/>
    <w:rsid w:val="00B1058E"/>
    <w:rsid w:val="00B510E8"/>
    <w:rsid w:val="00F0023A"/>
    <w:rsid w:val="02463B2B"/>
    <w:rsid w:val="02F138D4"/>
    <w:rsid w:val="04C258B7"/>
    <w:rsid w:val="064C3D82"/>
    <w:rsid w:val="06BD1E8C"/>
    <w:rsid w:val="07403CCA"/>
    <w:rsid w:val="07897ECC"/>
    <w:rsid w:val="08581424"/>
    <w:rsid w:val="09FF117A"/>
    <w:rsid w:val="0A120248"/>
    <w:rsid w:val="0AB914D3"/>
    <w:rsid w:val="0C592F5E"/>
    <w:rsid w:val="0D581A7A"/>
    <w:rsid w:val="0DD87FCA"/>
    <w:rsid w:val="0F1220A3"/>
    <w:rsid w:val="0F5615D1"/>
    <w:rsid w:val="0FBF372E"/>
    <w:rsid w:val="0FCD5369"/>
    <w:rsid w:val="116C71C0"/>
    <w:rsid w:val="1187006C"/>
    <w:rsid w:val="11BC16A5"/>
    <w:rsid w:val="12102C19"/>
    <w:rsid w:val="139E1E77"/>
    <w:rsid w:val="156D4A3D"/>
    <w:rsid w:val="15B97892"/>
    <w:rsid w:val="168F1FC7"/>
    <w:rsid w:val="16BB08CC"/>
    <w:rsid w:val="16F376D2"/>
    <w:rsid w:val="18AD78FA"/>
    <w:rsid w:val="18D92968"/>
    <w:rsid w:val="19520BE7"/>
    <w:rsid w:val="1A776FA9"/>
    <w:rsid w:val="1BE10978"/>
    <w:rsid w:val="1CA4041A"/>
    <w:rsid w:val="1DC1201A"/>
    <w:rsid w:val="1DC76541"/>
    <w:rsid w:val="1E5F050A"/>
    <w:rsid w:val="1E6F78F1"/>
    <w:rsid w:val="2056004D"/>
    <w:rsid w:val="205A2450"/>
    <w:rsid w:val="208464C8"/>
    <w:rsid w:val="21E73C49"/>
    <w:rsid w:val="23C527AE"/>
    <w:rsid w:val="23D343BD"/>
    <w:rsid w:val="24707D66"/>
    <w:rsid w:val="26023DD0"/>
    <w:rsid w:val="269A603B"/>
    <w:rsid w:val="26E82D43"/>
    <w:rsid w:val="273F74E2"/>
    <w:rsid w:val="2806431F"/>
    <w:rsid w:val="28545640"/>
    <w:rsid w:val="29D22ED3"/>
    <w:rsid w:val="29DB05E0"/>
    <w:rsid w:val="2A4C285A"/>
    <w:rsid w:val="2AE86452"/>
    <w:rsid w:val="2AF73E8C"/>
    <w:rsid w:val="2B0C2313"/>
    <w:rsid w:val="2BA4622F"/>
    <w:rsid w:val="2C0143DD"/>
    <w:rsid w:val="2C621127"/>
    <w:rsid w:val="2C832715"/>
    <w:rsid w:val="2D310A39"/>
    <w:rsid w:val="2D33789C"/>
    <w:rsid w:val="2DC70C94"/>
    <w:rsid w:val="2DDB691D"/>
    <w:rsid w:val="2E0C5AEE"/>
    <w:rsid w:val="2E19473C"/>
    <w:rsid w:val="2F1A772C"/>
    <w:rsid w:val="2F40089A"/>
    <w:rsid w:val="2F5229EB"/>
    <w:rsid w:val="2F995907"/>
    <w:rsid w:val="30422DB9"/>
    <w:rsid w:val="305038DF"/>
    <w:rsid w:val="30D56CB1"/>
    <w:rsid w:val="318D31E8"/>
    <w:rsid w:val="325E6887"/>
    <w:rsid w:val="327F28E1"/>
    <w:rsid w:val="32A627B9"/>
    <w:rsid w:val="332F26E5"/>
    <w:rsid w:val="338B5419"/>
    <w:rsid w:val="341B40B2"/>
    <w:rsid w:val="34531D9F"/>
    <w:rsid w:val="34AF4D13"/>
    <w:rsid w:val="34BA5C21"/>
    <w:rsid w:val="34D96190"/>
    <w:rsid w:val="34DB2170"/>
    <w:rsid w:val="3575202C"/>
    <w:rsid w:val="35C55C6F"/>
    <w:rsid w:val="36595C9F"/>
    <w:rsid w:val="36B82A7F"/>
    <w:rsid w:val="372848DB"/>
    <w:rsid w:val="3740675A"/>
    <w:rsid w:val="37F005AF"/>
    <w:rsid w:val="393A74C9"/>
    <w:rsid w:val="3A0C3897"/>
    <w:rsid w:val="3A513A33"/>
    <w:rsid w:val="3A84224D"/>
    <w:rsid w:val="3AA831A6"/>
    <w:rsid w:val="3BBBC973"/>
    <w:rsid w:val="3C3629DD"/>
    <w:rsid w:val="3CD92B74"/>
    <w:rsid w:val="3D1141E0"/>
    <w:rsid w:val="3D5918F7"/>
    <w:rsid w:val="3E2010EC"/>
    <w:rsid w:val="3EDB7162"/>
    <w:rsid w:val="3EDE61C9"/>
    <w:rsid w:val="3EE3794E"/>
    <w:rsid w:val="3F1B4C51"/>
    <w:rsid w:val="3FDF1DAB"/>
    <w:rsid w:val="3FF51487"/>
    <w:rsid w:val="40004FD0"/>
    <w:rsid w:val="412D4F8D"/>
    <w:rsid w:val="41984333"/>
    <w:rsid w:val="42143C8B"/>
    <w:rsid w:val="42293AD3"/>
    <w:rsid w:val="42A25885"/>
    <w:rsid w:val="438821C4"/>
    <w:rsid w:val="44374C73"/>
    <w:rsid w:val="44A51827"/>
    <w:rsid w:val="45C864B7"/>
    <w:rsid w:val="46734084"/>
    <w:rsid w:val="468D6154"/>
    <w:rsid w:val="46B61091"/>
    <w:rsid w:val="474B6EE9"/>
    <w:rsid w:val="479F09BE"/>
    <w:rsid w:val="48BF4A4F"/>
    <w:rsid w:val="4A054521"/>
    <w:rsid w:val="4A680B41"/>
    <w:rsid w:val="4B09426C"/>
    <w:rsid w:val="4B382A64"/>
    <w:rsid w:val="4B806E1D"/>
    <w:rsid w:val="4BE447B1"/>
    <w:rsid w:val="4C9F663F"/>
    <w:rsid w:val="4D2F601D"/>
    <w:rsid w:val="4DD92D1A"/>
    <w:rsid w:val="4DF95B66"/>
    <w:rsid w:val="4EAB7063"/>
    <w:rsid w:val="4EFB6111"/>
    <w:rsid w:val="4F4513B1"/>
    <w:rsid w:val="4F555643"/>
    <w:rsid w:val="4FA661F8"/>
    <w:rsid w:val="50516EF9"/>
    <w:rsid w:val="508D27A6"/>
    <w:rsid w:val="521C53E8"/>
    <w:rsid w:val="52677B27"/>
    <w:rsid w:val="530A7CE8"/>
    <w:rsid w:val="53223260"/>
    <w:rsid w:val="53296783"/>
    <w:rsid w:val="545318CA"/>
    <w:rsid w:val="549E6353"/>
    <w:rsid w:val="54F47C8D"/>
    <w:rsid w:val="55DA612A"/>
    <w:rsid w:val="567301E3"/>
    <w:rsid w:val="56CA17BA"/>
    <w:rsid w:val="571A77B4"/>
    <w:rsid w:val="57A00ED1"/>
    <w:rsid w:val="57B63C8A"/>
    <w:rsid w:val="58341658"/>
    <w:rsid w:val="59550469"/>
    <w:rsid w:val="5A601E35"/>
    <w:rsid w:val="5A900F23"/>
    <w:rsid w:val="5AD774A6"/>
    <w:rsid w:val="5BE340D4"/>
    <w:rsid w:val="5C447B4E"/>
    <w:rsid w:val="5D3C5AD3"/>
    <w:rsid w:val="5D6448EC"/>
    <w:rsid w:val="5D67459D"/>
    <w:rsid w:val="5E440296"/>
    <w:rsid w:val="5E5A6B19"/>
    <w:rsid w:val="5F09396D"/>
    <w:rsid w:val="5F2CAEFE"/>
    <w:rsid w:val="5F6B608A"/>
    <w:rsid w:val="5F845BA8"/>
    <w:rsid w:val="5FA770D9"/>
    <w:rsid w:val="5FF70323"/>
    <w:rsid w:val="60174E7A"/>
    <w:rsid w:val="606D56D8"/>
    <w:rsid w:val="61236240"/>
    <w:rsid w:val="619937D4"/>
    <w:rsid w:val="61B426FE"/>
    <w:rsid w:val="623A7B14"/>
    <w:rsid w:val="626742B2"/>
    <w:rsid w:val="64505863"/>
    <w:rsid w:val="64640EA2"/>
    <w:rsid w:val="64A634F8"/>
    <w:rsid w:val="64D27C9B"/>
    <w:rsid w:val="65761B10"/>
    <w:rsid w:val="658E7B9D"/>
    <w:rsid w:val="65AE6FB6"/>
    <w:rsid w:val="65F95FCF"/>
    <w:rsid w:val="671A0F79"/>
    <w:rsid w:val="679C1172"/>
    <w:rsid w:val="67F67B00"/>
    <w:rsid w:val="682E3AA8"/>
    <w:rsid w:val="68D82960"/>
    <w:rsid w:val="696220DC"/>
    <w:rsid w:val="699900D4"/>
    <w:rsid w:val="6A2C1D4E"/>
    <w:rsid w:val="6A5424B9"/>
    <w:rsid w:val="6B114BE3"/>
    <w:rsid w:val="6B4E705F"/>
    <w:rsid w:val="6B6535FA"/>
    <w:rsid w:val="6BB96942"/>
    <w:rsid w:val="6C376D0A"/>
    <w:rsid w:val="6C5655CF"/>
    <w:rsid w:val="6CAA2B0F"/>
    <w:rsid w:val="6CD00864"/>
    <w:rsid w:val="6DBA3439"/>
    <w:rsid w:val="6DD27D61"/>
    <w:rsid w:val="6FC55CD2"/>
    <w:rsid w:val="707E6E83"/>
    <w:rsid w:val="70EA1CED"/>
    <w:rsid w:val="71F7460A"/>
    <w:rsid w:val="720D2C72"/>
    <w:rsid w:val="72253984"/>
    <w:rsid w:val="73201E6B"/>
    <w:rsid w:val="75174AE6"/>
    <w:rsid w:val="75522E8B"/>
    <w:rsid w:val="764A405D"/>
    <w:rsid w:val="775274C5"/>
    <w:rsid w:val="78115138"/>
    <w:rsid w:val="788758AB"/>
    <w:rsid w:val="798E7D96"/>
    <w:rsid w:val="79C92109"/>
    <w:rsid w:val="79ED4B6A"/>
    <w:rsid w:val="79F3009A"/>
    <w:rsid w:val="7C7F22FA"/>
    <w:rsid w:val="7CF1464A"/>
    <w:rsid w:val="7D45285A"/>
    <w:rsid w:val="7DBEC43C"/>
    <w:rsid w:val="7FCD42DE"/>
    <w:rsid w:val="87DA8C8E"/>
    <w:rsid w:val="A9CF8CBF"/>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4447</Words>
  <Characters>4559</Characters>
  <Lines>0</Lines>
  <Paragraphs>0</Paragraphs>
  <TotalTime>1</TotalTime>
  <ScaleCrop>false</ScaleCrop>
  <LinksUpToDate>false</LinksUpToDate>
  <CharactersWithSpaces>4667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2014-11-03T04:08:00Z</dcterms:created>
  <dc:creator>Administrator</dc:creator>
  <cp:lastModifiedBy>金融工作</cp:lastModifiedBy>
  <cp:lastPrinted>2024-01-31T01:16:00Z</cp:lastPrinted>
  <dcterms:modified xsi:type="dcterms:W3CDTF">2024-11-07T08:06:42Z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