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75D36">
      <w:pPr>
        <w:keepNext w:val="0"/>
        <w:keepLines w:val="0"/>
        <w:pageBreakBefore w:val="0"/>
        <w:kinsoku/>
        <w:wordWrap/>
        <w:overflowPunct w:val="0"/>
        <w:topLinePunct w:val="0"/>
        <w:autoSpaceDE/>
        <w:autoSpaceDN/>
        <w:bidi w:val="0"/>
        <w:adjustRightInd/>
        <w:snapToGrid/>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w:t>
      </w:r>
      <w:r>
        <w:rPr>
          <w:rFonts w:hint="default" w:ascii="Times New Roman" w:hAnsi="Times New Roman" w:eastAsia="方正小标宋简体" w:cs="Times New Roman"/>
          <w:sz w:val="44"/>
          <w:szCs w:val="44"/>
          <w:lang w:val="en-US" w:eastAsia="zh-CN"/>
        </w:rPr>
        <w:t>不予受理</w:t>
      </w:r>
      <w:r>
        <w:rPr>
          <w:rFonts w:hint="default" w:ascii="Times New Roman" w:hAnsi="Times New Roman" w:eastAsia="方正小标宋简体" w:cs="Times New Roman"/>
          <w:sz w:val="44"/>
          <w:szCs w:val="44"/>
        </w:rPr>
        <w:t>决定书</w:t>
      </w:r>
    </w:p>
    <w:p w14:paraId="24C9C720">
      <w:pPr>
        <w:keepNext w:val="0"/>
        <w:keepLines w:val="0"/>
        <w:pageBreakBefore w:val="0"/>
        <w:widowControl w:val="0"/>
        <w:kinsoku/>
        <w:wordWrap/>
        <w:overflowPunct/>
        <w:topLinePunct w:val="0"/>
        <w:autoSpaceDE/>
        <w:autoSpaceDN/>
        <w:bidi w:val="0"/>
        <w:adjustRightInd/>
        <w:snapToGrid/>
        <w:spacing w:after="181" w:afterLines="50" w:line="560" w:lineRule="exact"/>
        <w:jc w:val="right"/>
        <w:textAlignment w:val="auto"/>
        <w:rPr>
          <w:rFonts w:hint="default" w:ascii="Times New Roman" w:hAnsi="Times New Roman" w:eastAsia="仿宋_GB2312" w:cs="Times New Roman"/>
          <w:sz w:val="32"/>
          <w:szCs w:val="32"/>
          <w:highlight w:val="lightGray"/>
          <w:lang w:eastAsia="zh-CN"/>
        </w:rPr>
      </w:pPr>
      <w:r>
        <w:rPr>
          <w:rFonts w:hint="default" w:ascii="Times New Roman" w:hAnsi="Times New Roman" w:eastAsia="仿宋_GB2312" w:cs="Times New Roman"/>
          <w:color w:val="auto"/>
          <w:sz w:val="32"/>
          <w:szCs w:val="32"/>
          <w:highlight w:val="none"/>
          <w:lang w:val="en-US" w:eastAsia="zh-CN" w:bidi="zh-CN"/>
        </w:rPr>
        <w:t xml:space="preserve">    涧政复决字〔202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〕第38号</w:t>
      </w:r>
    </w:p>
    <w:p w14:paraId="7E17730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赵某</w:t>
      </w:r>
      <w:r>
        <w:rPr>
          <w:rFonts w:hint="default" w:ascii="Times New Roman" w:hAnsi="Times New Roman" w:eastAsia="仿宋_GB2312" w:cs="Times New Roman"/>
          <w:sz w:val="32"/>
          <w:szCs w:val="32"/>
          <w:highlight w:val="none"/>
          <w:lang w:val="en-US" w:eastAsia="zh-CN" w:bidi="zh-CN"/>
        </w:rPr>
        <w:t>。</w:t>
      </w:r>
    </w:p>
    <w:p w14:paraId="72B3579A">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lightGray"/>
          <w:lang w:val="en-US"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34BE0755">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eastAsia="zh-CN" w:bidi="zh-CN"/>
        </w:rPr>
        <w:t>申请人</w:t>
      </w:r>
      <w:r>
        <w:rPr>
          <w:rFonts w:hint="eastAsia" w:ascii="Times New Roman" w:hAnsi="Times New Roman" w:eastAsia="仿宋_GB2312" w:cs="Times New Roman"/>
          <w:color w:val="auto"/>
          <w:sz w:val="32"/>
          <w:szCs w:val="32"/>
          <w:highlight w:val="none"/>
          <w:lang w:val="en-US" w:eastAsia="zh-CN" w:bidi="zh-CN"/>
        </w:rPr>
        <w:t>赵某</w:t>
      </w:r>
      <w:r>
        <w:rPr>
          <w:rFonts w:hint="default" w:ascii="Times New Roman" w:hAnsi="Times New Roman" w:eastAsia="仿宋_GB2312" w:cs="Times New Roman"/>
          <w:color w:val="auto"/>
          <w:sz w:val="32"/>
          <w:szCs w:val="32"/>
          <w:highlight w:val="none"/>
          <w:lang w:eastAsia="zh-CN" w:bidi="zh-CN"/>
        </w:rPr>
        <w:t>不服被申请人</w:t>
      </w:r>
      <w:r>
        <w:rPr>
          <w:rFonts w:hint="default" w:ascii="Times New Roman" w:hAnsi="Times New Roman" w:eastAsia="仿宋_GB2312" w:cs="Times New Roman"/>
          <w:sz w:val="32"/>
          <w:szCs w:val="32"/>
          <w:highlight w:val="none"/>
          <w:lang w:eastAsia="zh-CN" w:bidi="zh-CN"/>
        </w:rPr>
        <w:t>洛阳市涧西区市场监督管理局</w:t>
      </w:r>
      <w:r>
        <w:rPr>
          <w:rFonts w:hint="default" w:ascii="Times New Roman" w:hAnsi="Times New Roman" w:eastAsia="仿宋_GB2312" w:cs="Times New Roman"/>
          <w:color w:val="auto"/>
          <w:sz w:val="32"/>
          <w:szCs w:val="32"/>
          <w:highlight w:val="none"/>
          <w:lang w:val="en-US" w:eastAsia="zh-CN" w:bidi="zh-CN"/>
        </w:rPr>
        <w:t>于2024年2月27日在12345</w:t>
      </w:r>
      <w:r>
        <w:rPr>
          <w:rFonts w:hint="eastAsia" w:ascii="Times New Roman" w:hAnsi="Times New Roman" w:eastAsia="仿宋_GB2312" w:cs="Times New Roman"/>
          <w:color w:val="auto"/>
          <w:sz w:val="32"/>
          <w:szCs w:val="32"/>
          <w:highlight w:val="none"/>
          <w:lang w:val="en-US" w:eastAsia="zh-CN" w:bidi="zh-CN"/>
        </w:rPr>
        <w:t>服务</w:t>
      </w:r>
      <w:r>
        <w:rPr>
          <w:rFonts w:hint="default" w:ascii="Times New Roman" w:hAnsi="Times New Roman" w:eastAsia="仿宋_GB2312" w:cs="Times New Roman"/>
          <w:color w:val="auto"/>
          <w:sz w:val="32"/>
          <w:szCs w:val="32"/>
          <w:highlight w:val="none"/>
          <w:lang w:val="en-US" w:eastAsia="zh-CN" w:bidi="zh-CN"/>
        </w:rPr>
        <w:t>热线对申请人作出的办结答复，于2024年3月21日</w:t>
      </w:r>
      <w:r>
        <w:rPr>
          <w:rFonts w:hint="default" w:ascii="Times New Roman" w:hAnsi="Times New Roman" w:eastAsia="仿宋_GB2312" w:cs="Times New Roman"/>
          <w:color w:val="auto"/>
          <w:sz w:val="32"/>
          <w:szCs w:val="32"/>
          <w:highlight w:val="none"/>
          <w:lang w:eastAsia="zh-CN" w:bidi="zh-CN"/>
        </w:rPr>
        <w:t>向本机关申请行政复议</w:t>
      </w:r>
      <w:r>
        <w:rPr>
          <w:rFonts w:hint="default" w:ascii="Times New Roman" w:hAnsi="Times New Roman" w:eastAsia="仿宋_GB2312" w:cs="Times New Roman"/>
          <w:color w:val="auto"/>
          <w:sz w:val="32"/>
          <w:szCs w:val="32"/>
          <w:highlight w:val="none"/>
          <w:lang w:val="en-US" w:eastAsia="zh-CN" w:bidi="zh-CN"/>
        </w:rPr>
        <w:t>。</w:t>
      </w:r>
    </w:p>
    <w:p w14:paraId="6B40700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bidi="zh-CN"/>
        </w:rPr>
        <w:t>经审查，本机关认为</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color w:val="auto"/>
          <w:sz w:val="32"/>
          <w:szCs w:val="32"/>
          <w:highlight w:val="none"/>
          <w:lang w:val="en-US" w:eastAsia="zh-CN" w:bidi="zh-CN"/>
        </w:rPr>
        <w:t>12345服务热线是为畅通群众与政府之间交流沟通渠道，由政府设立的政务服务便民热线工作平台，是统一受理群众诉求并协调、督促办理的一项便民服务，不同</w:t>
      </w:r>
      <w:bookmarkStart w:id="0" w:name="_GoBack"/>
      <w:bookmarkEnd w:id="0"/>
      <w:r>
        <w:rPr>
          <w:rFonts w:hint="default" w:ascii="Times New Roman" w:hAnsi="Times New Roman" w:eastAsia="仿宋_GB2312" w:cs="Times New Roman"/>
          <w:color w:val="auto"/>
          <w:sz w:val="32"/>
          <w:szCs w:val="32"/>
          <w:highlight w:val="none"/>
          <w:lang w:val="en-US" w:eastAsia="zh-CN" w:bidi="zh-CN"/>
        </w:rPr>
        <w:t>于行政机关在履行法定职责过程中针对特定申请事项所作出的行政行为。《国务院办公厅关于进一步优化地方政务服务便民热线的指导意见》指出，12345热线负责受理企业和群众诉求、回答一般性咨询，不代替部门职能，部门按职责分工办理相关业务、实施监管执法和应急处置等。12345平台对群众投诉问题的答复事项不属于行政机关依法定职权作出的特定行政行为，不属于行政复议和行政诉讼的受理范围。</w:t>
      </w:r>
      <w:r>
        <w:rPr>
          <w:rFonts w:hint="default" w:ascii="Times New Roman" w:hAnsi="Times New Roman" w:eastAsia="仿宋_GB2312" w:cs="Times New Roman"/>
          <w:sz w:val="32"/>
          <w:szCs w:val="32"/>
          <w:highlight w:val="none"/>
          <w:lang w:val="en-US" w:eastAsia="zh-CN"/>
        </w:rPr>
        <w:t>综上，申请人申请复议的</w:t>
      </w:r>
      <w:r>
        <w:rPr>
          <w:rFonts w:hint="default" w:ascii="Times New Roman" w:hAnsi="Times New Roman" w:eastAsia="仿宋_GB2312" w:cs="Times New Roman"/>
          <w:color w:val="auto"/>
          <w:sz w:val="32"/>
          <w:szCs w:val="32"/>
          <w:highlight w:val="none"/>
          <w:lang w:val="en-US" w:eastAsia="zh-CN" w:bidi="zh-CN"/>
        </w:rPr>
        <w:t>办结答复</w:t>
      </w:r>
      <w:r>
        <w:rPr>
          <w:rFonts w:hint="default" w:ascii="Times New Roman" w:hAnsi="Times New Roman" w:eastAsia="仿宋_GB2312" w:cs="Times New Roman"/>
          <w:sz w:val="32"/>
          <w:szCs w:val="32"/>
          <w:highlight w:val="none"/>
          <w:lang w:val="en-US" w:eastAsia="zh-CN"/>
        </w:rPr>
        <w:t>不属于行政复议受案范围，</w:t>
      </w:r>
      <w:r>
        <w:rPr>
          <w:rFonts w:hint="default" w:ascii="Times New Roman" w:hAnsi="Times New Roman" w:eastAsia="仿宋_GB2312" w:cs="Times New Roman"/>
          <w:sz w:val="32"/>
          <w:szCs w:val="32"/>
          <w:highlight w:val="none"/>
        </w:rPr>
        <w:t>根据《中华人民共和国行政复议法》第</w:t>
      </w:r>
      <w:r>
        <w:rPr>
          <w:rFonts w:hint="default" w:ascii="Times New Roman" w:hAnsi="Times New Roman" w:eastAsia="仿宋_GB2312" w:cs="Times New Roman"/>
          <w:sz w:val="32"/>
          <w:szCs w:val="32"/>
          <w:highlight w:val="none"/>
          <w:lang w:val="en-US" w:eastAsia="zh-CN"/>
        </w:rPr>
        <w:t>三十</w:t>
      </w:r>
      <w:r>
        <w:rPr>
          <w:rFonts w:hint="default" w:ascii="Times New Roman" w:hAnsi="Times New Roman" w:eastAsia="仿宋_GB2312" w:cs="Times New Roman"/>
          <w:sz w:val="32"/>
          <w:szCs w:val="32"/>
          <w:highlight w:val="none"/>
        </w:rPr>
        <w:t>条</w:t>
      </w:r>
      <w:r>
        <w:rPr>
          <w:rFonts w:hint="default" w:ascii="Times New Roman" w:hAnsi="Times New Roman" w:eastAsia="仿宋_GB2312" w:cs="Times New Roman"/>
          <w:sz w:val="32"/>
          <w:szCs w:val="32"/>
          <w:highlight w:val="none"/>
          <w:lang w:val="en-US" w:eastAsia="zh-CN"/>
        </w:rPr>
        <w:t>之</w:t>
      </w:r>
      <w:r>
        <w:rPr>
          <w:rFonts w:hint="default" w:ascii="Times New Roman" w:hAnsi="Times New Roman" w:eastAsia="仿宋_GB2312" w:cs="Times New Roman"/>
          <w:sz w:val="32"/>
          <w:szCs w:val="32"/>
          <w:highlight w:val="none"/>
        </w:rPr>
        <w:t>规定，</w:t>
      </w:r>
      <w:r>
        <w:rPr>
          <w:rFonts w:hint="default" w:ascii="Times New Roman" w:hAnsi="Times New Roman" w:eastAsia="仿宋_GB2312" w:cs="Times New Roman"/>
          <w:sz w:val="32"/>
          <w:szCs w:val="32"/>
          <w:highlight w:val="none"/>
          <w:lang w:val="en-US" w:eastAsia="zh-CN"/>
        </w:rPr>
        <w:t>本机关</w:t>
      </w:r>
      <w:r>
        <w:rPr>
          <w:rFonts w:hint="default" w:ascii="Times New Roman" w:hAnsi="Times New Roman" w:eastAsia="仿宋_GB2312" w:cs="Times New Roman"/>
          <w:sz w:val="32"/>
          <w:szCs w:val="32"/>
          <w:highlight w:val="none"/>
        </w:rPr>
        <w:t>决定不予受理</w:t>
      </w:r>
      <w:r>
        <w:rPr>
          <w:rFonts w:hint="default" w:ascii="Times New Roman" w:hAnsi="Times New Roman" w:eastAsia="仿宋_GB2312" w:cs="Times New Roman"/>
          <w:sz w:val="32"/>
          <w:szCs w:val="32"/>
          <w:highlight w:val="none"/>
          <w:lang w:eastAsia="zh-CN"/>
        </w:rPr>
        <w:t>。</w:t>
      </w:r>
    </w:p>
    <w:p w14:paraId="0A34C0D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如对</w:t>
      </w:r>
      <w:r>
        <w:rPr>
          <w:rFonts w:hint="default" w:ascii="Times New Roman" w:hAnsi="Times New Roman" w:eastAsia="仿宋_GB2312" w:cs="Times New Roman"/>
          <w:sz w:val="32"/>
          <w:szCs w:val="32"/>
          <w:highlight w:val="none"/>
        </w:rPr>
        <w:t>本决定</w:t>
      </w:r>
      <w:r>
        <w:rPr>
          <w:rFonts w:hint="default" w:ascii="Times New Roman" w:hAnsi="Times New Roman" w:eastAsia="仿宋_GB2312" w:cs="Times New Roman"/>
          <w:sz w:val="32"/>
          <w:szCs w:val="32"/>
          <w:highlight w:val="none"/>
          <w:lang w:val="en-US" w:eastAsia="zh-CN"/>
        </w:rPr>
        <w:t>不服</w:t>
      </w:r>
      <w:r>
        <w:rPr>
          <w:rFonts w:hint="default" w:ascii="Times New Roman" w:hAnsi="Times New Roman" w:eastAsia="仿宋_GB2312" w:cs="Times New Roman"/>
          <w:sz w:val="32"/>
          <w:szCs w:val="32"/>
          <w:highlight w:val="none"/>
        </w:rPr>
        <w:t>，可</w:t>
      </w:r>
      <w:r>
        <w:rPr>
          <w:rFonts w:hint="default" w:ascii="Times New Roman" w:hAnsi="Times New Roman" w:eastAsia="仿宋_GB2312" w:cs="Times New Roman"/>
          <w:sz w:val="32"/>
          <w:szCs w:val="32"/>
          <w:highlight w:val="none"/>
          <w:lang w:val="en-US" w:eastAsia="zh-CN"/>
        </w:rPr>
        <w:t>在</w:t>
      </w:r>
      <w:r>
        <w:rPr>
          <w:rFonts w:hint="default" w:ascii="Times New Roman" w:hAnsi="Times New Roman" w:eastAsia="仿宋_GB2312" w:cs="Times New Roman"/>
          <w:sz w:val="32"/>
          <w:szCs w:val="32"/>
          <w:highlight w:val="none"/>
        </w:rPr>
        <w:t>收到决定书之日起15日内向有管辖权的人民法院提起行政诉讼。</w:t>
      </w:r>
    </w:p>
    <w:p w14:paraId="5F7530E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p>
    <w:p w14:paraId="0F75DFDE">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highlight w:val="none"/>
          <w:lang w:val="en-US" w:eastAsia="zh-CN" w:bidi="zh-CN"/>
        </w:rPr>
      </w:pPr>
    </w:p>
    <w:p w14:paraId="04DA13CB">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highlight w:val="none"/>
          <w:lang w:val="en-US" w:eastAsia="zh-CN" w:bidi="zh-CN"/>
        </w:rPr>
      </w:pPr>
    </w:p>
    <w:p w14:paraId="744EAF9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highlight w:val="lightGray"/>
          <w:lang w:eastAsia="zh-CN"/>
        </w:rPr>
      </w:pPr>
      <w:r>
        <w:rPr>
          <w:rFonts w:hint="default" w:ascii="Times New Roman" w:hAnsi="Times New Roman" w:eastAsia="仿宋_GB2312" w:cs="Times New Roman"/>
          <w:sz w:val="32"/>
          <w:szCs w:val="32"/>
          <w:highlight w:val="none"/>
          <w:lang w:val="en-US" w:eastAsia="zh-CN" w:bidi="zh-CN"/>
        </w:rPr>
        <w:t xml:space="preserve">                                2024年3月</w:t>
      </w:r>
      <w:r>
        <w:rPr>
          <w:rFonts w:hint="eastAsia" w:ascii="Times New Roman" w:hAnsi="Times New Roman" w:eastAsia="仿宋_GB2312" w:cs="Times New Roman"/>
          <w:sz w:val="32"/>
          <w:szCs w:val="32"/>
          <w:highlight w:val="none"/>
          <w:lang w:val="en-US" w:eastAsia="zh-CN" w:bidi="zh-CN"/>
        </w:rPr>
        <w:t>25</w:t>
      </w:r>
      <w:r>
        <w:rPr>
          <w:rFonts w:hint="default" w:ascii="Times New Roman" w:hAnsi="Times New Roman" w:eastAsia="仿宋_GB2312" w:cs="Times New Roman"/>
          <w:sz w:val="32"/>
          <w:szCs w:val="32"/>
          <w:highlight w:val="none"/>
          <w:lang w:val="en-US" w:eastAsia="zh-CN" w:bidi="zh-CN"/>
        </w:rPr>
        <w:t>日</w:t>
      </w:r>
    </w:p>
    <w:p w14:paraId="4A1F648C">
      <w:pPr>
        <w:pStyle w:val="2"/>
        <w:keepNext w:val="0"/>
        <w:keepLines w:val="0"/>
        <w:pageBreakBefore w:val="0"/>
        <w:tabs>
          <w:tab w:val="left" w:pos="7560"/>
        </w:tabs>
        <w:kinsoku/>
        <w:wordWrap/>
        <w:overflowPunct w:val="0"/>
        <w:topLinePunct w:val="0"/>
        <w:autoSpaceDE/>
        <w:autoSpaceDN/>
        <w:bidi w:val="0"/>
        <w:adjustRightInd/>
        <w:snapToGrid/>
        <w:spacing w:line="580" w:lineRule="exact"/>
        <w:ind w:firstLine="5440" w:firstLineChars="1700"/>
        <w:textAlignment w:val="auto"/>
        <w:rPr>
          <w:rFonts w:hint="default" w:ascii="Times New Roman" w:hAnsi="Times New Roman" w:eastAsia="仿宋_GB2312" w:cs="Times New Roman"/>
          <w:sz w:val="32"/>
          <w:szCs w:val="32"/>
          <w:highlight w:val="lightGray"/>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3CDD1F41-FE26-43E3-9784-334DC58EAB2E}"/>
  </w:font>
  <w:font w:name="仿宋_GB2312">
    <w:panose1 w:val="02010609030101010101"/>
    <w:charset w:val="86"/>
    <w:family w:val="auto"/>
    <w:pitch w:val="default"/>
    <w:sig w:usb0="00000001" w:usb1="080E0000" w:usb2="00000000" w:usb3="00000000" w:csb0="00040000" w:csb1="00000000"/>
    <w:embedRegular r:id="rId2" w:fontKey="{BEB9FAA2-17B4-41E9-9D5F-2BF25A165A8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164654">
    <w:pPr>
      <w:pStyle w:val="3"/>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70F8E8D2">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1435A54"/>
    <w:rsid w:val="01B80FCB"/>
    <w:rsid w:val="01FC40A1"/>
    <w:rsid w:val="025102F4"/>
    <w:rsid w:val="037E54A3"/>
    <w:rsid w:val="03FC767B"/>
    <w:rsid w:val="04C4568D"/>
    <w:rsid w:val="050C5E76"/>
    <w:rsid w:val="05B63FD6"/>
    <w:rsid w:val="05C26D59"/>
    <w:rsid w:val="061F3DDB"/>
    <w:rsid w:val="09046318"/>
    <w:rsid w:val="094865B2"/>
    <w:rsid w:val="09CD226A"/>
    <w:rsid w:val="09D36778"/>
    <w:rsid w:val="09DB07FD"/>
    <w:rsid w:val="0A417965"/>
    <w:rsid w:val="0A9C35E3"/>
    <w:rsid w:val="0C50209C"/>
    <w:rsid w:val="0C70106C"/>
    <w:rsid w:val="0C7017CB"/>
    <w:rsid w:val="0C8F1240"/>
    <w:rsid w:val="0D2E6635"/>
    <w:rsid w:val="0D9F7891"/>
    <w:rsid w:val="0E6E3471"/>
    <w:rsid w:val="0F203A3E"/>
    <w:rsid w:val="0F292ED3"/>
    <w:rsid w:val="0FBF372E"/>
    <w:rsid w:val="0FC712FE"/>
    <w:rsid w:val="107374DA"/>
    <w:rsid w:val="11974A4E"/>
    <w:rsid w:val="11AB53A0"/>
    <w:rsid w:val="120B3D4E"/>
    <w:rsid w:val="12936141"/>
    <w:rsid w:val="13726E72"/>
    <w:rsid w:val="139B20B6"/>
    <w:rsid w:val="14163CCF"/>
    <w:rsid w:val="14F32412"/>
    <w:rsid w:val="16417787"/>
    <w:rsid w:val="171E20DF"/>
    <w:rsid w:val="17200870"/>
    <w:rsid w:val="17536547"/>
    <w:rsid w:val="17A10BB7"/>
    <w:rsid w:val="17F119BD"/>
    <w:rsid w:val="181429D2"/>
    <w:rsid w:val="1852245C"/>
    <w:rsid w:val="18C96C96"/>
    <w:rsid w:val="19540489"/>
    <w:rsid w:val="197724DC"/>
    <w:rsid w:val="19ED7FE6"/>
    <w:rsid w:val="1AD07837"/>
    <w:rsid w:val="1C1F660B"/>
    <w:rsid w:val="1CC141D4"/>
    <w:rsid w:val="1DC01001"/>
    <w:rsid w:val="1DCE373B"/>
    <w:rsid w:val="1DD40180"/>
    <w:rsid w:val="1E291CFE"/>
    <w:rsid w:val="1EB074FF"/>
    <w:rsid w:val="1EC8408C"/>
    <w:rsid w:val="1F3F2EA1"/>
    <w:rsid w:val="1F5A6FB2"/>
    <w:rsid w:val="1F8F5C67"/>
    <w:rsid w:val="1FC31AF2"/>
    <w:rsid w:val="20051DB1"/>
    <w:rsid w:val="2144494B"/>
    <w:rsid w:val="21493214"/>
    <w:rsid w:val="21D666E8"/>
    <w:rsid w:val="21E73C49"/>
    <w:rsid w:val="242239CD"/>
    <w:rsid w:val="244B5416"/>
    <w:rsid w:val="25B04B74"/>
    <w:rsid w:val="25F74973"/>
    <w:rsid w:val="26056D25"/>
    <w:rsid w:val="26485FEE"/>
    <w:rsid w:val="26F366D6"/>
    <w:rsid w:val="27C36AF2"/>
    <w:rsid w:val="297053DE"/>
    <w:rsid w:val="29830BB3"/>
    <w:rsid w:val="2A1B14D6"/>
    <w:rsid w:val="2A356197"/>
    <w:rsid w:val="2A3971ED"/>
    <w:rsid w:val="2C3A15DC"/>
    <w:rsid w:val="2CBE5D2D"/>
    <w:rsid w:val="2E375631"/>
    <w:rsid w:val="2F7B0454"/>
    <w:rsid w:val="2FD361A8"/>
    <w:rsid w:val="30374CD4"/>
    <w:rsid w:val="30C400C9"/>
    <w:rsid w:val="30CE4099"/>
    <w:rsid w:val="30DB181E"/>
    <w:rsid w:val="31AE3364"/>
    <w:rsid w:val="32182ABD"/>
    <w:rsid w:val="32B06D03"/>
    <w:rsid w:val="32CA473F"/>
    <w:rsid w:val="32FF7833"/>
    <w:rsid w:val="34367E3A"/>
    <w:rsid w:val="34F94E29"/>
    <w:rsid w:val="351A7D6D"/>
    <w:rsid w:val="356A32F7"/>
    <w:rsid w:val="36336BA7"/>
    <w:rsid w:val="372B233F"/>
    <w:rsid w:val="373066FF"/>
    <w:rsid w:val="37580C1E"/>
    <w:rsid w:val="37710628"/>
    <w:rsid w:val="38137C9C"/>
    <w:rsid w:val="38822138"/>
    <w:rsid w:val="38854651"/>
    <w:rsid w:val="38B557C0"/>
    <w:rsid w:val="38DF05D9"/>
    <w:rsid w:val="394E7CFE"/>
    <w:rsid w:val="3A3E649C"/>
    <w:rsid w:val="3A4E41E0"/>
    <w:rsid w:val="3AAF2A68"/>
    <w:rsid w:val="3ABE2DBF"/>
    <w:rsid w:val="3BBBC973"/>
    <w:rsid w:val="3C096340"/>
    <w:rsid w:val="3C4C4616"/>
    <w:rsid w:val="3C780AE5"/>
    <w:rsid w:val="3D987AD7"/>
    <w:rsid w:val="3D9E3A7A"/>
    <w:rsid w:val="3DDE38B5"/>
    <w:rsid w:val="3DFD1951"/>
    <w:rsid w:val="3E174EC3"/>
    <w:rsid w:val="3E392173"/>
    <w:rsid w:val="3E76393B"/>
    <w:rsid w:val="3EBB2FCC"/>
    <w:rsid w:val="3F087868"/>
    <w:rsid w:val="3F7D7772"/>
    <w:rsid w:val="408D26B3"/>
    <w:rsid w:val="40916E76"/>
    <w:rsid w:val="40A74D5D"/>
    <w:rsid w:val="41507DDC"/>
    <w:rsid w:val="41BA33F8"/>
    <w:rsid w:val="41FA176A"/>
    <w:rsid w:val="42311014"/>
    <w:rsid w:val="42CB65B7"/>
    <w:rsid w:val="446C09BA"/>
    <w:rsid w:val="44EA1CA9"/>
    <w:rsid w:val="44FA0298"/>
    <w:rsid w:val="45683BB5"/>
    <w:rsid w:val="458B6BE1"/>
    <w:rsid w:val="45BE79B4"/>
    <w:rsid w:val="46A342F8"/>
    <w:rsid w:val="473558D0"/>
    <w:rsid w:val="475E04B0"/>
    <w:rsid w:val="48176608"/>
    <w:rsid w:val="485416D6"/>
    <w:rsid w:val="4A5D66FE"/>
    <w:rsid w:val="4A617FE4"/>
    <w:rsid w:val="4B5830D2"/>
    <w:rsid w:val="4BAD6A77"/>
    <w:rsid w:val="4C3F4705"/>
    <w:rsid w:val="4D2224B2"/>
    <w:rsid w:val="4DAC25D4"/>
    <w:rsid w:val="4E0C0434"/>
    <w:rsid w:val="4E2A67E0"/>
    <w:rsid w:val="4E7F20A8"/>
    <w:rsid w:val="4EC5069E"/>
    <w:rsid w:val="4EFF40E1"/>
    <w:rsid w:val="50897E78"/>
    <w:rsid w:val="5172372D"/>
    <w:rsid w:val="5196613F"/>
    <w:rsid w:val="51A216FE"/>
    <w:rsid w:val="51A25E91"/>
    <w:rsid w:val="51AC5FFA"/>
    <w:rsid w:val="51B34E7A"/>
    <w:rsid w:val="51B71F8C"/>
    <w:rsid w:val="51C504A8"/>
    <w:rsid w:val="51CF4D95"/>
    <w:rsid w:val="526933B0"/>
    <w:rsid w:val="52CF1440"/>
    <w:rsid w:val="534A2D0D"/>
    <w:rsid w:val="53A61752"/>
    <w:rsid w:val="53F35A51"/>
    <w:rsid w:val="5413297B"/>
    <w:rsid w:val="546F04EF"/>
    <w:rsid w:val="555700B9"/>
    <w:rsid w:val="561200A9"/>
    <w:rsid w:val="56177C28"/>
    <w:rsid w:val="56923F20"/>
    <w:rsid w:val="57032B40"/>
    <w:rsid w:val="57B63C8A"/>
    <w:rsid w:val="584A7729"/>
    <w:rsid w:val="58A9794E"/>
    <w:rsid w:val="58D41C07"/>
    <w:rsid w:val="58D44810"/>
    <w:rsid w:val="59BC320F"/>
    <w:rsid w:val="59C81391"/>
    <w:rsid w:val="59D67A6F"/>
    <w:rsid w:val="5A323864"/>
    <w:rsid w:val="5B032BD8"/>
    <w:rsid w:val="5B104ECD"/>
    <w:rsid w:val="5B122FBA"/>
    <w:rsid w:val="5B724DC1"/>
    <w:rsid w:val="5BD53796"/>
    <w:rsid w:val="5C265DD8"/>
    <w:rsid w:val="5C8A773E"/>
    <w:rsid w:val="5C9C2179"/>
    <w:rsid w:val="5D3B4C80"/>
    <w:rsid w:val="5D8F68FE"/>
    <w:rsid w:val="5DCF6FD6"/>
    <w:rsid w:val="5E4F45FE"/>
    <w:rsid w:val="5E796E4B"/>
    <w:rsid w:val="5E8A1A2D"/>
    <w:rsid w:val="5F2CAEFE"/>
    <w:rsid w:val="5F3B7874"/>
    <w:rsid w:val="5F4F1572"/>
    <w:rsid w:val="5F73062B"/>
    <w:rsid w:val="5F98498A"/>
    <w:rsid w:val="5FFE6B64"/>
    <w:rsid w:val="602D7FBA"/>
    <w:rsid w:val="60971A96"/>
    <w:rsid w:val="61106810"/>
    <w:rsid w:val="61131548"/>
    <w:rsid w:val="61F5069E"/>
    <w:rsid w:val="62246CD2"/>
    <w:rsid w:val="624262AC"/>
    <w:rsid w:val="627A192C"/>
    <w:rsid w:val="627D474B"/>
    <w:rsid w:val="628263D9"/>
    <w:rsid w:val="62AB0378"/>
    <w:rsid w:val="63655610"/>
    <w:rsid w:val="63682FEE"/>
    <w:rsid w:val="63847AD9"/>
    <w:rsid w:val="638C22A1"/>
    <w:rsid w:val="64395110"/>
    <w:rsid w:val="64537D84"/>
    <w:rsid w:val="646402CB"/>
    <w:rsid w:val="6502023B"/>
    <w:rsid w:val="6535207F"/>
    <w:rsid w:val="657A3716"/>
    <w:rsid w:val="65C60DEB"/>
    <w:rsid w:val="65EA4FF6"/>
    <w:rsid w:val="665C2F25"/>
    <w:rsid w:val="68014955"/>
    <w:rsid w:val="683D46F4"/>
    <w:rsid w:val="68697C5F"/>
    <w:rsid w:val="691F65C2"/>
    <w:rsid w:val="6A036897"/>
    <w:rsid w:val="6A9F481C"/>
    <w:rsid w:val="6B140CE2"/>
    <w:rsid w:val="6BD77BAE"/>
    <w:rsid w:val="6C2F0215"/>
    <w:rsid w:val="6CE452D6"/>
    <w:rsid w:val="6D422DE4"/>
    <w:rsid w:val="6D6B7B64"/>
    <w:rsid w:val="6DA26C2E"/>
    <w:rsid w:val="6DCC7F54"/>
    <w:rsid w:val="6DE54241"/>
    <w:rsid w:val="6E385814"/>
    <w:rsid w:val="6EBC0F1A"/>
    <w:rsid w:val="6EBD15FB"/>
    <w:rsid w:val="6EC613C4"/>
    <w:rsid w:val="6EE352C5"/>
    <w:rsid w:val="6F6E4088"/>
    <w:rsid w:val="6F9400A3"/>
    <w:rsid w:val="6FEF7B11"/>
    <w:rsid w:val="706C7836"/>
    <w:rsid w:val="708918FF"/>
    <w:rsid w:val="70AD7294"/>
    <w:rsid w:val="711E0050"/>
    <w:rsid w:val="716430B3"/>
    <w:rsid w:val="72D63F05"/>
    <w:rsid w:val="73C23C4F"/>
    <w:rsid w:val="742D577E"/>
    <w:rsid w:val="74537454"/>
    <w:rsid w:val="74B5584D"/>
    <w:rsid w:val="74F5054B"/>
    <w:rsid w:val="752323AC"/>
    <w:rsid w:val="77195E9E"/>
    <w:rsid w:val="7725536A"/>
    <w:rsid w:val="776D2139"/>
    <w:rsid w:val="778B4A79"/>
    <w:rsid w:val="781D7CD6"/>
    <w:rsid w:val="781E079A"/>
    <w:rsid w:val="78CD3839"/>
    <w:rsid w:val="790128DD"/>
    <w:rsid w:val="79274F0F"/>
    <w:rsid w:val="799B36E1"/>
    <w:rsid w:val="79B21659"/>
    <w:rsid w:val="79E941A2"/>
    <w:rsid w:val="7A0C7455"/>
    <w:rsid w:val="7A526DB4"/>
    <w:rsid w:val="7AEF41D9"/>
    <w:rsid w:val="7B0D200C"/>
    <w:rsid w:val="7C2E7CD6"/>
    <w:rsid w:val="7C3930F7"/>
    <w:rsid w:val="7D663A0C"/>
    <w:rsid w:val="7D8F113F"/>
    <w:rsid w:val="7DBEC43C"/>
    <w:rsid w:val="7DC22F82"/>
    <w:rsid w:val="7E6341B5"/>
    <w:rsid w:val="7F1545FB"/>
    <w:rsid w:val="7F5A4613"/>
    <w:rsid w:val="7FA171CD"/>
    <w:rsid w:val="7FDC2280"/>
    <w:rsid w:val="87DA8C8E"/>
    <w:rsid w:val="9EFD57F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477</Words>
  <Characters>510</Characters>
  <Lines>0</Lines>
  <Paragraphs>0</Paragraphs>
  <TotalTime>0</TotalTime>
  <ScaleCrop>false</ScaleCrop>
  <LinksUpToDate>false</LinksUpToDate>
  <CharactersWithSpaces>546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2014-11-02T20:08:00Z</dcterms:created>
  <dc:creator>Administrator</dc:creator>
  <cp:lastModifiedBy>金融工作</cp:lastModifiedBy>
  <cp:lastPrinted>2024-03-21T17:11:00Z</cp:lastPrinted>
  <dcterms:modified xsi:type="dcterms:W3CDTF">2024-11-07T08:08:38Z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