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FFDE41">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750BBB9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48</w:t>
      </w:r>
      <w:r>
        <w:rPr>
          <w:rFonts w:hint="default" w:ascii="Times New Roman" w:hAnsi="Times New Roman" w:eastAsia="仿宋_GB2312" w:cs="Times New Roman"/>
          <w:color w:val="auto"/>
          <w:sz w:val="32"/>
          <w:szCs w:val="32"/>
          <w:highlight w:val="none"/>
          <w:lang w:val="en-US" w:eastAsia="zh-CN" w:bidi="zh-CN"/>
        </w:rPr>
        <w:t>号</w:t>
      </w:r>
    </w:p>
    <w:bookmarkEnd w:id="0"/>
    <w:p w14:paraId="360B7185">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朱某</w:t>
      </w:r>
      <w:r>
        <w:rPr>
          <w:rFonts w:hint="default" w:ascii="Times New Roman" w:hAnsi="Times New Roman" w:eastAsia="仿宋_GB2312" w:cs="Times New Roman"/>
          <w:color w:val="auto"/>
          <w:sz w:val="32"/>
          <w:szCs w:val="32"/>
          <w:highlight w:val="none"/>
          <w:lang w:val="en-US" w:eastAsia="zh-CN" w:bidi="zh-CN"/>
        </w:rPr>
        <w:t>。</w:t>
      </w:r>
    </w:p>
    <w:p w14:paraId="70BB49B0">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583C8C5A">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sz w:val="32"/>
          <w:szCs w:val="32"/>
          <w:highlight w:val="none"/>
          <w:lang w:val="en-US" w:eastAsia="zh-CN" w:bidi="zh-CN"/>
        </w:rPr>
        <w:t>某公司。</w:t>
      </w:r>
    </w:p>
    <w:p w14:paraId="234A0D53">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val="en-US" w:eastAsia="zh-CN" w:bidi="zh-CN"/>
        </w:rPr>
        <w:t>日作出的《</w:t>
      </w:r>
      <w:r>
        <w:rPr>
          <w:rFonts w:hint="eastAsia" w:ascii="Times New Roman" w:hAnsi="Times New Roman" w:eastAsia="仿宋_GB2312" w:cs="Times New Roman"/>
          <w:color w:val="auto"/>
          <w:sz w:val="32"/>
          <w:szCs w:val="32"/>
          <w:highlight w:val="none"/>
          <w:lang w:val="en-US" w:eastAsia="zh-CN" w:bidi="zh-CN"/>
        </w:rPr>
        <w:t>不予调查处理告知书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于2024年4月15日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于2024年4月19日</w:t>
      </w:r>
      <w:r>
        <w:rPr>
          <w:rFonts w:hint="default"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7BED911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依法撤销被申请人于2024年3月29日作出的《不予调查处理告知书》；责令被申请人对申请人停放在洛阳市青少年活动中心院内的电动车被人为暴力移动并损坏事件依法立案调查，根据调查事实依法对洛阳市青少年文化活动中心物业相关人员损坏他人财物进行行政处罚并责令赔偿。</w:t>
      </w:r>
    </w:p>
    <w:p w14:paraId="6B79762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2024年3月29日中午，申请人临时停放在洛阳市青少年活动中心院内的电动车被人为暴力移动并损坏，发现后申请人于11:58分向110报警，因久等无回应，半小时内共拨打110报警台四次催促。13:03接到办案人员（请原谅我无法称其为民警，为民服务者称民，依法办事者称警，请上级领导评判这些办事人员够不够资格称民警）的电话，十几分钟后到现场，办案人员第一次回应距报案65分钟，到现场时已80分钟过去。办案人员在进行简单的现场沟通后，首先表态说这都是“鸡毛蒜皮”。在申请人和申请人爱人的一再要求下，办案人员找到青少年活动中心的物业人员，物业人员也承认是他拖走了车。但办案人员认为这属于民事纠纷，他表示他可以“帮忙”调解，但也可以让我们自行处理。于是办案人员象征性地询问了双方的意见，双方表示都不愿意承担损失。随后，办案人员对我们说程序结束了，之后让我们要么找物业经理协商，要么去法院进行起诉。办案人员就这么扬长而去，匆忙离开了。申请人感觉很奇怪，这个程序似乎是不合规的，因为申请人想起自己好像并没有在出警记录上签字，手上也没有任何回执，难道就这么草草了事了吗？于是申请人又打电话找到刚才的办案人员，问办案人员要出警记录及当时破坏车辆的录像监控，办案人员说这事儿不归他们管，也没办法帮我们调取监控，并表示公安机关不对个人，让我们自己找律师办理。此次110出警速度慢，效率低、态度敷衍，没有让申请人签字，也没有进行取证，更没有给申请人任何情况说明的回执。申请人的车是在车辆报警器多次、长时间鸣叫提示并锁死的情况下，暴力拖拽造成损坏，以致无法启动，这属于故意损坏他人财物，怎么属于民事纠纷？于是申请人打电话进一步要求以治安案件事由报案，理由是故意损坏他人财物。经两轮电话沟通后，办案人员勉强同意带领我们去珠江路派出所做进一步处理。我们在13:50分左右到达珠江路派出所，办案人员在进行简单的交接后，由另一位办案人员向申请人询问案件细节。申请人正叙述着，旁边来了一个未穿警服的人也同时向申请人询问，并且印象中此人当时手里还拿了一支烟。我觉得很奇怪，问此人是谁？办案人员说这是他们“领导”。申请人问：“到底谁负责？我到底要跟谁说？不能让我不断地跟不同的人重复叙述案情吧？”他说跟这个人说就可以。申请人无奈第三次讲述了事情的经过，“领导”说这不是治安案件，不接受报警。这实在令申请人震惊，现在是法治社会，难道不是应该依法办案吗？申请人要求不接受报警就必须出具不予受理的相关文书，但“领导”拒绝提供。申请人问依据是什么？“领导”说：“我认为不是就不是，我说不提供就不提供。”申请人当时觉得自身合法权益受到了侵害，陪同申请人一起的爱人遂当场向法律专业人士进行电话咨询，想知道这种不予受理的行为是否合法。结果“领导”要求我们把电话给他们，首先对准我们的手机进行录像并记录对方电话号码，此等简单粗暴的行为有侵犯他人隐私之嫌。在其后的电话沟通中，法律专业人士已多次提醒，根据这个事实和情况，派出所依法必须受理，不受理需要向报案人出具书面材料，但“领导”在电话里依然蛮横拒绝，并说了一系列官僚主义、威胁性语言，比如“你凭啥说必须受理？”“打总台，查这电话是谁！”“你是谁？你是哪个部门的？”其间另外一名民警不知道从哪里窜了出来，拿着摄像头对准我们说“来来来，让大家看看，看大家笑话谁”等类似侮辱性的语言。群众报警还要受到嘲笑？与警务人员沟通，提出自己的意见，就要被查身份信息？这是要准备打击报复吗？还是说派出所有自己的条条框框，有自己的保护伞？群众报案不予受理时，要求出具《不予受理通知书》，凭的当然是国法。但在这里，似乎“领导”“我认为”“我说是就是”才够权威。在一番激烈的电话争执和漫长的沟通后，“领导”终于气呼呼地同意安排人给我们做笔录。后来“领导”迅速消失，另一位窜出来的民警走前也嚣张地说让我们可以记录下他们的警号，并表示他们不怕质询，他们的警号分别是117672和118551。如果他本就可以按程序办案，那为什么之前要互相推诿？如果他现在可以同意做笔录，那之前为什么要不作为？如果他不怕质询、程序合法，那为什么在最终同意我们的诉求前和我们争执良久？在争执之后到正式做笔录之前，我们大概又等待了半个多小时。在这个过程中，申请人听到办公室人员与出警人员交流另一个案子，大概情况是一工地拖车丢失，出警人员说处理完了，但报案人多次打电话质询，问怎么处理的。答曰：“我不知道，刚去一会儿某某（警员）就跟他们（报案人）吵起来了，后来给他说是工地的其他人拿去用了，我们就回来了。”“但人家说是车上着锁被偷走了！”锁着的车被别人拿走使用，我们老百姓认为这就是盗窃，但警务人员为了省事就匆匆敷衍了事。由此可见，珠江路派出所的出警人员，就一贯是以这样的作风对待基层民众的，很少为群众的利益着想。不知道又过了多长时间，另一个警员喊申请人过去做笔录，这是申请人第四次做案情陈述。第四次！这是何等的效率！在笔录结束确认签字前，申请人想让申请人爱人看一下并做补充后再确认，但该警员居然呵斥申请人爱人，让申请人爱人闭嘴，不许申请人爱人做补充，并讽刺地问“你老公是不是成年人？你老公精神正常吗？”虽然报警电话是申请人打的 ，但当时申请人爱人也在场，是当事人之一，并且被损坏的电动车是我们夫妻的共同财产，申请人爱人为什么不能做补充确认？他们就是以这样粗暴蛮横的态度对待人民群众的！在曲折地完成了一系列合法程序后，我们离开珠江路派出所并去修理被损毁的电动车。经修车行检测，电动车是因暴力处置造成电机、控制器、油封损坏，轮胎损，直接经济损失960元，其中更换电机、控制器、油封760元，车胎磨损200元，且前轮有烧灼的痕迹，疑似人为破坏。当晚19点左右，申请人接到珠江路派出所电话，处理结果和派出所“领导”“我认为”“我说”的结果完全一致，给了申请人一个盖有被申请人公章的《不予调查处理告知书》，没有给申请人解释原因，申请人问为什么，答：“你没听明白吗？这就不属于公安机关受理范围！”以之前接警出警的低效率推算，他们怎么可能在仅仅三个小时的时间内就完成了调查取证、制作文件、审核审批等一系列流程，申请人有理由怀疑他们根本没有认真进行取证调查工作。综上所述，申请人认为此次被申请人及下辖的珠江路派出所，在处理案件的过程中存在以下违法行为：本案涉及私人财产被违法损坏，根据《中华人民共和国治安管理处罚法》第四十九条：“盗窃、诈骗、哄抢、抢夺、敲诈勒索或者故意损毁公私财物的，处五日以上十日以下拘留，可以并处五百元以下罚款；情节较重的，处十日以上十五日以下拘留，可以并处一千元以下罚款。”对方在车辆报警器多次长时间报警并锁死的情况下，持续暴力拖拽电动车造成损坏，属于故意损坏他人财物的违法行为。事后态度恶劣，逃避责任，拒绝赔偿，存在行政违法行为。珠江路派出所针对以上事实不予处理，属于行政不作为的违法。依据《中华人民共和国治安管理处罚法》第一百一十六条人民警察办理治安案件，有下列行为之一的，依法给予行政处分：构成犯罪的，依法追究刑事责任：（一）刑讯逼供、体罚、虐待、侮辱他人的；（十一）有徇私舞弊、滥用职权，不依法履行法定职责的其他情形的。在珠江路派出所受案后，一开始拒绝受理和出具文书，并态度嚣张，有使用威胁、嘲讽、侮辱性的语言对待申请人，并有滥用职权调查公民信息、侵犯他人隐私、打击报复的嫌疑。现场处理的警员拖延80分钟左右到现场，敷衍询问事由和当事人意见就随意定性为民事纠纷，无视当事人要求调取监控、保留证据、出具文书等合法诉求。被申请人与此事的肇事方（洛阳市青少年活动中心物业）有业主裙带关系，因此有充分理由认为，被申请人下辖的珠江路派出所，在办理此案过程中的一系列行为属于徇私舞弊、滥用职权，不依法履行法定职责的违法行为。依据《中华人民共和国治安管理处罚法》第七十七条，公安机关对报案、控告、举报或者违反治安管理行为人主动投案，以及其他行政主管部门、司法机关移送的违反治安管理案件，应当及时受理，并进行登记。在此次报案的过程中，珠江路派出所在当事人先后四次拨打110报警电话后，于80分钟后才出警到达现场；在当事人先后多次电话沟通诉求后，才同意到派出所登记报案；在到达派出所后，从一开始拒绝受理和出具文书，到先后四次让当事人陈述案情并勉强记录。这一系列行为，属于违反《中华人民共和国治安管理处罚法》第七十七条。依据《中华人民共和国治安管理处罚法》第七十八条，公安机关受理报案、控告、举报、投案后，认为属于违反治安管理行为的，应当立即进行调查；认为不属于违反治安管理行为的，应当告知报案人、控告人、举报人、投案人，并说明理由。当事人在接到《不予调查告知书》时，并未告知理由。被申请人及下辖的珠江路派出所行为违反《中华人民共和国治安管理处罚法》第七十八条。综上所述，被申请人在受理申请人报警后，拒不履行调查职权，造成申请人合法诉求得不到实现，并变相助长了违法人员嚣张气焰，严重损害申请人的合法权益，因此依据《中华人民共和国行政复议法》第二十三条之规定，特申请行政复议，请依法审查、裁决。</w:t>
      </w:r>
    </w:p>
    <w:p w14:paraId="001F615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2024年3月29日，申请人报警称自己的电动车停放在涧西区青少年活动中心院内，被物业人员损坏，要求公安机关对对方行政处罚并赔偿。经过调查取证，被申请人向申请人口头告知不属于公安机关职责范围，不予调查处理，申请人不服，被申请人依法向申请人书面送达不予调查处理告知书。申请人认为物业人员是属于故意损财行为，要求公安机关对对方进行行政处罚。经过调取监控录像和对青少年活动中心门卫王某进行询问，事发时申请人的电动车停放在青少年活动中心出口附近非停车位上，由于其车辆比较大，院内进出的车流量比较大，该电动车已经影响到院内正常的车辆通行，王某的工作职责之一是管理青少年活动中心车辆进出，其将申请人的电动车移动到不影响车辆通行的位置，属于正常履职，不存在故意损坏财物的行为。申请人称经过长时间的争执后公安机关才给申请人做笔录，根据《公安机关办理行政案件程序规定》第六十一条第（三）项规定，对不属于公安机关职责范围内的事项，在接报案时能够当场判断的，应当立即告知报案人、控告人、举报人、扭送人向其他主管机关报案或者投案，报案人、控告人、举报人、扭送人对口头告知内容有异议或者不能当场判断的，应当书面告知。被申请人在接报案后已经口头告知不属于公安机关职责范围，可以通过诉讼或者其他方式维护自己权益，申请人不服，坚持认为属于公安机关职责范围，被申请人依法书面告知申请人。综上所述，被申请人对申请人朱某作出的不予调查处理决定事实清楚、证据确凿、程序合法、适用依据正确，以上事实有卷宗材料为据。根据《中华人民共和国行政复议法》第二十八条第一项之规定，请求复议机关依法审查，维持被申请人作出的不予调查处理决定。</w:t>
      </w:r>
    </w:p>
    <w:p w14:paraId="7B8C1899">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val="en-US" w:eastAsia="zh-CN" w:bidi="zh-CN"/>
        </w:rPr>
      </w:pPr>
      <w:r>
        <w:rPr>
          <w:rFonts w:hint="eastAsia" w:ascii="Times New Roman" w:hAnsi="Times New Roman" w:eastAsia="黑体" w:cs="Times New Roman"/>
          <w:b w:val="0"/>
          <w:bCs/>
          <w:color w:val="auto"/>
          <w:sz w:val="32"/>
          <w:szCs w:val="32"/>
          <w:highlight w:val="none"/>
          <w:lang w:val="en-US" w:eastAsia="zh-CN" w:bidi="zh-CN"/>
        </w:rPr>
        <w:t>第三人未在法定期限内提交答复意见。</w:t>
      </w:r>
    </w:p>
    <w:p w14:paraId="54B749B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w:t>
      </w:r>
      <w:r>
        <w:rPr>
          <w:rFonts w:hint="eastAsia" w:ascii="Times New Roman" w:hAnsi="Times New Roman" w:eastAsia="仿宋_GB2312" w:cs="Times New Roman"/>
          <w:i w:val="0"/>
          <w:iCs w:val="0"/>
          <w:caps w:val="0"/>
          <w:color w:val="000000"/>
          <w:spacing w:val="0"/>
          <w:sz w:val="32"/>
          <w:szCs w:val="32"/>
          <w:highlight w:val="none"/>
          <w:lang w:val="en-US" w:eastAsia="zh-CN"/>
        </w:rPr>
        <w:t>4</w:t>
      </w:r>
      <w:r>
        <w:rPr>
          <w:rFonts w:hint="default" w:ascii="Times New Roman" w:hAnsi="Times New Roman" w:eastAsia="仿宋_GB2312" w:cs="Times New Roman"/>
          <w:i w:val="0"/>
          <w:iCs w:val="0"/>
          <w:caps w:val="0"/>
          <w:color w:val="000000"/>
          <w:spacing w:val="0"/>
          <w:sz w:val="32"/>
          <w:szCs w:val="32"/>
          <w:highlight w:val="none"/>
          <w:lang w:val="en-US" w:eastAsia="zh-CN"/>
        </w:rPr>
        <w:t>年</w:t>
      </w:r>
      <w:r>
        <w:rPr>
          <w:rFonts w:hint="eastAsia" w:ascii="Times New Roman" w:hAnsi="Times New Roman" w:eastAsia="仿宋_GB2312" w:cs="Times New Roman"/>
          <w:i w:val="0"/>
          <w:iCs w:val="0"/>
          <w:caps w:val="0"/>
          <w:color w:val="000000"/>
          <w:spacing w:val="0"/>
          <w:sz w:val="32"/>
          <w:szCs w:val="32"/>
          <w:highlight w:val="none"/>
          <w:lang w:val="en-US" w:eastAsia="zh-CN"/>
        </w:rPr>
        <w:t>3</w:t>
      </w:r>
      <w:r>
        <w:rPr>
          <w:rFonts w:hint="default" w:ascii="Times New Roman" w:hAnsi="Times New Roman" w:eastAsia="仿宋_GB2312" w:cs="Times New Roman"/>
          <w:i w:val="0"/>
          <w:iCs w:val="0"/>
          <w:caps w:val="0"/>
          <w:color w:val="000000"/>
          <w:spacing w:val="0"/>
          <w:sz w:val="32"/>
          <w:szCs w:val="32"/>
          <w:highlight w:val="none"/>
          <w:lang w:val="en-US" w:eastAsia="zh-CN"/>
        </w:rPr>
        <w:t>月</w:t>
      </w:r>
      <w:r>
        <w:rPr>
          <w:rFonts w:hint="eastAsia" w:ascii="Times New Roman" w:hAnsi="Times New Roman" w:eastAsia="仿宋_GB2312" w:cs="Times New Roman"/>
          <w:i w:val="0"/>
          <w:iCs w:val="0"/>
          <w:caps w:val="0"/>
          <w:color w:val="000000"/>
          <w:spacing w:val="0"/>
          <w:sz w:val="32"/>
          <w:szCs w:val="32"/>
          <w:highlight w:val="none"/>
          <w:lang w:val="en-US" w:eastAsia="zh-CN"/>
        </w:rPr>
        <w:t>29</w:t>
      </w:r>
      <w:r>
        <w:rPr>
          <w:rFonts w:hint="default" w:ascii="Times New Roman" w:hAnsi="Times New Roman" w:eastAsia="仿宋_GB2312" w:cs="Times New Roman"/>
          <w:i w:val="0"/>
          <w:iCs w:val="0"/>
          <w:caps w:val="0"/>
          <w:color w:val="000000"/>
          <w:spacing w:val="0"/>
          <w:sz w:val="32"/>
          <w:szCs w:val="32"/>
          <w:highlight w:val="none"/>
          <w:lang w:val="en-US" w:eastAsia="zh-CN"/>
        </w:rPr>
        <w:t>日</w:t>
      </w:r>
      <w:r>
        <w:rPr>
          <w:rFonts w:hint="eastAsia" w:ascii="Times New Roman" w:hAnsi="Times New Roman" w:eastAsia="仿宋_GB2312" w:cs="Times New Roman"/>
          <w:i w:val="0"/>
          <w:iCs w:val="0"/>
          <w:caps w:val="0"/>
          <w:color w:val="000000"/>
          <w:spacing w:val="0"/>
          <w:sz w:val="32"/>
          <w:szCs w:val="32"/>
          <w:highlight w:val="none"/>
          <w:lang w:val="en-US" w:eastAsia="zh-CN"/>
        </w:rPr>
        <w:t>11</w:t>
      </w:r>
      <w:r>
        <w:rPr>
          <w:rFonts w:hint="default" w:ascii="Times New Roman" w:hAnsi="Times New Roman" w:eastAsia="仿宋_GB2312" w:cs="Times New Roman"/>
          <w:i w:val="0"/>
          <w:iCs w:val="0"/>
          <w:caps w:val="0"/>
          <w:color w:val="000000"/>
          <w:spacing w:val="0"/>
          <w:sz w:val="32"/>
          <w:szCs w:val="32"/>
          <w:highlight w:val="none"/>
          <w:lang w:val="en-US" w:eastAsia="zh-CN"/>
        </w:rPr>
        <w:t>时</w:t>
      </w:r>
      <w:r>
        <w:rPr>
          <w:rFonts w:hint="eastAsia" w:ascii="Times New Roman" w:hAnsi="Times New Roman" w:eastAsia="仿宋_GB2312" w:cs="Times New Roman"/>
          <w:i w:val="0"/>
          <w:iCs w:val="0"/>
          <w:caps w:val="0"/>
          <w:color w:val="000000"/>
          <w:spacing w:val="0"/>
          <w:sz w:val="32"/>
          <w:szCs w:val="32"/>
          <w:highlight w:val="none"/>
          <w:lang w:val="en-US" w:eastAsia="zh-CN"/>
        </w:rPr>
        <w:t>23分，申请人朱某将车辆停放在第三人负责停车管理的青少年活动中心院内非停车位后离开。11时25分至27分，第三人工作人员王某</w:t>
      </w:r>
      <w:r>
        <w:rPr>
          <w:rFonts w:hint="eastAsia" w:ascii="Times New Roman" w:hAnsi="Times New Roman" w:eastAsia="仿宋_GB2312" w:cs="Times New Roman"/>
          <w:color w:val="auto"/>
          <w:sz w:val="32"/>
          <w:szCs w:val="32"/>
          <w:highlight w:val="none"/>
          <w:lang w:val="en-US" w:eastAsia="zh-CN" w:bidi="zh-CN"/>
        </w:rPr>
        <w:t>将申请人朱某的电动车移动到不影响车辆通行的位置。申请人朱某返回后发现车辆损坏无法启动。</w:t>
      </w:r>
    </w:p>
    <w:p w14:paraId="7668751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i w:val="0"/>
          <w:iCs w:val="0"/>
          <w:caps w:val="0"/>
          <w:color w:val="000000"/>
          <w:spacing w:val="0"/>
          <w:sz w:val="32"/>
          <w:szCs w:val="32"/>
          <w:highlight w:val="none"/>
          <w:lang w:val="en-US" w:eastAsia="zh-CN"/>
        </w:rPr>
        <w:t>2024年3月29日</w:t>
      </w:r>
      <w:r>
        <w:rPr>
          <w:rFonts w:hint="eastAsia" w:ascii="Times New Roman" w:hAnsi="Times New Roman" w:eastAsia="仿宋_GB2312" w:cs="Times New Roman"/>
          <w:color w:val="auto"/>
          <w:sz w:val="32"/>
          <w:szCs w:val="32"/>
          <w:highlight w:val="none"/>
          <w:lang w:val="en-US" w:eastAsia="zh-CN" w:bidi="zh-CN"/>
        </w:rPr>
        <w:t>11时58分</w:t>
      </w:r>
      <w:r>
        <w:rPr>
          <w:rFonts w:hint="eastAsia" w:ascii="Times New Roman" w:hAnsi="Times New Roman" w:eastAsia="仿宋_GB2312" w:cs="Times New Roman"/>
          <w:i w:val="0"/>
          <w:iCs w:val="0"/>
          <w:caps w:val="0"/>
          <w:color w:val="000000"/>
          <w:spacing w:val="0"/>
          <w:sz w:val="32"/>
          <w:szCs w:val="32"/>
          <w:highlight w:val="none"/>
          <w:lang w:val="en-US" w:eastAsia="zh-CN"/>
        </w:rPr>
        <w:t>，申请人朱某报警。被申请人</w:t>
      </w:r>
      <w:r>
        <w:rPr>
          <w:rFonts w:hint="eastAsia" w:ascii="Times New Roman" w:hAnsi="Times New Roman" w:eastAsia="仿宋_GB2312" w:cs="Times New Roman"/>
          <w:color w:val="auto"/>
          <w:sz w:val="32"/>
          <w:szCs w:val="32"/>
          <w:highlight w:val="none"/>
          <w:lang w:val="en-US" w:eastAsia="zh-CN" w:bidi="zh-CN"/>
        </w:rPr>
        <w:t>在接报案后口头</w:t>
      </w:r>
      <w:r>
        <w:rPr>
          <w:rFonts w:hint="eastAsia" w:ascii="Times New Roman" w:hAnsi="Times New Roman" w:eastAsia="仿宋_GB2312" w:cs="Times New Roman"/>
          <w:i w:val="0"/>
          <w:iCs w:val="0"/>
          <w:caps w:val="0"/>
          <w:color w:val="000000"/>
          <w:spacing w:val="0"/>
          <w:sz w:val="32"/>
          <w:szCs w:val="32"/>
          <w:highlight w:val="none"/>
          <w:lang w:val="en-US" w:eastAsia="zh-CN"/>
        </w:rPr>
        <w:t>告知申请人朱某该案件不属于公安机关职责范围，申请人朱某</w:t>
      </w:r>
      <w:r>
        <w:rPr>
          <w:rFonts w:hint="eastAsia" w:ascii="Times New Roman" w:hAnsi="Times New Roman" w:eastAsia="仿宋_GB2312" w:cs="Times New Roman"/>
          <w:color w:val="auto"/>
          <w:sz w:val="32"/>
          <w:szCs w:val="32"/>
          <w:highlight w:val="none"/>
          <w:lang w:val="en-US" w:eastAsia="zh-CN" w:bidi="zh-CN"/>
        </w:rPr>
        <w:t>对口头告知内容有异议。</w:t>
      </w:r>
    </w:p>
    <w:p w14:paraId="02AE4F5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被申请人将申请人朱某带至珠江路派出所，申请人朱某提交报案材料，被申请人向申请人朱某出具接报案回执，接报案回执显示申请人报案的案件名称为“2024年3月29日洛阳市涧西区朱某被损坏财物案”。</w:t>
      </w:r>
      <w:r>
        <w:rPr>
          <w:rFonts w:hint="eastAsia" w:ascii="Times New Roman" w:hAnsi="Times New Roman" w:eastAsia="仿宋_GB2312" w:cs="Times New Roman"/>
          <w:i w:val="0"/>
          <w:iCs w:val="0"/>
          <w:caps w:val="0"/>
          <w:color w:val="000000"/>
          <w:spacing w:val="0"/>
          <w:sz w:val="32"/>
          <w:szCs w:val="32"/>
          <w:highlight w:val="none"/>
          <w:lang w:val="en-US" w:eastAsia="zh-CN"/>
        </w:rPr>
        <w:t>案件处理过程中被申请人依法调取了案发现场监控，</w:t>
      </w:r>
      <w:r>
        <w:rPr>
          <w:rFonts w:hint="eastAsia" w:ascii="Times New Roman" w:hAnsi="Times New Roman" w:eastAsia="仿宋_GB2312" w:cs="Times New Roman"/>
          <w:color w:val="auto"/>
          <w:sz w:val="32"/>
          <w:szCs w:val="32"/>
          <w:highlight w:val="none"/>
          <w:lang w:val="en-US" w:eastAsia="zh-CN" w:bidi="zh-CN"/>
        </w:rPr>
        <w:t>并对申请人朱某、第三人员工王某进行询问，</w:t>
      </w:r>
      <w:r>
        <w:rPr>
          <w:rFonts w:hint="eastAsia" w:ascii="Times New Roman" w:hAnsi="Times New Roman" w:eastAsia="仿宋_GB2312" w:cs="Times New Roman"/>
          <w:i w:val="0"/>
          <w:iCs w:val="0"/>
          <w:caps w:val="0"/>
          <w:color w:val="000000"/>
          <w:spacing w:val="0"/>
          <w:sz w:val="32"/>
          <w:szCs w:val="32"/>
          <w:highlight w:val="none"/>
          <w:lang w:val="en-US" w:eastAsia="zh-CN"/>
        </w:rPr>
        <w:t>并分别制作询问笔录。</w:t>
      </w:r>
    </w:p>
    <w:p w14:paraId="4C7C8740">
      <w:pPr>
        <w:pStyle w:val="2"/>
        <w:ind w:left="0" w:leftChars="0" w:firstLine="640" w:firstLineChars="200"/>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i w:val="0"/>
          <w:iCs w:val="0"/>
          <w:caps w:val="0"/>
          <w:color w:val="000000"/>
          <w:spacing w:val="0"/>
          <w:sz w:val="32"/>
          <w:szCs w:val="32"/>
          <w:highlight w:val="none"/>
          <w:lang w:val="en-US" w:eastAsia="zh-CN"/>
        </w:rPr>
        <w:t>2024年3月29日，被申请人</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不予调查处理告知书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，认定申请人朱某报称的“2024年3月29日洛阳市涧西区朱某被损坏财物”一案不属于公安机关管辖范围，公安机关依法不予调查处理。</w:t>
      </w:r>
    </w:p>
    <w:p w14:paraId="43D455E4">
      <w:pPr>
        <w:pStyle w:val="2"/>
        <w:ind w:left="0" w:leftChars="0" w:firstLine="640" w:firstLineChars="200"/>
        <w:rPr>
          <w:rFonts w:hint="default" w:ascii="Times New Roman" w:hAnsi="Times New Roman" w:eastAsia="仿宋_GB2312" w:cs="Times New Roman"/>
          <w:color w:val="auto"/>
          <w:sz w:val="32"/>
          <w:szCs w:val="32"/>
          <w:highlight w:val="lightGray"/>
          <w:lang w:val="en-US" w:eastAsia="zh-CN" w:bidi="zh-CN"/>
        </w:rPr>
      </w:pPr>
      <w:r>
        <w:rPr>
          <w:rFonts w:hint="eastAsia" w:ascii="Times New Roman" w:hAnsi="Times New Roman" w:eastAsia="仿宋_GB2312" w:cs="Times New Roman"/>
          <w:color w:val="auto"/>
          <w:sz w:val="32"/>
          <w:szCs w:val="32"/>
          <w:highlight w:val="none"/>
          <w:lang w:val="en-US" w:eastAsia="zh-CN" w:bidi="zh-CN"/>
        </w:rPr>
        <w:t>2024年3月30日，被申请人向申请人送达</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不予调查处理告知书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36DCAE9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eastAsia" w:ascii="Times New Roman" w:hAnsi="Times New Roman" w:eastAsia="仿宋_GB2312" w:cs="Times New Roman"/>
          <w:b w:val="0"/>
          <w:bCs/>
          <w:color w:val="auto"/>
          <w:sz w:val="32"/>
          <w:szCs w:val="32"/>
          <w:highlight w:val="none"/>
          <w:lang w:val="en-US" w:eastAsia="zh-CN" w:bidi="zh-CN"/>
        </w:rPr>
        <w:t>接处警登记表；2.</w:t>
      </w:r>
      <w:r>
        <w:rPr>
          <w:rFonts w:hint="eastAsia" w:ascii="Times New Roman" w:hAnsi="Times New Roman" w:eastAsia="仿宋_GB2312" w:cs="Times New Roman"/>
          <w:color w:val="auto"/>
          <w:sz w:val="32"/>
          <w:szCs w:val="32"/>
          <w:highlight w:val="none"/>
          <w:lang w:val="en-US" w:eastAsia="zh-CN" w:bidi="zh-CN"/>
        </w:rPr>
        <w:t>接报案</w:t>
      </w:r>
      <w:r>
        <w:rPr>
          <w:rFonts w:hint="default" w:ascii="Times New Roman" w:hAnsi="Times New Roman" w:eastAsia="仿宋_GB2312" w:cs="Times New Roman"/>
          <w:color w:val="auto"/>
          <w:sz w:val="32"/>
          <w:szCs w:val="32"/>
          <w:highlight w:val="none"/>
          <w:lang w:val="en-US" w:eastAsia="zh-CN" w:bidi="zh-CN"/>
        </w:rPr>
        <w:t>登记表；</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接报案</w:t>
      </w:r>
      <w:r>
        <w:rPr>
          <w:rFonts w:hint="default" w:ascii="Times New Roman" w:hAnsi="Times New Roman" w:eastAsia="仿宋_GB2312" w:cs="Times New Roman"/>
          <w:color w:val="auto"/>
          <w:sz w:val="32"/>
          <w:szCs w:val="32"/>
          <w:highlight w:val="none"/>
          <w:lang w:val="en-US" w:eastAsia="zh-CN" w:bidi="zh-CN"/>
        </w:rPr>
        <w:t>回执；4.</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i w:val="0"/>
          <w:iCs w:val="0"/>
          <w:caps w:val="0"/>
          <w:color w:val="000000"/>
          <w:spacing w:val="0"/>
          <w:sz w:val="32"/>
          <w:szCs w:val="32"/>
          <w:highlight w:val="none"/>
          <w:lang w:val="en-US" w:eastAsia="zh-CN"/>
        </w:rPr>
        <w:t>朱某、王某</w:t>
      </w:r>
      <w:r>
        <w:rPr>
          <w:rFonts w:hint="eastAsia" w:ascii="Times New Roman" w:hAnsi="Times New Roman" w:eastAsia="仿宋_GB2312" w:cs="Times New Roman"/>
          <w:color w:val="auto"/>
          <w:sz w:val="32"/>
          <w:szCs w:val="32"/>
          <w:highlight w:val="none"/>
          <w:lang w:val="en-US" w:eastAsia="zh-CN" w:bidi="zh-CN"/>
        </w:rPr>
        <w:t>）；5.案发现场监控；6.购车发票及修车发票；7.工作证明；8.不予调查处理告知书。</w:t>
      </w:r>
    </w:p>
    <w:p w14:paraId="7BD6CE7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案件不予调查处理</w:t>
      </w:r>
      <w:r>
        <w:rPr>
          <w:rFonts w:hint="default" w:ascii="Times New Roman" w:hAnsi="Times New Roman" w:eastAsia="仿宋_GB2312" w:cs="Times New Roman"/>
          <w:color w:val="auto"/>
          <w:sz w:val="32"/>
          <w:szCs w:val="32"/>
          <w:highlight w:val="none"/>
          <w:lang w:val="en-US" w:eastAsia="zh-CN" w:bidi="zh-CN"/>
        </w:rPr>
        <w:t>的法定职权。根据《中华人民共和国治安管理处罚法》第</w:t>
      </w:r>
      <w:r>
        <w:rPr>
          <w:rFonts w:hint="eastAsia" w:ascii="Times New Roman" w:hAnsi="Times New Roman" w:eastAsia="仿宋_GB2312" w:cs="Times New Roman"/>
          <w:color w:val="auto"/>
          <w:sz w:val="32"/>
          <w:szCs w:val="32"/>
          <w:highlight w:val="none"/>
          <w:lang w:val="en-US" w:eastAsia="zh-CN" w:bidi="zh-CN"/>
        </w:rPr>
        <w:t>七</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w:t>
      </w:r>
      <w:r>
        <w:rPr>
          <w:rFonts w:hint="default" w:ascii="Times New Roman" w:hAnsi="Times New Roman" w:eastAsia="仿宋_GB2312" w:cs="Times New Roman"/>
          <w:color w:val="auto"/>
          <w:sz w:val="32"/>
          <w:szCs w:val="32"/>
          <w:highlight w:val="none"/>
          <w:lang w:val="en-US" w:eastAsia="zh-CN" w:bidi="zh-CN"/>
        </w:rPr>
        <w:t>之规定，国务院公安部门负责全国的治安管理工作。县级以上地方各级人民政府公安机关负责本行政区域内的治安管理工作</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《中华人民共和国治安管理处罚法》</w:t>
      </w:r>
      <w:r>
        <w:rPr>
          <w:rFonts w:hint="eastAsia" w:ascii="Times New Roman" w:hAnsi="Times New Roman" w:eastAsia="仿宋_GB2312" w:cs="Times New Roman"/>
          <w:color w:val="auto"/>
          <w:sz w:val="32"/>
          <w:szCs w:val="32"/>
          <w:highlight w:val="none"/>
          <w:lang w:val="en-US" w:eastAsia="zh-CN" w:bidi="zh-CN"/>
        </w:rPr>
        <w:t>第七十八条规定，公安机关受理报案、控告、举报、投诉后，认为属于违反治安管理行为的，应当立即进行调查；认为不属于违反治安管理行为的，应当告知报案人、控告人、举报人、投案人，并说明理由。</w:t>
      </w:r>
      <w:r>
        <w:rPr>
          <w:rFonts w:hint="default" w:ascii="Times New Roman" w:hAnsi="Times New Roman" w:eastAsia="仿宋_GB2312" w:cs="Times New Roman"/>
          <w:color w:val="auto"/>
          <w:sz w:val="32"/>
          <w:szCs w:val="32"/>
          <w:highlight w:val="none"/>
          <w:lang w:val="en-US" w:eastAsia="zh-CN" w:bidi="zh-CN"/>
        </w:rPr>
        <w:t>因此，本案中被申请人具有法定职权。</w:t>
      </w:r>
    </w:p>
    <w:p w14:paraId="6EA8848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作出的案件不予调查处理</w:t>
      </w:r>
      <w:r>
        <w:rPr>
          <w:rFonts w:hint="default" w:ascii="Times New Roman" w:hAnsi="Times New Roman" w:eastAsia="仿宋_GB2312" w:cs="Times New Roman"/>
          <w:color w:val="auto"/>
          <w:sz w:val="32"/>
          <w:szCs w:val="32"/>
          <w:highlight w:val="none"/>
          <w:lang w:val="en-US" w:eastAsia="zh-CN" w:bidi="zh-CN"/>
        </w:rPr>
        <w:t>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朱某、王某</w:t>
      </w:r>
      <w:r>
        <w:rPr>
          <w:rFonts w:hint="default" w:ascii="Times New Roman" w:hAnsi="Times New Roman" w:eastAsia="仿宋_GB2312" w:cs="Times New Roman"/>
          <w:color w:val="auto"/>
          <w:sz w:val="32"/>
          <w:szCs w:val="32"/>
          <w:highlight w:val="none"/>
          <w:lang w:val="en-US" w:eastAsia="zh-CN" w:bidi="zh-CN"/>
        </w:rPr>
        <w:t>进行询问，询问笔录</w:t>
      </w:r>
      <w:r>
        <w:rPr>
          <w:rFonts w:hint="eastAsia" w:ascii="Times New Roman" w:hAnsi="Times New Roman" w:eastAsia="仿宋_GB2312" w:cs="Times New Roman"/>
          <w:color w:val="auto"/>
          <w:sz w:val="32"/>
          <w:szCs w:val="32"/>
          <w:highlight w:val="none"/>
          <w:lang w:val="en-US" w:eastAsia="zh-CN" w:bidi="zh-CN"/>
        </w:rPr>
        <w:t>、案发现场监控</w:t>
      </w:r>
      <w:r>
        <w:rPr>
          <w:rFonts w:hint="default" w:ascii="Times New Roman" w:hAnsi="Times New Roman" w:eastAsia="仿宋_GB2312" w:cs="Times New Roman"/>
          <w:color w:val="auto"/>
          <w:sz w:val="32"/>
          <w:szCs w:val="32"/>
          <w:highlight w:val="none"/>
          <w:lang w:val="en-US" w:eastAsia="zh-CN" w:bidi="zh-CN"/>
        </w:rPr>
        <w:t>等证据一致，</w:t>
      </w:r>
      <w:r>
        <w:rPr>
          <w:rFonts w:hint="eastAsia" w:ascii="Times New Roman" w:hAnsi="Times New Roman" w:eastAsia="仿宋_GB2312" w:cs="Times New Roman"/>
          <w:color w:val="auto"/>
          <w:sz w:val="32"/>
          <w:szCs w:val="32"/>
          <w:highlight w:val="none"/>
          <w:lang w:val="en-US" w:eastAsia="zh-CN" w:bidi="zh-CN"/>
        </w:rPr>
        <w:t>第三人工作人员王某不存在故意损坏财物的行为，不属于违反治安管理的情形。</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对本案案件</w:t>
      </w:r>
      <w:r>
        <w:rPr>
          <w:rFonts w:hint="default" w:ascii="Times New Roman" w:hAnsi="Times New Roman" w:eastAsia="仿宋_GB2312" w:cs="Times New Roman"/>
          <w:sz w:val="32"/>
          <w:szCs w:val="32"/>
          <w:highlight w:val="none"/>
          <w:lang w:val="en-US" w:eastAsia="zh-CN"/>
        </w:rPr>
        <w:t>事实认定清楚</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bidi="zh-CN"/>
        </w:rPr>
        <w:t>处理结果正确</w:t>
      </w:r>
      <w:r>
        <w:rPr>
          <w:rFonts w:hint="default" w:ascii="Times New Roman" w:hAnsi="Times New Roman" w:eastAsia="仿宋_GB2312" w:cs="Times New Roman"/>
          <w:sz w:val="32"/>
          <w:szCs w:val="32"/>
          <w:highlight w:val="none"/>
          <w:lang w:val="en-US" w:eastAsia="zh-CN"/>
        </w:rPr>
        <w:t>。</w:t>
      </w:r>
    </w:p>
    <w:p w14:paraId="6324163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lightGray"/>
        </w:rPr>
      </w:pPr>
      <w:r>
        <w:rPr>
          <w:rFonts w:hint="eastAsia" w:ascii="仿宋_GB2312" w:hAnsi="仿宋_GB2312" w:eastAsia="仿宋_GB2312" w:cs="仿宋_GB2312"/>
          <w:color w:val="auto"/>
          <w:sz w:val="32"/>
          <w:szCs w:val="32"/>
          <w:highlight w:val="none"/>
          <w:lang w:val="en-US" w:eastAsia="zh-CN" w:bidi="zh-CN"/>
        </w:rPr>
        <w:t>被申请人作出</w:t>
      </w:r>
      <w:r>
        <w:rPr>
          <w:rFonts w:hint="eastAsia" w:ascii="Times New Roman" w:hAnsi="Times New Roman" w:eastAsia="仿宋_GB2312" w:cs="Times New Roman"/>
          <w:color w:val="auto"/>
          <w:sz w:val="32"/>
          <w:szCs w:val="32"/>
          <w:highlight w:val="none"/>
          <w:lang w:val="en-US" w:eastAsia="zh-CN" w:bidi="zh-CN"/>
        </w:rPr>
        <w:t>的案件不予调查处理</w:t>
      </w:r>
      <w:r>
        <w:rPr>
          <w:rFonts w:hint="eastAsia" w:ascii="仿宋_GB2312" w:hAnsi="仿宋_GB2312" w:eastAsia="仿宋_GB2312" w:cs="仿宋_GB2312"/>
          <w:color w:val="auto"/>
          <w:sz w:val="32"/>
          <w:szCs w:val="32"/>
          <w:highlight w:val="none"/>
          <w:lang w:val="en-US" w:eastAsia="zh-CN" w:bidi="zh-CN"/>
        </w:rPr>
        <w:t>程序符合法律规定。</w:t>
      </w:r>
      <w:r>
        <w:rPr>
          <w:rFonts w:hint="eastAsia" w:ascii="Times New Roman" w:hAnsi="Times New Roman" w:eastAsia="仿宋_GB2312" w:cs="Times New Roman"/>
          <w:color w:val="auto"/>
          <w:sz w:val="32"/>
          <w:szCs w:val="32"/>
          <w:highlight w:val="none"/>
          <w:lang w:val="en-US" w:eastAsia="zh-CN" w:bidi="zh-CN"/>
        </w:rPr>
        <w:t>《公安机关办理行政案件程序规定》第六十一条第一款第（三）项规定，公安机关应当对报案、控告、举报、群众扭送或者违法嫌疑人投案分别作出下列处理，并将处理情况在接报案登记中注明：（三）对不属于公安机关职责范围的事项，在接报案时能够当场判断的，应当立即口头告知报案人、控告人、举报人、扭送人、投案人向其他主管机关报案或者投案，报案人、控告人、举报人、扭送人、投案人对口头告知内容有异议或者不能当场判断的，应当书面告知，但因没有联系方式、身份不明等客观原因无法书面告知的除外。</w:t>
      </w:r>
      <w:r>
        <w:rPr>
          <w:rFonts w:hint="eastAsia" w:ascii="仿宋_GB2312" w:hAnsi="仿宋_GB2312" w:eastAsia="仿宋_GB2312" w:cs="仿宋_GB2312"/>
          <w:i w:val="0"/>
          <w:iCs w:val="0"/>
          <w:caps w:val="0"/>
          <w:color w:val="000000"/>
          <w:spacing w:val="0"/>
          <w:sz w:val="32"/>
          <w:szCs w:val="32"/>
          <w:highlight w:val="none"/>
        </w:rPr>
        <w:t>本案中，被申请人接报警后，</w:t>
      </w:r>
      <w:r>
        <w:rPr>
          <w:rFonts w:hint="eastAsia" w:ascii="仿宋_GB2312" w:hAnsi="仿宋_GB2312" w:eastAsia="仿宋_GB2312" w:cs="仿宋_GB2312"/>
          <w:i w:val="0"/>
          <w:iCs w:val="0"/>
          <w:caps w:val="0"/>
          <w:color w:val="000000"/>
          <w:spacing w:val="0"/>
          <w:sz w:val="32"/>
          <w:szCs w:val="32"/>
          <w:highlight w:val="none"/>
          <w:lang w:val="en-US" w:eastAsia="zh-CN"/>
        </w:rPr>
        <w:t>口头告知申请人朱某</w:t>
      </w:r>
      <w:r>
        <w:rPr>
          <w:rFonts w:hint="eastAsia" w:ascii="Times New Roman" w:hAnsi="Times New Roman" w:eastAsia="仿宋_GB2312" w:cs="Times New Roman"/>
          <w:i w:val="0"/>
          <w:iCs w:val="0"/>
          <w:caps w:val="0"/>
          <w:color w:val="000000"/>
          <w:spacing w:val="0"/>
          <w:sz w:val="32"/>
          <w:szCs w:val="32"/>
          <w:highlight w:val="none"/>
          <w:lang w:val="en-US" w:eastAsia="zh-CN"/>
        </w:rPr>
        <w:t>该案件不属于公安机关职责范围。在申请人朱某对口头告知内容有异议的情况下，书面告知申请人朱某</w:t>
      </w:r>
      <w:r>
        <w:rPr>
          <w:rFonts w:hint="eastAsia" w:ascii="Times New Roman" w:hAnsi="Times New Roman" w:eastAsia="仿宋_GB2312" w:cs="Times New Roman"/>
          <w:color w:val="auto"/>
          <w:sz w:val="32"/>
          <w:szCs w:val="32"/>
          <w:highlight w:val="none"/>
          <w:lang w:val="en-US" w:eastAsia="zh-CN" w:bidi="zh-CN"/>
        </w:rPr>
        <w:t>案件不予调查处理，本案被申请人作出的案件不予调查处理</w:t>
      </w:r>
      <w:r>
        <w:rPr>
          <w:rFonts w:hint="eastAsia" w:ascii="仿宋_GB2312" w:hAnsi="仿宋_GB2312" w:eastAsia="仿宋_GB2312" w:cs="仿宋_GB2312"/>
          <w:i w:val="0"/>
          <w:iCs w:val="0"/>
          <w:caps w:val="0"/>
          <w:color w:val="000000"/>
          <w:spacing w:val="0"/>
          <w:sz w:val="32"/>
          <w:szCs w:val="32"/>
          <w:highlight w:val="none"/>
        </w:rPr>
        <w:t>程序</w:t>
      </w:r>
      <w:r>
        <w:rPr>
          <w:rFonts w:hint="eastAsia" w:ascii="仿宋_GB2312" w:hAnsi="仿宋_GB2312" w:eastAsia="仿宋_GB2312" w:cs="仿宋_GB2312"/>
          <w:i w:val="0"/>
          <w:iCs w:val="0"/>
          <w:caps w:val="0"/>
          <w:color w:val="000000"/>
          <w:spacing w:val="0"/>
          <w:sz w:val="32"/>
          <w:szCs w:val="32"/>
          <w:highlight w:val="none"/>
          <w:lang w:val="en-US" w:eastAsia="zh-CN"/>
        </w:rPr>
        <w:t>符合法律规定</w:t>
      </w:r>
      <w:r>
        <w:rPr>
          <w:rFonts w:hint="eastAsia" w:ascii="仿宋_GB2312" w:hAnsi="仿宋_GB2312" w:eastAsia="仿宋_GB2312" w:cs="仿宋_GB2312"/>
          <w:i w:val="0"/>
          <w:iCs w:val="0"/>
          <w:caps w:val="0"/>
          <w:color w:val="000000"/>
          <w:spacing w:val="0"/>
          <w:sz w:val="32"/>
          <w:szCs w:val="32"/>
          <w:highlight w:val="none"/>
          <w:lang w:eastAsia="zh-CN"/>
        </w:rPr>
        <w:t>。</w:t>
      </w:r>
    </w:p>
    <w:p w14:paraId="68C87023">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0DFE2DF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维持被申请人</w:t>
      </w:r>
      <w:r>
        <w:rPr>
          <w:rFonts w:hint="default" w:ascii="Times New Roman" w:hAnsi="Times New Roman" w:eastAsia="仿宋_GB2312" w:cs="Times New Roman"/>
          <w:color w:val="auto"/>
          <w:sz w:val="32"/>
          <w:szCs w:val="32"/>
          <w:highlight w:val="none"/>
          <w:lang w:val="en-US" w:eastAsia="zh-CN" w:bidi="zh-CN"/>
        </w:rPr>
        <w:t>洛阳市公安局涧西分局于202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针对申请人朱某报称的“2024年3月29日洛阳市涧西区朱某被损坏财物”一案作出的</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不予调查处理告知书</w:t>
      </w:r>
      <w:r>
        <w:rPr>
          <w:rFonts w:hint="default" w:ascii="Times New Roman" w:hAnsi="Times New Roman" w:eastAsia="仿宋_GB2312" w:cs="Times New Roman"/>
          <w:color w:val="auto"/>
          <w:sz w:val="32"/>
          <w:szCs w:val="32"/>
          <w:highlight w:val="none"/>
          <w:lang w:val="en-US" w:eastAsia="zh-CN" w:bidi="zh-CN"/>
        </w:rPr>
        <w:t>》。</w:t>
      </w:r>
    </w:p>
    <w:p w14:paraId="7F8C44B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74A9085B">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0EF7063">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BA719CC">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A823D2F">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A0E3BB8-DF47-44CA-B724-CDC145D17F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8DFCAB9-FAFA-4EA1-8B3F-DBCB7D59A293}"/>
  </w:font>
  <w:font w:name="仿宋_GB2312">
    <w:panose1 w:val="02010609030101010101"/>
    <w:charset w:val="86"/>
    <w:family w:val="auto"/>
    <w:pitch w:val="default"/>
    <w:sig w:usb0="00000001" w:usb1="080E0000" w:usb2="00000000" w:usb3="00000000" w:csb0="00040000" w:csb1="00000000"/>
    <w:embedRegular r:id="rId3" w:fontKey="{893B6790-A514-4B03-8776-3A358E2FA66C}"/>
  </w:font>
  <w:font w:name="仿宋">
    <w:panose1 w:val="02010609060101010101"/>
    <w:charset w:val="86"/>
    <w:family w:val="auto"/>
    <w:pitch w:val="default"/>
    <w:sig w:usb0="800002BF" w:usb1="38CF7CFA" w:usb2="00000016" w:usb3="00000000" w:csb0="00040001" w:csb1="00000000"/>
    <w:embedRegular r:id="rId4" w:fontKey="{8331CF8E-DB4C-46B4-BFAB-BEBA2909D1F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2F32C">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53D91D4">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F3DDB"/>
    <w:rsid w:val="06E057BB"/>
    <w:rsid w:val="071262F6"/>
    <w:rsid w:val="09046318"/>
    <w:rsid w:val="094865B2"/>
    <w:rsid w:val="09CD226A"/>
    <w:rsid w:val="09D36778"/>
    <w:rsid w:val="09DB07FD"/>
    <w:rsid w:val="0A3D5E32"/>
    <w:rsid w:val="0A9C35E3"/>
    <w:rsid w:val="0C50209C"/>
    <w:rsid w:val="0C70106C"/>
    <w:rsid w:val="0C7017CB"/>
    <w:rsid w:val="0C8F1240"/>
    <w:rsid w:val="0D2E6635"/>
    <w:rsid w:val="0D9F7891"/>
    <w:rsid w:val="0E6E3471"/>
    <w:rsid w:val="0F203A3E"/>
    <w:rsid w:val="0F292ED3"/>
    <w:rsid w:val="0FBF372E"/>
    <w:rsid w:val="0FC712FE"/>
    <w:rsid w:val="107374DA"/>
    <w:rsid w:val="10F81858"/>
    <w:rsid w:val="118C7930"/>
    <w:rsid w:val="11974A4E"/>
    <w:rsid w:val="11AB53A0"/>
    <w:rsid w:val="120B3D4E"/>
    <w:rsid w:val="12936141"/>
    <w:rsid w:val="13726E72"/>
    <w:rsid w:val="139B20B6"/>
    <w:rsid w:val="14163CCF"/>
    <w:rsid w:val="14F32412"/>
    <w:rsid w:val="152116FE"/>
    <w:rsid w:val="16417787"/>
    <w:rsid w:val="16473BC8"/>
    <w:rsid w:val="171E20DF"/>
    <w:rsid w:val="17200870"/>
    <w:rsid w:val="17514FCE"/>
    <w:rsid w:val="17536547"/>
    <w:rsid w:val="17A10BB7"/>
    <w:rsid w:val="17F119BD"/>
    <w:rsid w:val="181429D2"/>
    <w:rsid w:val="1852245C"/>
    <w:rsid w:val="18C96C96"/>
    <w:rsid w:val="19540489"/>
    <w:rsid w:val="197724DC"/>
    <w:rsid w:val="19ED7FE6"/>
    <w:rsid w:val="1AD07837"/>
    <w:rsid w:val="1C1F660B"/>
    <w:rsid w:val="1CC141D4"/>
    <w:rsid w:val="1CD5426B"/>
    <w:rsid w:val="1CE44280"/>
    <w:rsid w:val="1DC01001"/>
    <w:rsid w:val="1DCE373B"/>
    <w:rsid w:val="1DD40180"/>
    <w:rsid w:val="1E127071"/>
    <w:rsid w:val="1E291CFE"/>
    <w:rsid w:val="1EB074FF"/>
    <w:rsid w:val="1EC8408C"/>
    <w:rsid w:val="1F3F2EA1"/>
    <w:rsid w:val="1F5A6FB2"/>
    <w:rsid w:val="1F7A3C01"/>
    <w:rsid w:val="1F8F5C67"/>
    <w:rsid w:val="1FC31AF2"/>
    <w:rsid w:val="20051DB1"/>
    <w:rsid w:val="20243BCC"/>
    <w:rsid w:val="2144494B"/>
    <w:rsid w:val="21493214"/>
    <w:rsid w:val="21D666E8"/>
    <w:rsid w:val="21E73C49"/>
    <w:rsid w:val="221B3DF6"/>
    <w:rsid w:val="242239CD"/>
    <w:rsid w:val="242C6F84"/>
    <w:rsid w:val="244B5416"/>
    <w:rsid w:val="255B2DC0"/>
    <w:rsid w:val="25B04B74"/>
    <w:rsid w:val="25F74973"/>
    <w:rsid w:val="26056D25"/>
    <w:rsid w:val="260730A0"/>
    <w:rsid w:val="26485FEE"/>
    <w:rsid w:val="26F366D6"/>
    <w:rsid w:val="270003EB"/>
    <w:rsid w:val="27513007"/>
    <w:rsid w:val="276F1A45"/>
    <w:rsid w:val="27C36AF2"/>
    <w:rsid w:val="28360A77"/>
    <w:rsid w:val="28AA7CC5"/>
    <w:rsid w:val="29074429"/>
    <w:rsid w:val="297053DE"/>
    <w:rsid w:val="29830BB3"/>
    <w:rsid w:val="2A1B14D6"/>
    <w:rsid w:val="2A356197"/>
    <w:rsid w:val="2A3971ED"/>
    <w:rsid w:val="2ADE02F6"/>
    <w:rsid w:val="2B827FD3"/>
    <w:rsid w:val="2C3A15DC"/>
    <w:rsid w:val="2CBE5D2D"/>
    <w:rsid w:val="2D740183"/>
    <w:rsid w:val="2E375631"/>
    <w:rsid w:val="2F7B0454"/>
    <w:rsid w:val="2FA34C0F"/>
    <w:rsid w:val="2FD361A8"/>
    <w:rsid w:val="30374CD4"/>
    <w:rsid w:val="30C400C9"/>
    <w:rsid w:val="30CD5E8E"/>
    <w:rsid w:val="30CE4099"/>
    <w:rsid w:val="30DB181E"/>
    <w:rsid w:val="31AE3364"/>
    <w:rsid w:val="32182ABD"/>
    <w:rsid w:val="32B06D03"/>
    <w:rsid w:val="32CA473F"/>
    <w:rsid w:val="32FA40BE"/>
    <w:rsid w:val="32FF7833"/>
    <w:rsid w:val="34367E3A"/>
    <w:rsid w:val="343B1B48"/>
    <w:rsid w:val="34B252DF"/>
    <w:rsid w:val="34F94E29"/>
    <w:rsid w:val="351A7D6D"/>
    <w:rsid w:val="3528713E"/>
    <w:rsid w:val="353A73E0"/>
    <w:rsid w:val="354603DD"/>
    <w:rsid w:val="356A32F7"/>
    <w:rsid w:val="35FB603C"/>
    <w:rsid w:val="36336BA7"/>
    <w:rsid w:val="372B233F"/>
    <w:rsid w:val="373066FF"/>
    <w:rsid w:val="37580C1E"/>
    <w:rsid w:val="38137C9C"/>
    <w:rsid w:val="38822138"/>
    <w:rsid w:val="38854651"/>
    <w:rsid w:val="38B557C0"/>
    <w:rsid w:val="38B6656B"/>
    <w:rsid w:val="38DF05D9"/>
    <w:rsid w:val="394E7CFE"/>
    <w:rsid w:val="39AE356B"/>
    <w:rsid w:val="3A3E649C"/>
    <w:rsid w:val="3A4E41E0"/>
    <w:rsid w:val="3AAF2A68"/>
    <w:rsid w:val="3ABE2DBF"/>
    <w:rsid w:val="3BBBC973"/>
    <w:rsid w:val="3C780AE5"/>
    <w:rsid w:val="3D020EEF"/>
    <w:rsid w:val="3D987AD7"/>
    <w:rsid w:val="3D9E3A7A"/>
    <w:rsid w:val="3DDE38B5"/>
    <w:rsid w:val="3DFD1951"/>
    <w:rsid w:val="3E174EC3"/>
    <w:rsid w:val="3E76393B"/>
    <w:rsid w:val="3EBB2FCC"/>
    <w:rsid w:val="3F087868"/>
    <w:rsid w:val="3F7D7772"/>
    <w:rsid w:val="408D26B3"/>
    <w:rsid w:val="40916E76"/>
    <w:rsid w:val="40A74D5D"/>
    <w:rsid w:val="41507DDC"/>
    <w:rsid w:val="41BA33F8"/>
    <w:rsid w:val="41FA176A"/>
    <w:rsid w:val="42311014"/>
    <w:rsid w:val="42A81C22"/>
    <w:rsid w:val="42CB65B7"/>
    <w:rsid w:val="446C09BA"/>
    <w:rsid w:val="44EA1CA9"/>
    <w:rsid w:val="45683BB5"/>
    <w:rsid w:val="458B6BE1"/>
    <w:rsid w:val="45BE79B4"/>
    <w:rsid w:val="46464E06"/>
    <w:rsid w:val="46A342F8"/>
    <w:rsid w:val="473558D0"/>
    <w:rsid w:val="475E04B0"/>
    <w:rsid w:val="47CB141F"/>
    <w:rsid w:val="48176608"/>
    <w:rsid w:val="481D086C"/>
    <w:rsid w:val="484C59B4"/>
    <w:rsid w:val="485416D6"/>
    <w:rsid w:val="49394D46"/>
    <w:rsid w:val="4A5D66FE"/>
    <w:rsid w:val="4A617FE4"/>
    <w:rsid w:val="4B5830D2"/>
    <w:rsid w:val="4B906C3C"/>
    <w:rsid w:val="4BAD6A77"/>
    <w:rsid w:val="4C3F4705"/>
    <w:rsid w:val="4D2224B2"/>
    <w:rsid w:val="4DAC25D4"/>
    <w:rsid w:val="4E2A67E0"/>
    <w:rsid w:val="4E7F20A8"/>
    <w:rsid w:val="4EC5069E"/>
    <w:rsid w:val="4EFF40E1"/>
    <w:rsid w:val="50897E78"/>
    <w:rsid w:val="5172372D"/>
    <w:rsid w:val="5196613F"/>
    <w:rsid w:val="51A216FE"/>
    <w:rsid w:val="51AC5FFA"/>
    <w:rsid w:val="51B34E7A"/>
    <w:rsid w:val="51B71F8C"/>
    <w:rsid w:val="51C504A8"/>
    <w:rsid w:val="51CF4D95"/>
    <w:rsid w:val="52595776"/>
    <w:rsid w:val="526933B0"/>
    <w:rsid w:val="52CF1440"/>
    <w:rsid w:val="533816D3"/>
    <w:rsid w:val="534A2D0D"/>
    <w:rsid w:val="53A61752"/>
    <w:rsid w:val="53F35A51"/>
    <w:rsid w:val="5413297B"/>
    <w:rsid w:val="546F04EF"/>
    <w:rsid w:val="54EF45FD"/>
    <w:rsid w:val="55F90687"/>
    <w:rsid w:val="56177C28"/>
    <w:rsid w:val="56403495"/>
    <w:rsid w:val="56923F20"/>
    <w:rsid w:val="57B63C8A"/>
    <w:rsid w:val="584A7729"/>
    <w:rsid w:val="5862602D"/>
    <w:rsid w:val="58A9794E"/>
    <w:rsid w:val="58D41C07"/>
    <w:rsid w:val="58D44810"/>
    <w:rsid w:val="59212B72"/>
    <w:rsid w:val="59BC320F"/>
    <w:rsid w:val="59C81391"/>
    <w:rsid w:val="59D67A6F"/>
    <w:rsid w:val="5A323864"/>
    <w:rsid w:val="5B032BD8"/>
    <w:rsid w:val="5B104ECD"/>
    <w:rsid w:val="5B122FBA"/>
    <w:rsid w:val="5B473C18"/>
    <w:rsid w:val="5B724DC1"/>
    <w:rsid w:val="5B876AF2"/>
    <w:rsid w:val="5BD53796"/>
    <w:rsid w:val="5BD668B8"/>
    <w:rsid w:val="5C265DD8"/>
    <w:rsid w:val="5C8A773E"/>
    <w:rsid w:val="5C9C2179"/>
    <w:rsid w:val="5D3B4C80"/>
    <w:rsid w:val="5D8F68FE"/>
    <w:rsid w:val="5DCF6FD6"/>
    <w:rsid w:val="5E4F45FE"/>
    <w:rsid w:val="5E796E4B"/>
    <w:rsid w:val="5E8A1A2D"/>
    <w:rsid w:val="5F187301"/>
    <w:rsid w:val="5F2CAEFE"/>
    <w:rsid w:val="5F3B7874"/>
    <w:rsid w:val="5F4F1572"/>
    <w:rsid w:val="5F73062B"/>
    <w:rsid w:val="5FFE6B64"/>
    <w:rsid w:val="602D7FBA"/>
    <w:rsid w:val="603D40F0"/>
    <w:rsid w:val="60971A96"/>
    <w:rsid w:val="61106810"/>
    <w:rsid w:val="61131548"/>
    <w:rsid w:val="61F5069E"/>
    <w:rsid w:val="62246CD2"/>
    <w:rsid w:val="624262AC"/>
    <w:rsid w:val="627A192C"/>
    <w:rsid w:val="627D474B"/>
    <w:rsid w:val="628263D9"/>
    <w:rsid w:val="62AB0378"/>
    <w:rsid w:val="635A4280"/>
    <w:rsid w:val="63655610"/>
    <w:rsid w:val="63682FEE"/>
    <w:rsid w:val="63847AD9"/>
    <w:rsid w:val="638C22A1"/>
    <w:rsid w:val="64395110"/>
    <w:rsid w:val="64537D84"/>
    <w:rsid w:val="646402CB"/>
    <w:rsid w:val="6502023B"/>
    <w:rsid w:val="6535207F"/>
    <w:rsid w:val="656411D5"/>
    <w:rsid w:val="657A3716"/>
    <w:rsid w:val="65891D62"/>
    <w:rsid w:val="65B67B6D"/>
    <w:rsid w:val="65C60DEB"/>
    <w:rsid w:val="65EA4FF6"/>
    <w:rsid w:val="66487460"/>
    <w:rsid w:val="665C2F25"/>
    <w:rsid w:val="67640A8F"/>
    <w:rsid w:val="68014955"/>
    <w:rsid w:val="683D46F4"/>
    <w:rsid w:val="68697C5F"/>
    <w:rsid w:val="691F65C2"/>
    <w:rsid w:val="694722DB"/>
    <w:rsid w:val="695B4F27"/>
    <w:rsid w:val="6A036897"/>
    <w:rsid w:val="6A3E279B"/>
    <w:rsid w:val="6A740502"/>
    <w:rsid w:val="6A9F481C"/>
    <w:rsid w:val="6B140CE2"/>
    <w:rsid w:val="6BCD0DF4"/>
    <w:rsid w:val="6BD77BAE"/>
    <w:rsid w:val="6C2F0215"/>
    <w:rsid w:val="6CE452D6"/>
    <w:rsid w:val="6D422DE4"/>
    <w:rsid w:val="6D6B7B64"/>
    <w:rsid w:val="6D9508F7"/>
    <w:rsid w:val="6DA26C2E"/>
    <w:rsid w:val="6DBA2EED"/>
    <w:rsid w:val="6DCC7F54"/>
    <w:rsid w:val="6DE54241"/>
    <w:rsid w:val="6E385814"/>
    <w:rsid w:val="6EBC0F1A"/>
    <w:rsid w:val="6EC613C4"/>
    <w:rsid w:val="6EE352C5"/>
    <w:rsid w:val="6F6E4088"/>
    <w:rsid w:val="6F915542"/>
    <w:rsid w:val="6F9400A3"/>
    <w:rsid w:val="6FEF7B11"/>
    <w:rsid w:val="706C7836"/>
    <w:rsid w:val="708918FF"/>
    <w:rsid w:val="70915C52"/>
    <w:rsid w:val="70AD7294"/>
    <w:rsid w:val="70F62FD7"/>
    <w:rsid w:val="711E0050"/>
    <w:rsid w:val="716430B3"/>
    <w:rsid w:val="727B0305"/>
    <w:rsid w:val="72D63F05"/>
    <w:rsid w:val="73C23C4F"/>
    <w:rsid w:val="73CB1AEB"/>
    <w:rsid w:val="7414094F"/>
    <w:rsid w:val="742D577E"/>
    <w:rsid w:val="743E609F"/>
    <w:rsid w:val="74537454"/>
    <w:rsid w:val="74B5584D"/>
    <w:rsid w:val="74F5054B"/>
    <w:rsid w:val="752323AC"/>
    <w:rsid w:val="75DD1638"/>
    <w:rsid w:val="77195E9E"/>
    <w:rsid w:val="7725536A"/>
    <w:rsid w:val="776554EB"/>
    <w:rsid w:val="776D2139"/>
    <w:rsid w:val="778B4A79"/>
    <w:rsid w:val="781D7CD6"/>
    <w:rsid w:val="781E079A"/>
    <w:rsid w:val="78CD3839"/>
    <w:rsid w:val="790128DD"/>
    <w:rsid w:val="79274F0F"/>
    <w:rsid w:val="799B36E1"/>
    <w:rsid w:val="79B21659"/>
    <w:rsid w:val="79E941A2"/>
    <w:rsid w:val="7A0C7455"/>
    <w:rsid w:val="7A4850B6"/>
    <w:rsid w:val="7A526DB4"/>
    <w:rsid w:val="7B0A5AD7"/>
    <w:rsid w:val="7B0D200C"/>
    <w:rsid w:val="7C2E7CD6"/>
    <w:rsid w:val="7C3930F7"/>
    <w:rsid w:val="7D663A0C"/>
    <w:rsid w:val="7D8E3224"/>
    <w:rsid w:val="7D8F113F"/>
    <w:rsid w:val="7DBEC43C"/>
    <w:rsid w:val="7DC22F82"/>
    <w:rsid w:val="7E6341B5"/>
    <w:rsid w:val="7F1545FB"/>
    <w:rsid w:val="7F5A4613"/>
    <w:rsid w:val="7FA171CD"/>
    <w:rsid w:val="7FCA6AE1"/>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6157</Words>
  <Characters>6327</Characters>
  <Lines>0</Lines>
  <Paragraphs>0</Paragraphs>
  <TotalTime>8</TotalTime>
  <ScaleCrop>false</ScaleCrop>
  <LinksUpToDate>false</LinksUpToDate>
  <CharactersWithSpaces>6334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2024-06-11T03:06:00Z</cp:lastPrinted>
  <dcterms:modified xsi:type="dcterms:W3CDTF">2024-11-07T04:21:07Z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