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77F62B">
      <w:pPr>
        <w:pStyle w:val="12"/>
        <w:spacing w:after="0" w:line="720" w:lineRule="exact"/>
        <w:rPr>
          <w:rFonts w:ascii="方正小标宋简体" w:hAnsi="方正小标宋简体" w:eastAsia="方正小标宋简体" w:cs="方正小标宋简体"/>
          <w:color w:val="000000"/>
          <w:w w:val="50"/>
          <w:sz w:val="32"/>
          <w:szCs w:val="32"/>
          <w:u w:val="none"/>
          <w:lang w:val="en-US" w:eastAsia="zh-CN"/>
        </w:rPr>
      </w:pPr>
      <w:bookmarkStart w:id="0" w:name="_GoBack"/>
      <w:bookmarkEnd w:id="0"/>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3C7BD4B3">
      <w:pPr>
        <w:widowControl/>
        <w:spacing w:after="120" w:afterLines="50" w:line="560" w:lineRule="exact"/>
        <w:jc w:val="center"/>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78671F01">
      <w:pPr>
        <w:spacing w:after="120" w:afterLines="50" w:line="560" w:lineRule="exact"/>
        <w:jc w:val="right"/>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w:t>
      </w:r>
      <w:r>
        <w:rPr>
          <w:rFonts w:hint="eastAsia" w:eastAsia="仿宋_GB2312"/>
          <w:sz w:val="32"/>
          <w:szCs w:val="32"/>
          <w:lang w:eastAsia="zh-CN"/>
        </w:rPr>
        <w:t xml:space="preserve">号  </w:t>
      </w:r>
      <w:r>
        <w:rPr>
          <w:rFonts w:eastAsia="仿宋"/>
          <w:sz w:val="32"/>
          <w:szCs w:val="32"/>
          <w:lang w:eastAsia="zh-CN"/>
        </w:rPr>
        <w:t xml:space="preserve">    </w:t>
      </w:r>
    </w:p>
    <w:p w14:paraId="7D73384C">
      <w:pPr>
        <w:spacing w:line="600" w:lineRule="exact"/>
        <w:ind w:firstLine="640" w:firstLineChars="200"/>
        <w:jc w:val="both"/>
        <w:rPr>
          <w:rFonts w:eastAsia="仿宋_GB2312"/>
          <w:sz w:val="32"/>
          <w:szCs w:val="32"/>
          <w:lang w:eastAsia="zh-CN" w:bidi="zh-CN"/>
        </w:rPr>
      </w:pPr>
      <w:r>
        <w:rPr>
          <w:rFonts w:hint="eastAsia" w:eastAsia="仿宋_GB2312"/>
          <w:sz w:val="32"/>
          <w:szCs w:val="32"/>
          <w:lang w:eastAsia="zh-CN" w:bidi="zh-CN"/>
        </w:rPr>
        <w:t>申请人：胡巧亚，女，汉族，1990年4月3日出生，公民身份号码：411322199004032441，住河南省方城县赵河镇河岗村小河岗4号。</w:t>
      </w:r>
    </w:p>
    <w:p w14:paraId="1378BF4B">
      <w:pPr>
        <w:spacing w:line="600" w:lineRule="exact"/>
        <w:ind w:firstLine="640" w:firstLineChars="200"/>
        <w:rPr>
          <w:rFonts w:eastAsia="仿宋_GB2312"/>
          <w:sz w:val="32"/>
          <w:szCs w:val="32"/>
          <w:lang w:eastAsia="zh-CN" w:bidi="zh-CN"/>
        </w:rPr>
      </w:pPr>
      <w:r>
        <w:rPr>
          <w:rFonts w:hint="eastAsia" w:eastAsia="仿宋_GB2312"/>
          <w:sz w:val="32"/>
          <w:szCs w:val="32"/>
          <w:lang w:eastAsia="zh-CN" w:bidi="zh-CN"/>
        </w:rPr>
        <w:t>被申请人：洛阳市涧西区市场监督管理局，住所地：洛阳市涧西区创业路5号。</w:t>
      </w:r>
    </w:p>
    <w:p w14:paraId="07ECC153">
      <w:pPr>
        <w:spacing w:line="600" w:lineRule="exact"/>
        <w:ind w:firstLine="640" w:firstLineChars="200"/>
        <w:rPr>
          <w:rFonts w:eastAsia="仿宋_GB2312"/>
          <w:sz w:val="32"/>
          <w:szCs w:val="32"/>
          <w:lang w:eastAsia="zh-CN" w:bidi="zh-CN"/>
        </w:rPr>
      </w:pPr>
      <w:r>
        <w:rPr>
          <w:rFonts w:hint="eastAsia" w:eastAsia="仿宋_GB2312"/>
          <w:sz w:val="32"/>
          <w:szCs w:val="32"/>
          <w:lang w:eastAsia="zh-CN" w:bidi="zh-CN"/>
        </w:rPr>
        <w:t>法定代表人：徐娟，局长。</w:t>
      </w:r>
    </w:p>
    <w:p w14:paraId="7BE58BAC">
      <w:pPr>
        <w:spacing w:line="600" w:lineRule="exact"/>
        <w:ind w:firstLine="640" w:firstLineChars="200"/>
        <w:jc w:val="both"/>
        <w:rPr>
          <w:rFonts w:eastAsia="仿宋_GB2312"/>
          <w:sz w:val="32"/>
          <w:szCs w:val="32"/>
          <w:lang w:eastAsia="zh-CN" w:bidi="zh-CN"/>
        </w:rPr>
      </w:pPr>
      <w:r>
        <w:rPr>
          <w:rFonts w:hint="eastAsia" w:eastAsia="仿宋_GB2312"/>
          <w:sz w:val="32"/>
          <w:szCs w:val="32"/>
          <w:lang w:eastAsia="zh-CN" w:bidi="zh-CN"/>
        </w:rPr>
        <w:t>申请人不服被申请人于2023年2月20日在全国12315平台对编</w:t>
      </w:r>
      <w:r>
        <w:rPr>
          <w:rFonts w:hint="eastAsia" w:eastAsia="仿宋_GB2312"/>
          <w:sz w:val="32"/>
          <w:szCs w:val="32"/>
          <w:lang w:val="en-US" w:eastAsia="zh-CN" w:bidi="zh-CN"/>
        </w:rPr>
        <w:t>号为</w:t>
      </w:r>
      <w:r>
        <w:rPr>
          <w:rFonts w:hint="eastAsia" w:eastAsia="仿宋_GB2312"/>
          <w:sz w:val="32"/>
          <w:szCs w:val="32"/>
          <w:lang w:eastAsia="zh-CN" w:bidi="zh-CN"/>
        </w:rPr>
        <w:t>1410305002023021573438897</w:t>
      </w:r>
      <w:r>
        <w:rPr>
          <w:rFonts w:hint="eastAsia" w:eastAsia="仿宋_GB2312"/>
          <w:sz w:val="32"/>
          <w:szCs w:val="32"/>
          <w:lang w:val="en-US" w:eastAsia="zh-CN" w:bidi="zh-CN"/>
        </w:rPr>
        <w:t>的</w:t>
      </w:r>
      <w:r>
        <w:rPr>
          <w:rFonts w:hint="eastAsia" w:eastAsia="仿宋_GB2312"/>
          <w:sz w:val="32"/>
          <w:szCs w:val="32"/>
          <w:lang w:eastAsia="zh-CN" w:bidi="zh-CN"/>
        </w:rPr>
        <w:t>举报案件作出不立案的</w:t>
      </w:r>
      <w:r>
        <w:rPr>
          <w:rFonts w:hint="eastAsia" w:eastAsia="仿宋_GB2312"/>
          <w:sz w:val="32"/>
          <w:szCs w:val="32"/>
          <w:lang w:val="en-US" w:eastAsia="zh-CN" w:bidi="zh-CN"/>
        </w:rPr>
        <w:t>告知</w:t>
      </w:r>
      <w:r>
        <w:rPr>
          <w:rFonts w:hint="eastAsia" w:eastAsia="仿宋_GB2312"/>
          <w:sz w:val="32"/>
          <w:szCs w:val="32"/>
          <w:lang w:eastAsia="zh-CN" w:bidi="zh-CN"/>
        </w:rPr>
        <w:t>，向本机关提出行政复议申请，</w:t>
      </w:r>
      <w:r>
        <w:rPr>
          <w:rFonts w:eastAsia="仿宋_GB2312"/>
          <w:color w:val="auto"/>
          <w:sz w:val="32"/>
          <w:szCs w:val="32"/>
          <w:lang w:eastAsia="zh-CN" w:bidi="zh-CN"/>
        </w:rPr>
        <w:t>现已审理终结</w:t>
      </w:r>
      <w:r>
        <w:rPr>
          <w:rFonts w:hint="eastAsia" w:eastAsia="仿宋_GB2312"/>
          <w:sz w:val="32"/>
          <w:szCs w:val="32"/>
          <w:lang w:eastAsia="zh-CN" w:bidi="zh-CN"/>
        </w:rPr>
        <w:t>。</w:t>
      </w:r>
    </w:p>
    <w:p w14:paraId="0E77A146">
      <w:pPr>
        <w:spacing w:line="600" w:lineRule="exact"/>
        <w:ind w:firstLine="640" w:firstLineChars="200"/>
        <w:jc w:val="both"/>
        <w:rPr>
          <w:rFonts w:eastAsia="仿宋_GB2312"/>
          <w:sz w:val="32"/>
          <w:szCs w:val="32"/>
          <w:lang w:eastAsia="zh-CN" w:bidi="zh-CN"/>
        </w:rPr>
      </w:pPr>
      <w:r>
        <w:rPr>
          <w:rFonts w:hint="eastAsia" w:ascii="黑体" w:hAnsi="黑体" w:eastAsia="黑体" w:cs="黑体"/>
          <w:bCs/>
          <w:sz w:val="32"/>
          <w:szCs w:val="32"/>
          <w:lang w:eastAsia="zh-CN" w:bidi="zh-CN"/>
        </w:rPr>
        <w:t>申请人请求：</w:t>
      </w:r>
      <w:r>
        <w:rPr>
          <w:rFonts w:hint="eastAsia" w:eastAsia="仿宋_GB2312"/>
          <w:sz w:val="32"/>
          <w:szCs w:val="32"/>
          <w:lang w:eastAsia="zh-CN" w:bidi="zh-CN"/>
        </w:rPr>
        <w:t>依法撤销被申请人于2023年2月20日在全国12315平台对举报案件（编号：1410305002023021573438897）的回复决定。</w:t>
      </w:r>
    </w:p>
    <w:p w14:paraId="3EEC80AB">
      <w:pPr>
        <w:spacing w:line="600" w:lineRule="exact"/>
        <w:ind w:firstLine="640" w:firstLineChars="200"/>
        <w:jc w:val="both"/>
        <w:rPr>
          <w:rFonts w:eastAsia="仿宋_GB2312"/>
          <w:sz w:val="32"/>
          <w:szCs w:val="32"/>
          <w:lang w:eastAsia="zh-CN" w:bidi="zh-CN"/>
        </w:rPr>
      </w:pPr>
      <w:r>
        <w:rPr>
          <w:rFonts w:hint="eastAsia" w:ascii="黑体" w:hAnsi="黑体" w:eastAsia="黑体" w:cs="黑体"/>
          <w:bCs/>
          <w:sz w:val="32"/>
          <w:szCs w:val="32"/>
          <w:lang w:eastAsia="zh-CN" w:bidi="zh-CN"/>
        </w:rPr>
        <w:t>申请人称：</w:t>
      </w:r>
      <w:r>
        <w:rPr>
          <w:rFonts w:hint="eastAsia" w:eastAsia="仿宋_GB2312"/>
          <w:sz w:val="32"/>
          <w:szCs w:val="32"/>
          <w:lang w:eastAsia="zh-CN" w:bidi="zh-CN"/>
        </w:rPr>
        <w:t>申请人于202</w:t>
      </w:r>
      <w:r>
        <w:rPr>
          <w:rFonts w:hint="eastAsia" w:eastAsia="仿宋_GB2312"/>
          <w:sz w:val="32"/>
          <w:szCs w:val="32"/>
          <w:lang w:val="en-US" w:eastAsia="zh-CN" w:bidi="zh-CN"/>
        </w:rPr>
        <w:t>3</w:t>
      </w:r>
      <w:r>
        <w:rPr>
          <w:rFonts w:hint="eastAsia" w:eastAsia="仿宋_GB2312"/>
          <w:sz w:val="32"/>
          <w:szCs w:val="32"/>
          <w:lang w:eastAsia="zh-CN" w:bidi="zh-CN"/>
        </w:rPr>
        <w:t>年2月14日在被申请人辖区万隆超市购买</w:t>
      </w:r>
      <w:r>
        <w:rPr>
          <w:rFonts w:hint="eastAsia" w:eastAsia="仿宋_GB2312"/>
          <w:sz w:val="32"/>
          <w:szCs w:val="32"/>
          <w:lang w:val="en-US" w:eastAsia="zh-CN" w:bidi="zh-CN"/>
        </w:rPr>
        <w:t>的</w:t>
      </w:r>
      <w:r>
        <w:rPr>
          <w:rFonts w:hint="eastAsia" w:eastAsia="仿宋_GB2312"/>
          <w:sz w:val="32"/>
          <w:szCs w:val="32"/>
          <w:lang w:eastAsia="zh-CN" w:bidi="zh-CN"/>
        </w:rPr>
        <w:t>元气满满猫耳酥已过期，销售不符合安全标准的食品，己违反中华人民共和国食品安全法第一百二十四条，应依法处罚，遂在全国12315平台APP</w:t>
      </w:r>
      <w:r>
        <w:rPr>
          <w:rFonts w:hint="eastAsia" w:eastAsia="仿宋_GB2312"/>
          <w:sz w:val="32"/>
          <w:szCs w:val="32"/>
          <w:lang w:val="en-US" w:eastAsia="zh-CN" w:bidi="zh-CN"/>
        </w:rPr>
        <w:t>举报</w:t>
      </w:r>
      <w:r>
        <w:rPr>
          <w:rFonts w:hint="eastAsia" w:eastAsia="仿宋_GB2312"/>
          <w:sz w:val="32"/>
          <w:szCs w:val="32"/>
          <w:lang w:eastAsia="zh-CN" w:bidi="zh-CN"/>
        </w:rPr>
        <w:t>。被申请人于2023年2月20日回复：经现场检查，未发现举报人所说的商品（有现场检查视频）。被申请人称现场未发现并不代表商家没有销售过期食品的违法事实，案件调查中被申请人从未联系过申请人，也未向申请人索</w:t>
      </w:r>
      <w:r>
        <w:rPr>
          <w:rFonts w:hint="eastAsia" w:eastAsia="仿宋_GB2312"/>
          <w:sz w:val="32"/>
          <w:szCs w:val="32"/>
          <w:lang w:val="en-US" w:eastAsia="zh-CN" w:bidi="zh-CN"/>
        </w:rPr>
        <w:t>要</w:t>
      </w:r>
      <w:r>
        <w:rPr>
          <w:rFonts w:hint="eastAsia" w:eastAsia="仿宋_GB2312"/>
          <w:sz w:val="32"/>
          <w:szCs w:val="32"/>
          <w:lang w:eastAsia="zh-CN" w:bidi="zh-CN"/>
        </w:rPr>
        <w:t>相关证据，从始至终也未告知不予立案的具体原因和结果。现场未发现为什么不向申请人索</w:t>
      </w:r>
      <w:r>
        <w:rPr>
          <w:rFonts w:hint="eastAsia" w:eastAsia="仿宋_GB2312"/>
          <w:sz w:val="32"/>
          <w:szCs w:val="32"/>
          <w:lang w:val="en-US" w:eastAsia="zh-CN" w:bidi="zh-CN"/>
        </w:rPr>
        <w:t>要</w:t>
      </w:r>
      <w:r>
        <w:rPr>
          <w:rFonts w:hint="eastAsia" w:eastAsia="仿宋_GB2312"/>
          <w:sz w:val="32"/>
          <w:szCs w:val="32"/>
          <w:lang w:eastAsia="zh-CN" w:bidi="zh-CN"/>
        </w:rPr>
        <w:t>相关证据，被申请人欺上瞒下，充当不法商家的保护伞，替不法商家开脱。一边鼓励消费者投诉举报食品违法问题，一边替不法商家极力开脱，替商家找出无责任说辞，是否做到食品安全四个严？</w:t>
      </w:r>
    </w:p>
    <w:p w14:paraId="126B5F7F">
      <w:pPr>
        <w:spacing w:line="600" w:lineRule="exact"/>
        <w:ind w:firstLine="640" w:firstLineChars="200"/>
        <w:jc w:val="both"/>
        <w:rPr>
          <w:rFonts w:eastAsia="仿宋_GB2312"/>
          <w:bCs/>
          <w:sz w:val="32"/>
          <w:szCs w:val="32"/>
          <w:lang w:eastAsia="zh-CN" w:bidi="zh-CN"/>
        </w:rPr>
      </w:pPr>
      <w:r>
        <w:rPr>
          <w:rFonts w:hint="eastAsia" w:ascii="黑体" w:hAnsi="黑体" w:eastAsia="黑体" w:cs="黑体"/>
          <w:bCs/>
          <w:sz w:val="32"/>
          <w:szCs w:val="32"/>
          <w:lang w:eastAsia="zh-CN" w:bidi="zh-CN"/>
        </w:rPr>
        <w:t>被申请人称：</w:t>
      </w:r>
      <w:r>
        <w:rPr>
          <w:rFonts w:hint="eastAsia" w:eastAsia="仿宋_GB2312"/>
          <w:bCs/>
          <w:sz w:val="32"/>
          <w:szCs w:val="32"/>
          <w:lang w:val="en-US" w:eastAsia="zh-CN" w:bidi="zh-CN"/>
        </w:rPr>
        <w:t>申请人</w:t>
      </w:r>
      <w:r>
        <w:rPr>
          <w:rFonts w:hint="eastAsia" w:eastAsia="仿宋_GB2312"/>
          <w:bCs/>
          <w:sz w:val="32"/>
          <w:szCs w:val="32"/>
          <w:lang w:eastAsia="zh-CN" w:bidi="zh-CN"/>
        </w:rPr>
        <w:t>胡巧亚于2023年2月14日在万隆超市购买元气满满猫耳酥一袋。事后，胡巧亚以“购买的猫耳酥已过期”为由，认为商家对其销售不符合安全标准的食品，向</w:t>
      </w:r>
      <w:r>
        <w:rPr>
          <w:rFonts w:hint="eastAsia" w:eastAsia="仿宋_GB2312"/>
          <w:bCs/>
          <w:sz w:val="32"/>
          <w:szCs w:val="32"/>
          <w:lang w:val="en-US" w:eastAsia="zh-CN" w:bidi="zh-CN"/>
        </w:rPr>
        <w:t>被申请人</w:t>
      </w:r>
      <w:r>
        <w:rPr>
          <w:rFonts w:hint="eastAsia" w:eastAsia="仿宋_GB2312"/>
          <w:bCs/>
          <w:sz w:val="32"/>
          <w:szCs w:val="32"/>
          <w:lang w:eastAsia="zh-CN" w:bidi="zh-CN"/>
        </w:rPr>
        <w:t>进行投诉举报。对于商家是否构成生产经营标注虚假生产日期、保质期或者超过保质期的食品、食品添加剂</w:t>
      </w:r>
      <w:r>
        <w:rPr>
          <w:rFonts w:hint="eastAsia" w:eastAsia="仿宋_GB2312"/>
          <w:bCs/>
          <w:sz w:val="32"/>
          <w:szCs w:val="32"/>
          <w:lang w:val="en-US" w:eastAsia="zh-CN" w:bidi="zh-CN"/>
        </w:rPr>
        <w:t>的</w:t>
      </w:r>
      <w:r>
        <w:rPr>
          <w:rFonts w:hint="eastAsia" w:eastAsia="仿宋_GB2312"/>
          <w:bCs/>
          <w:sz w:val="32"/>
          <w:szCs w:val="32"/>
          <w:lang w:eastAsia="zh-CN" w:bidi="zh-CN"/>
        </w:rPr>
        <w:t>情况，</w:t>
      </w:r>
      <w:r>
        <w:rPr>
          <w:rFonts w:hint="eastAsia" w:eastAsia="仿宋_GB2312"/>
          <w:bCs/>
          <w:sz w:val="32"/>
          <w:szCs w:val="32"/>
          <w:lang w:val="en-US" w:eastAsia="zh-CN" w:bidi="zh-CN"/>
        </w:rPr>
        <w:t>被申请人</w:t>
      </w:r>
      <w:r>
        <w:rPr>
          <w:rFonts w:hint="eastAsia" w:eastAsia="仿宋_GB2312"/>
          <w:bCs/>
          <w:sz w:val="32"/>
          <w:szCs w:val="32"/>
          <w:lang w:eastAsia="zh-CN" w:bidi="zh-CN"/>
        </w:rPr>
        <w:t>进行了调查。证据证明胡巧亚举报内容不属实，理由如下：接胡巧亚</w:t>
      </w:r>
      <w:r>
        <w:rPr>
          <w:rFonts w:hint="eastAsia" w:eastAsia="仿宋_GB2312"/>
          <w:bCs/>
          <w:sz w:val="32"/>
          <w:szCs w:val="32"/>
          <w:lang w:val="en-US" w:eastAsia="zh-CN" w:bidi="zh-CN"/>
        </w:rPr>
        <w:t>举报</w:t>
      </w:r>
      <w:r>
        <w:rPr>
          <w:rFonts w:hint="eastAsia" w:eastAsia="仿宋_GB2312"/>
          <w:bCs/>
          <w:sz w:val="32"/>
          <w:szCs w:val="32"/>
          <w:lang w:eastAsia="zh-CN" w:bidi="zh-CN"/>
        </w:rPr>
        <w:t>，</w:t>
      </w:r>
      <w:r>
        <w:rPr>
          <w:rFonts w:hint="eastAsia" w:eastAsia="仿宋_GB2312"/>
          <w:bCs/>
          <w:sz w:val="32"/>
          <w:szCs w:val="32"/>
          <w:lang w:val="en-US" w:eastAsia="zh-CN" w:bidi="zh-CN"/>
        </w:rPr>
        <w:t>被申请人</w:t>
      </w:r>
      <w:r>
        <w:rPr>
          <w:rFonts w:hint="eastAsia" w:eastAsia="仿宋_GB2312"/>
          <w:bCs/>
          <w:sz w:val="32"/>
          <w:szCs w:val="32"/>
          <w:lang w:eastAsia="zh-CN" w:bidi="zh-CN"/>
        </w:rPr>
        <w:t>第一时间到达现场，到达现场后随即开展现场检查，在现场检查货架上的物品后未发现胡巧亚</w:t>
      </w:r>
      <w:r>
        <w:rPr>
          <w:rFonts w:hint="eastAsia" w:eastAsia="仿宋_GB2312"/>
          <w:bCs/>
          <w:sz w:val="32"/>
          <w:szCs w:val="32"/>
          <w:lang w:val="en-US" w:eastAsia="zh-CN" w:bidi="zh-CN"/>
        </w:rPr>
        <w:t>举报</w:t>
      </w:r>
      <w:r>
        <w:rPr>
          <w:rFonts w:hint="eastAsia" w:eastAsia="仿宋_GB2312"/>
          <w:bCs/>
          <w:sz w:val="32"/>
          <w:szCs w:val="32"/>
          <w:lang w:eastAsia="zh-CN" w:bidi="zh-CN"/>
        </w:rPr>
        <w:t>的猫耳酥产品。</w:t>
      </w:r>
      <w:r>
        <w:rPr>
          <w:rFonts w:hint="eastAsia" w:eastAsia="仿宋_GB2312"/>
          <w:bCs/>
          <w:sz w:val="32"/>
          <w:szCs w:val="32"/>
          <w:lang w:val="en-US" w:eastAsia="zh-CN" w:bidi="zh-CN"/>
        </w:rPr>
        <w:t>被申请人</w:t>
      </w:r>
      <w:r>
        <w:rPr>
          <w:rFonts w:hint="eastAsia" w:eastAsia="仿宋_GB2312"/>
          <w:bCs/>
          <w:sz w:val="32"/>
          <w:szCs w:val="32"/>
          <w:lang w:eastAsia="zh-CN" w:bidi="zh-CN"/>
        </w:rPr>
        <w:t>与胡巧亚多次联系让其带猫耳酥产品来进行查看辨别，</w:t>
      </w:r>
      <w:r>
        <w:rPr>
          <w:rFonts w:hint="eastAsia" w:eastAsia="仿宋_GB2312"/>
          <w:bCs/>
          <w:sz w:val="32"/>
          <w:szCs w:val="32"/>
          <w:lang w:val="en-US" w:eastAsia="zh-CN" w:bidi="zh-CN"/>
        </w:rPr>
        <w:t>胡巧亚</w:t>
      </w:r>
      <w:r>
        <w:rPr>
          <w:rFonts w:hint="eastAsia" w:eastAsia="仿宋_GB2312"/>
          <w:bCs/>
          <w:sz w:val="32"/>
          <w:szCs w:val="32"/>
          <w:lang w:eastAsia="zh-CN" w:bidi="zh-CN"/>
        </w:rPr>
        <w:t>先是声称让人转交后又说邮寄过来，辗转20余日，至今未与</w:t>
      </w:r>
      <w:r>
        <w:rPr>
          <w:rFonts w:hint="eastAsia" w:eastAsia="仿宋_GB2312"/>
          <w:bCs/>
          <w:sz w:val="32"/>
          <w:szCs w:val="32"/>
          <w:lang w:val="en-US" w:eastAsia="zh-CN" w:bidi="zh-CN"/>
        </w:rPr>
        <w:t>被申请人</w:t>
      </w:r>
      <w:r>
        <w:rPr>
          <w:rFonts w:hint="eastAsia" w:eastAsia="仿宋_GB2312"/>
          <w:bCs/>
          <w:sz w:val="32"/>
          <w:szCs w:val="32"/>
          <w:lang w:eastAsia="zh-CN" w:bidi="zh-CN"/>
        </w:rPr>
        <w:t>联系。综上，无论胡巧亚是何种动机、身份购买元气满满猫耳酥，</w:t>
      </w:r>
      <w:r>
        <w:rPr>
          <w:rFonts w:hint="eastAsia" w:eastAsia="仿宋_GB2312"/>
          <w:bCs/>
          <w:sz w:val="32"/>
          <w:szCs w:val="32"/>
          <w:lang w:val="en-US" w:eastAsia="zh-CN" w:bidi="zh-CN"/>
        </w:rPr>
        <w:t>被申请人</w:t>
      </w:r>
      <w:r>
        <w:rPr>
          <w:rFonts w:hint="eastAsia" w:eastAsia="仿宋_GB2312"/>
          <w:bCs/>
          <w:sz w:val="32"/>
          <w:szCs w:val="32"/>
          <w:lang w:eastAsia="zh-CN" w:bidi="zh-CN"/>
        </w:rPr>
        <w:t>以实际调查为依据，认定其举报内容不属实，做出不予立案的处理决定，并无不当。</w:t>
      </w:r>
    </w:p>
    <w:p w14:paraId="05F117A2">
      <w:pPr>
        <w:spacing w:line="580" w:lineRule="exact"/>
        <w:ind w:firstLine="640" w:firstLineChars="200"/>
        <w:jc w:val="both"/>
        <w:rPr>
          <w:rFonts w:eastAsia="仿宋_GB2312"/>
          <w:bCs/>
          <w:color w:val="auto"/>
          <w:sz w:val="32"/>
          <w:szCs w:val="32"/>
          <w:lang w:eastAsia="zh-CN" w:bidi="zh-CN"/>
        </w:rPr>
      </w:pPr>
      <w:r>
        <w:rPr>
          <w:rFonts w:hint="eastAsia" w:ascii="黑体" w:hAnsi="黑体" w:eastAsia="黑体" w:cs="黑体"/>
          <w:bCs/>
          <w:sz w:val="32"/>
          <w:szCs w:val="32"/>
          <w:lang w:eastAsia="zh-CN" w:bidi="zh-CN"/>
        </w:rPr>
        <w:t>本机关查明：</w:t>
      </w:r>
      <w:r>
        <w:rPr>
          <w:rFonts w:hint="eastAsia" w:eastAsia="仿宋_GB2312"/>
          <w:bCs/>
          <w:color w:val="auto"/>
          <w:sz w:val="32"/>
          <w:szCs w:val="32"/>
          <w:lang w:eastAsia="zh-CN" w:bidi="zh-CN"/>
        </w:rPr>
        <w:t>2023年2月15日，申请人在全国12315平台举报洛阳市涧西区万隆超市销售过期食品元气满满猫耳酥，举报内容为：“举报人于2023/2/14日在该超市购买元气满满猫耳酥已过期，销售过期食品，诉求：依法处理，依法奖励，依法书面回复处理结果”。被申请人接到上述举报线索后，于2023年2月17日对案涉万隆超市进行现场调查，制作了现场笔录，经调查未发现申请人所举报的过期食品，案涉万隆超市提供了情况说明。2023年2月18日，被申请人决定对上述举报事项不予立案。2023年2月20日，被申请人</w:t>
      </w:r>
      <w:r>
        <w:rPr>
          <w:rFonts w:hint="eastAsia" w:eastAsia="仿宋_GB2312"/>
          <w:sz w:val="32"/>
          <w:szCs w:val="32"/>
          <w:lang w:eastAsia="zh-CN" w:bidi="zh-CN"/>
        </w:rPr>
        <w:t>通过全国12315平台回复申请人，告知内容为不立案，不立案原因为“经现场检查，未发现举报人所说的商品（有现场检查视频）”。</w:t>
      </w:r>
    </w:p>
    <w:p w14:paraId="7A1D693E">
      <w:pPr>
        <w:spacing w:line="600" w:lineRule="exact"/>
        <w:ind w:firstLine="640" w:firstLineChars="200"/>
        <w:jc w:val="both"/>
        <w:rPr>
          <w:rFonts w:eastAsia="仿宋_GB2312"/>
          <w:bCs/>
          <w:sz w:val="32"/>
          <w:szCs w:val="32"/>
          <w:lang w:eastAsia="zh-CN" w:bidi="zh-CN"/>
        </w:rPr>
      </w:pPr>
      <w:r>
        <w:rPr>
          <w:rFonts w:hint="eastAsia" w:ascii="黑体" w:hAnsi="黑体" w:eastAsia="黑体" w:cs="黑体"/>
          <w:bCs/>
          <w:sz w:val="32"/>
          <w:szCs w:val="32"/>
          <w:lang w:eastAsia="zh-CN" w:bidi="zh-CN"/>
        </w:rPr>
        <w:t>上述事实由下列证据为证：</w:t>
      </w:r>
      <w:r>
        <w:rPr>
          <w:rFonts w:hint="eastAsia" w:eastAsia="仿宋_GB2312"/>
          <w:bCs/>
          <w:sz w:val="32"/>
          <w:szCs w:val="32"/>
          <w:lang w:eastAsia="zh-CN" w:bidi="zh-CN"/>
        </w:rPr>
        <w:t>1、胡巧亚身份证复印件；2、全国12315平台举报详情；3、</w:t>
      </w:r>
      <w:r>
        <w:rPr>
          <w:rFonts w:hint="eastAsia" w:eastAsia="仿宋_GB2312"/>
          <w:bCs/>
          <w:color w:val="auto"/>
          <w:sz w:val="32"/>
          <w:szCs w:val="32"/>
          <w:lang w:eastAsia="zh-CN" w:bidi="zh-CN"/>
        </w:rPr>
        <w:t>元气满满猫耳酥产品照片3张</w:t>
      </w:r>
      <w:r>
        <w:rPr>
          <w:rFonts w:hint="eastAsia" w:eastAsia="仿宋_GB2312"/>
          <w:bCs/>
          <w:sz w:val="32"/>
          <w:szCs w:val="32"/>
          <w:lang w:eastAsia="zh-CN" w:bidi="zh-CN"/>
        </w:rPr>
        <w:t>；4、购物</w:t>
      </w:r>
      <w:r>
        <w:rPr>
          <w:rFonts w:hint="eastAsia" w:eastAsia="仿宋_GB2312"/>
          <w:bCs/>
          <w:sz w:val="32"/>
          <w:szCs w:val="32"/>
          <w:lang w:val="en-US" w:eastAsia="zh-CN" w:bidi="zh-CN"/>
        </w:rPr>
        <w:t>视频及</w:t>
      </w:r>
      <w:r>
        <w:rPr>
          <w:rFonts w:hint="eastAsia" w:eastAsia="仿宋_GB2312"/>
          <w:bCs/>
          <w:sz w:val="32"/>
          <w:szCs w:val="32"/>
          <w:lang w:eastAsia="zh-CN" w:bidi="zh-CN"/>
        </w:rPr>
        <w:t>支付凭证截图；5、河南省市场监管投诉举报平台举报单；6、洛阳市涧西区万隆超市营业执照（</w:t>
      </w:r>
      <w:r>
        <w:rPr>
          <w:rFonts w:hint="eastAsia" w:eastAsia="仿宋_GB2312"/>
          <w:bCs/>
          <w:sz w:val="32"/>
          <w:szCs w:val="32"/>
          <w:lang w:val="en-US" w:eastAsia="zh-CN" w:bidi="zh-CN"/>
        </w:rPr>
        <w:t>副本）</w:t>
      </w:r>
      <w:r>
        <w:rPr>
          <w:rFonts w:hint="eastAsia" w:eastAsia="仿宋_GB2312"/>
          <w:bCs/>
          <w:sz w:val="32"/>
          <w:szCs w:val="32"/>
          <w:lang w:eastAsia="zh-CN" w:bidi="zh-CN"/>
        </w:rPr>
        <w:t>及河南省食品小经营店登记证复印件；7、程秋平身份证复印件；8、委托书及被委托人贾步金身份证复印件；9、万隆超市情况说明；10、</w:t>
      </w:r>
      <w:r>
        <w:rPr>
          <w:rFonts w:hint="eastAsia" w:eastAsia="仿宋_GB2312"/>
          <w:bCs/>
          <w:color w:val="auto"/>
          <w:sz w:val="32"/>
          <w:szCs w:val="32"/>
          <w:lang w:eastAsia="zh-CN" w:bidi="zh-CN"/>
        </w:rPr>
        <w:t>现场笔录；</w:t>
      </w:r>
      <w:r>
        <w:rPr>
          <w:rFonts w:hint="eastAsia" w:eastAsia="仿宋_GB2312"/>
          <w:bCs/>
          <w:color w:val="auto"/>
          <w:sz w:val="32"/>
          <w:szCs w:val="32"/>
          <w:lang w:val="en-US" w:eastAsia="zh-CN" w:bidi="zh-CN"/>
        </w:rPr>
        <w:t>11、现场检查视频；</w:t>
      </w:r>
      <w:r>
        <w:rPr>
          <w:rFonts w:hint="eastAsia" w:eastAsia="仿宋_GB2312"/>
          <w:bCs/>
          <w:color w:val="auto"/>
          <w:sz w:val="32"/>
          <w:szCs w:val="32"/>
          <w:lang w:eastAsia="zh-CN" w:bidi="zh-CN"/>
        </w:rPr>
        <w:t>1</w:t>
      </w:r>
      <w:r>
        <w:rPr>
          <w:rFonts w:hint="eastAsia" w:eastAsia="仿宋_GB2312"/>
          <w:bCs/>
          <w:color w:val="auto"/>
          <w:sz w:val="32"/>
          <w:szCs w:val="32"/>
          <w:lang w:val="en-US" w:eastAsia="zh-CN" w:bidi="zh-CN"/>
        </w:rPr>
        <w:t>2</w:t>
      </w:r>
      <w:r>
        <w:rPr>
          <w:rFonts w:hint="eastAsia" w:eastAsia="仿宋_GB2312"/>
          <w:bCs/>
          <w:color w:val="auto"/>
          <w:sz w:val="32"/>
          <w:szCs w:val="32"/>
          <w:lang w:eastAsia="zh-CN" w:bidi="zh-CN"/>
        </w:rPr>
        <w:t>、不予立案审批表。</w:t>
      </w:r>
    </w:p>
    <w:p w14:paraId="74198DDE">
      <w:pPr>
        <w:spacing w:line="600" w:lineRule="exact"/>
        <w:ind w:firstLine="640" w:firstLineChars="200"/>
        <w:jc w:val="both"/>
        <w:rPr>
          <w:rFonts w:hint="eastAsia" w:ascii="仿宋_GB2312" w:hAnsi="仿宋_GB2312" w:eastAsia="仿宋_GB2312" w:cs="仿宋_GB2312"/>
          <w:color w:val="auto"/>
          <w:sz w:val="32"/>
          <w:szCs w:val="32"/>
          <w:lang w:eastAsia="zh-CN" w:bidi="zh-CN"/>
        </w:rPr>
      </w:pPr>
      <w:r>
        <w:rPr>
          <w:rFonts w:hint="eastAsia" w:ascii="黑体" w:hAnsi="黑体" w:eastAsia="黑体" w:cs="黑体"/>
          <w:sz w:val="32"/>
          <w:szCs w:val="32"/>
          <w:lang w:eastAsia="zh-CN" w:bidi="zh-CN"/>
        </w:rPr>
        <w:t>本机关认为：</w:t>
      </w:r>
      <w:r>
        <w:rPr>
          <w:rFonts w:hint="eastAsia" w:ascii="仿宋_GB2312" w:hAnsi="仿宋_GB2312" w:eastAsia="仿宋_GB2312" w:cs="仿宋_GB2312"/>
          <w:color w:val="auto"/>
          <w:sz w:val="32"/>
          <w:szCs w:val="32"/>
          <w:lang w:eastAsia="zh-CN" w:bidi="zh-CN"/>
        </w:rPr>
        <w:t>本案争议焦点</w:t>
      </w:r>
      <w:r>
        <w:rPr>
          <w:rFonts w:hint="eastAsia" w:ascii="仿宋_GB2312" w:hAnsi="仿宋_GB2312" w:eastAsia="仿宋_GB2312" w:cs="仿宋_GB2312"/>
          <w:color w:val="auto"/>
          <w:sz w:val="32"/>
          <w:szCs w:val="32"/>
          <w:lang w:val="en-US" w:eastAsia="zh-CN" w:bidi="zh-CN"/>
        </w:rPr>
        <w:t>为</w:t>
      </w:r>
      <w:r>
        <w:rPr>
          <w:rFonts w:hint="eastAsia" w:ascii="仿宋_GB2312" w:hAnsi="仿宋_GB2312" w:eastAsia="仿宋_GB2312" w:cs="仿宋_GB2312"/>
          <w:color w:val="auto"/>
          <w:sz w:val="32"/>
          <w:szCs w:val="32"/>
          <w:lang w:eastAsia="zh-CN" w:bidi="zh-CN"/>
        </w:rPr>
        <w:t>被申请人对申请人的举报事项不予立案是否合法、合理。</w:t>
      </w:r>
    </w:p>
    <w:p w14:paraId="36B2375D">
      <w:pPr>
        <w:spacing w:line="600" w:lineRule="exact"/>
        <w:ind w:firstLine="640" w:firstLineChars="200"/>
        <w:jc w:val="both"/>
        <w:rPr>
          <w:rFonts w:hint="eastAsia" w:ascii="仿宋_GB2312" w:hAnsi="仿宋_GB2312" w:eastAsia="仿宋_GB2312" w:cs="仿宋_GB2312"/>
          <w:color w:val="auto"/>
          <w:sz w:val="32"/>
          <w:szCs w:val="32"/>
          <w:lang w:eastAsia="zh-CN" w:bidi="zh-CN"/>
        </w:rPr>
      </w:pPr>
      <w:r>
        <w:rPr>
          <w:rFonts w:hint="eastAsia" w:ascii="仿宋_GB2312" w:hAnsi="仿宋_GB2312" w:eastAsia="仿宋_GB2312" w:cs="仿宋_GB2312"/>
          <w:color w:val="auto"/>
          <w:sz w:val="32"/>
          <w:szCs w:val="32"/>
          <w:lang w:val="en-US" w:eastAsia="zh-CN" w:bidi="zh-CN"/>
        </w:rPr>
        <w:t>根据</w:t>
      </w:r>
      <w:r>
        <w:rPr>
          <w:rFonts w:hint="eastAsia" w:ascii="仿宋_GB2312" w:hAnsi="仿宋_GB2312" w:eastAsia="仿宋_GB2312" w:cs="仿宋_GB2312"/>
          <w:color w:val="auto"/>
          <w:sz w:val="32"/>
          <w:szCs w:val="32"/>
          <w:lang w:eastAsia="zh-CN" w:bidi="zh-CN"/>
        </w:rPr>
        <w:t>《市场监督管理行政处罚程序规定》第二十一条第一款规定，办案人员应当全面、客观、公正、及时进行案件调查，收集、调取证据，并依照法律、法规、规章的规定进行检查。本案中，申请人在</w:t>
      </w:r>
      <w:r>
        <w:rPr>
          <w:rFonts w:hint="eastAsia" w:ascii="仿宋_GB2312" w:hAnsi="仿宋_GB2312" w:eastAsia="仿宋_GB2312" w:cs="仿宋_GB2312"/>
          <w:color w:val="auto"/>
          <w:sz w:val="32"/>
          <w:szCs w:val="32"/>
          <w:lang w:val="en-US" w:eastAsia="zh-CN" w:bidi="zh-CN"/>
        </w:rPr>
        <w:t>案涉</w:t>
      </w:r>
      <w:r>
        <w:rPr>
          <w:rFonts w:hint="eastAsia" w:ascii="仿宋_GB2312" w:hAnsi="仿宋_GB2312" w:eastAsia="仿宋_GB2312" w:cs="仿宋_GB2312"/>
          <w:color w:val="auto"/>
          <w:sz w:val="32"/>
          <w:szCs w:val="32"/>
          <w:lang w:eastAsia="zh-CN" w:bidi="zh-CN"/>
        </w:rPr>
        <w:t>万隆超市购买过期食品有</w:t>
      </w:r>
      <w:r>
        <w:rPr>
          <w:rFonts w:hint="eastAsia" w:ascii="仿宋_GB2312" w:hAnsi="仿宋_GB2312" w:eastAsia="仿宋_GB2312" w:cs="仿宋_GB2312"/>
          <w:color w:val="auto"/>
          <w:sz w:val="32"/>
          <w:szCs w:val="32"/>
          <w:lang w:val="en-US" w:eastAsia="zh-CN" w:bidi="zh-CN"/>
        </w:rPr>
        <w:t>商品</w:t>
      </w:r>
      <w:r>
        <w:rPr>
          <w:rFonts w:hint="eastAsia" w:ascii="仿宋_GB2312" w:hAnsi="仿宋_GB2312" w:eastAsia="仿宋_GB2312" w:cs="仿宋_GB2312"/>
          <w:color w:val="auto"/>
          <w:sz w:val="32"/>
          <w:szCs w:val="32"/>
          <w:lang w:eastAsia="zh-CN" w:bidi="zh-CN"/>
        </w:rPr>
        <w:t>的实物照片、</w:t>
      </w:r>
      <w:r>
        <w:rPr>
          <w:rFonts w:hint="eastAsia" w:ascii="仿宋_GB2312" w:hAnsi="仿宋_GB2312" w:eastAsia="仿宋_GB2312" w:cs="仿宋_GB2312"/>
          <w:color w:val="auto"/>
          <w:sz w:val="32"/>
          <w:szCs w:val="32"/>
          <w:lang w:val="en-US" w:eastAsia="zh-CN" w:bidi="zh-CN"/>
        </w:rPr>
        <w:t>支付凭证</w:t>
      </w:r>
      <w:r>
        <w:rPr>
          <w:rFonts w:hint="eastAsia" w:ascii="仿宋_GB2312" w:hAnsi="仿宋_GB2312" w:eastAsia="仿宋_GB2312" w:cs="仿宋_GB2312"/>
          <w:color w:val="auto"/>
          <w:sz w:val="32"/>
          <w:szCs w:val="32"/>
          <w:lang w:eastAsia="zh-CN" w:bidi="zh-CN"/>
        </w:rPr>
        <w:t>和购买过程中的相关视频等证据予以佐证。被申请人在收到申请人的举报后，其执法人员的现场检查仅能证明检查时被举报经营者无销售过期食品的行为，但无法</w:t>
      </w:r>
      <w:r>
        <w:rPr>
          <w:rFonts w:hint="eastAsia" w:ascii="仿宋_GB2312" w:hAnsi="仿宋_GB2312" w:eastAsia="仿宋_GB2312" w:cs="仿宋_GB2312"/>
          <w:color w:val="auto"/>
          <w:sz w:val="32"/>
          <w:szCs w:val="32"/>
          <w:lang w:val="en-US" w:eastAsia="zh-CN" w:bidi="zh-CN"/>
        </w:rPr>
        <w:t>查明</w:t>
      </w:r>
      <w:r>
        <w:rPr>
          <w:rFonts w:hint="eastAsia" w:ascii="仿宋_GB2312" w:hAnsi="仿宋_GB2312" w:eastAsia="仿宋_GB2312" w:cs="仿宋_GB2312"/>
          <w:color w:val="auto"/>
          <w:sz w:val="32"/>
          <w:szCs w:val="32"/>
          <w:lang w:eastAsia="zh-CN" w:bidi="zh-CN"/>
        </w:rPr>
        <w:t>被举报经营者之前是否存在销售过期食品给申请人的违法行为，同时被申请亦未对申请人提供证据的真实性进行</w:t>
      </w:r>
      <w:r>
        <w:rPr>
          <w:rFonts w:hint="eastAsia" w:ascii="仿宋_GB2312" w:hAnsi="仿宋_GB2312" w:eastAsia="仿宋_GB2312" w:cs="仿宋_GB2312"/>
          <w:color w:val="auto"/>
          <w:sz w:val="32"/>
          <w:szCs w:val="32"/>
          <w:lang w:val="en-US" w:eastAsia="zh-CN" w:bidi="zh-CN"/>
        </w:rPr>
        <w:t>全面的</w:t>
      </w:r>
      <w:r>
        <w:rPr>
          <w:rFonts w:hint="eastAsia" w:ascii="仿宋_GB2312" w:hAnsi="仿宋_GB2312" w:eastAsia="仿宋_GB2312" w:cs="仿宋_GB2312"/>
          <w:color w:val="auto"/>
          <w:sz w:val="32"/>
          <w:szCs w:val="32"/>
          <w:lang w:eastAsia="zh-CN" w:bidi="zh-CN"/>
        </w:rPr>
        <w:t>调查核实。被申请人在调查不充分的情况下直接以现场检查结果作为不予立案的依据，未尽到全面调查职责，该不予立案决定依据的事实不清，证据不足。</w:t>
      </w:r>
    </w:p>
    <w:p w14:paraId="12521B98">
      <w:pPr>
        <w:spacing w:line="600" w:lineRule="exact"/>
        <w:ind w:firstLine="640" w:firstLineChars="200"/>
        <w:jc w:val="both"/>
        <w:rPr>
          <w:rFonts w:hint="eastAsia" w:ascii="仿宋_GB2312" w:hAnsi="仿宋_GB2312" w:eastAsia="仿宋_GB2312" w:cs="仿宋_GB2312"/>
          <w:color w:val="auto"/>
          <w:sz w:val="32"/>
          <w:szCs w:val="32"/>
          <w:lang w:eastAsia="zh-CN" w:bidi="zh-CN"/>
        </w:rPr>
      </w:pPr>
      <w:r>
        <w:rPr>
          <w:rFonts w:hint="eastAsia" w:ascii="仿宋_GB2312" w:hAnsi="仿宋_GB2312" w:eastAsia="仿宋_GB2312" w:cs="仿宋_GB2312"/>
          <w:color w:val="auto"/>
          <w:sz w:val="32"/>
          <w:szCs w:val="32"/>
          <w:lang w:val="en-US" w:eastAsia="zh-CN" w:bidi="zh-CN"/>
        </w:rPr>
        <w:t>根据</w:t>
      </w:r>
      <w:r>
        <w:rPr>
          <w:rFonts w:hint="eastAsia" w:ascii="仿宋_GB2312" w:hAnsi="仿宋_GB2312" w:eastAsia="仿宋_GB2312" w:cs="仿宋_GB2312"/>
          <w:color w:val="auto"/>
          <w:sz w:val="32"/>
          <w:szCs w:val="32"/>
          <w:lang w:eastAsia="zh-CN" w:bidi="zh-CN"/>
        </w:rPr>
        <w:t>《市场监督管理行政处罚程序规定》第二十条第一款规定，经核查，有下列情形之一的，可以不予立案: （</w:t>
      </w:r>
      <w:r>
        <w:rPr>
          <w:rFonts w:hint="eastAsia" w:ascii="仿宋_GB2312" w:hAnsi="仿宋_GB2312" w:eastAsia="仿宋_GB2312" w:cs="仿宋_GB2312"/>
          <w:color w:val="auto"/>
          <w:sz w:val="32"/>
          <w:szCs w:val="32"/>
          <w:lang w:val="en-US" w:eastAsia="zh-CN" w:bidi="zh-CN"/>
        </w:rPr>
        <w:t>一</w:t>
      </w:r>
      <w:r>
        <w:rPr>
          <w:rFonts w:hint="eastAsia" w:ascii="仿宋_GB2312" w:hAnsi="仿宋_GB2312" w:eastAsia="仿宋_GB2312" w:cs="仿宋_GB2312"/>
          <w:color w:val="auto"/>
          <w:sz w:val="32"/>
          <w:szCs w:val="32"/>
          <w:lang w:eastAsia="zh-CN" w:bidi="zh-CN"/>
        </w:rPr>
        <w:t>）违法行为轻微并及时改正,没有造成危害后果; （</w:t>
      </w:r>
      <w:r>
        <w:rPr>
          <w:rFonts w:hint="eastAsia" w:ascii="仿宋_GB2312" w:hAnsi="仿宋_GB2312" w:eastAsia="仿宋_GB2312" w:cs="仿宋_GB2312"/>
          <w:color w:val="auto"/>
          <w:sz w:val="32"/>
          <w:szCs w:val="32"/>
          <w:lang w:val="en-US" w:eastAsia="zh-CN" w:bidi="zh-CN"/>
        </w:rPr>
        <w:t>二</w:t>
      </w:r>
      <w:r>
        <w:rPr>
          <w:rFonts w:hint="eastAsia" w:ascii="仿宋_GB2312" w:hAnsi="仿宋_GB2312" w:eastAsia="仿宋_GB2312" w:cs="仿宋_GB2312"/>
          <w:color w:val="auto"/>
          <w:sz w:val="32"/>
          <w:szCs w:val="32"/>
          <w:lang w:eastAsia="zh-CN" w:bidi="zh-CN"/>
        </w:rPr>
        <w:t>）初次违法且危害后果轻微并及时改正; （</w:t>
      </w:r>
      <w:r>
        <w:rPr>
          <w:rFonts w:hint="eastAsia" w:ascii="仿宋_GB2312" w:hAnsi="仿宋_GB2312" w:eastAsia="仿宋_GB2312" w:cs="仿宋_GB2312"/>
          <w:color w:val="auto"/>
          <w:sz w:val="32"/>
          <w:szCs w:val="32"/>
          <w:lang w:val="en-US" w:eastAsia="zh-CN" w:bidi="zh-CN"/>
        </w:rPr>
        <w:t>三</w:t>
      </w:r>
      <w:r>
        <w:rPr>
          <w:rFonts w:hint="eastAsia" w:ascii="仿宋_GB2312" w:hAnsi="仿宋_GB2312" w:eastAsia="仿宋_GB2312" w:cs="仿宋_GB2312"/>
          <w:color w:val="auto"/>
          <w:sz w:val="32"/>
          <w:szCs w:val="32"/>
          <w:lang w:eastAsia="zh-CN" w:bidi="zh-CN"/>
        </w:rPr>
        <w:t>）当事人有证据足以证明没有主观过错,但法律、行政法规另有规定的除外; （</w:t>
      </w:r>
      <w:r>
        <w:rPr>
          <w:rFonts w:hint="eastAsia" w:ascii="仿宋_GB2312" w:hAnsi="仿宋_GB2312" w:eastAsia="仿宋_GB2312" w:cs="仿宋_GB2312"/>
          <w:color w:val="auto"/>
          <w:sz w:val="32"/>
          <w:szCs w:val="32"/>
          <w:lang w:val="en-US" w:eastAsia="zh-CN" w:bidi="zh-CN"/>
        </w:rPr>
        <w:t>四</w:t>
      </w:r>
      <w:r>
        <w:rPr>
          <w:rFonts w:hint="eastAsia" w:ascii="仿宋_GB2312" w:hAnsi="仿宋_GB2312" w:eastAsia="仿宋_GB2312" w:cs="仿宋_GB2312"/>
          <w:color w:val="auto"/>
          <w:sz w:val="32"/>
          <w:szCs w:val="32"/>
          <w:lang w:eastAsia="zh-CN" w:bidi="zh-CN"/>
        </w:rPr>
        <w:t>）依法可以不予立案的其他情形。本案中，被申请人依据现场检查时经营场所内未发现</w:t>
      </w:r>
      <w:r>
        <w:rPr>
          <w:rFonts w:hint="eastAsia" w:ascii="仿宋_GB2312" w:hAnsi="仿宋_GB2312" w:eastAsia="仿宋_GB2312" w:cs="仿宋_GB2312"/>
          <w:color w:val="auto"/>
          <w:sz w:val="32"/>
          <w:szCs w:val="32"/>
          <w:lang w:val="en-US" w:eastAsia="zh-CN" w:bidi="zh-CN"/>
        </w:rPr>
        <w:t>申请人举报的</w:t>
      </w:r>
      <w:r>
        <w:rPr>
          <w:rFonts w:hint="eastAsia" w:ascii="仿宋_GB2312" w:hAnsi="仿宋_GB2312" w:eastAsia="仿宋_GB2312" w:cs="仿宋_GB2312"/>
          <w:color w:val="auto"/>
          <w:sz w:val="32"/>
          <w:szCs w:val="32"/>
          <w:lang w:eastAsia="zh-CN" w:bidi="zh-CN"/>
        </w:rPr>
        <w:t>元气满满猫耳酥，</w:t>
      </w:r>
      <w:r>
        <w:rPr>
          <w:rFonts w:hint="eastAsia" w:ascii="仿宋_GB2312" w:hAnsi="仿宋_GB2312" w:eastAsia="仿宋_GB2312" w:cs="仿宋_GB2312"/>
          <w:color w:val="auto"/>
          <w:sz w:val="32"/>
          <w:szCs w:val="32"/>
          <w:lang w:val="en-US" w:eastAsia="zh-CN" w:bidi="zh-CN"/>
        </w:rPr>
        <w:t>案涉</w:t>
      </w:r>
      <w:r>
        <w:rPr>
          <w:rFonts w:hint="eastAsia" w:ascii="仿宋_GB2312" w:hAnsi="仿宋_GB2312" w:eastAsia="仿宋_GB2312" w:cs="仿宋_GB2312"/>
          <w:color w:val="auto"/>
          <w:sz w:val="32"/>
          <w:szCs w:val="32"/>
          <w:lang w:eastAsia="zh-CN" w:bidi="zh-CN"/>
        </w:rPr>
        <w:t>万隆超市</w:t>
      </w:r>
      <w:r>
        <w:rPr>
          <w:rFonts w:hint="eastAsia" w:ascii="仿宋_GB2312" w:hAnsi="仿宋_GB2312" w:eastAsia="仿宋_GB2312" w:cs="仿宋_GB2312"/>
          <w:color w:val="auto"/>
          <w:sz w:val="32"/>
          <w:szCs w:val="32"/>
          <w:lang w:val="en-US" w:eastAsia="zh-CN" w:bidi="zh-CN"/>
        </w:rPr>
        <w:t>否认曾销售过申请人提供照片的</w:t>
      </w:r>
      <w:r>
        <w:rPr>
          <w:rFonts w:hint="eastAsia" w:ascii="仿宋_GB2312" w:hAnsi="仿宋_GB2312" w:eastAsia="仿宋_GB2312" w:cs="仿宋_GB2312"/>
          <w:color w:val="auto"/>
          <w:sz w:val="32"/>
          <w:szCs w:val="32"/>
          <w:lang w:eastAsia="zh-CN" w:bidi="zh-CN"/>
        </w:rPr>
        <w:t>元气满满猫耳酥</w:t>
      </w:r>
      <w:r>
        <w:rPr>
          <w:rFonts w:hint="eastAsia" w:ascii="仿宋_GB2312" w:hAnsi="仿宋_GB2312" w:eastAsia="仿宋_GB2312" w:cs="仿宋_GB2312"/>
          <w:color w:val="auto"/>
          <w:sz w:val="32"/>
          <w:szCs w:val="32"/>
          <w:lang w:val="en-US" w:eastAsia="zh-CN" w:bidi="zh-CN"/>
        </w:rPr>
        <w:t>作出不予立案决定。</w:t>
      </w:r>
      <w:r>
        <w:rPr>
          <w:rFonts w:hint="eastAsia" w:ascii="仿宋_GB2312" w:hAnsi="仿宋_GB2312" w:eastAsia="仿宋_GB2312" w:cs="仿宋_GB2312"/>
          <w:color w:val="auto"/>
          <w:sz w:val="32"/>
          <w:szCs w:val="32"/>
          <w:lang w:eastAsia="zh-CN" w:bidi="zh-CN"/>
        </w:rPr>
        <w:t>该决定所依据的情形明显不属于《市场监督管理行政处罚程序规定》第二十条第一款规定的可以不予立案的法定情形，故被申请人</w:t>
      </w:r>
      <w:r>
        <w:rPr>
          <w:rFonts w:hint="eastAsia" w:ascii="仿宋_GB2312" w:hAnsi="仿宋_GB2312" w:eastAsia="仿宋_GB2312" w:cs="仿宋_GB2312"/>
          <w:color w:val="auto"/>
          <w:sz w:val="32"/>
          <w:szCs w:val="32"/>
          <w:lang w:val="en-US" w:eastAsia="zh-CN" w:bidi="zh-CN"/>
        </w:rPr>
        <w:t>依据该规定</w:t>
      </w:r>
      <w:r>
        <w:rPr>
          <w:rFonts w:hint="eastAsia" w:ascii="仿宋_GB2312" w:hAnsi="仿宋_GB2312" w:eastAsia="仿宋_GB2312" w:cs="仿宋_GB2312"/>
          <w:color w:val="auto"/>
          <w:sz w:val="32"/>
          <w:szCs w:val="32"/>
          <w:lang w:eastAsia="zh-CN" w:bidi="zh-CN"/>
        </w:rPr>
        <w:t>作出不予立案决定，</w:t>
      </w:r>
      <w:r>
        <w:rPr>
          <w:rFonts w:hint="eastAsia" w:ascii="仿宋_GB2312" w:hAnsi="仿宋_GB2312" w:eastAsia="仿宋_GB2312" w:cs="仿宋_GB2312"/>
          <w:color w:val="auto"/>
          <w:sz w:val="32"/>
          <w:szCs w:val="32"/>
          <w:lang w:val="en-US" w:eastAsia="zh-CN" w:bidi="zh-CN"/>
        </w:rPr>
        <w:t>适用法律错误</w:t>
      </w:r>
      <w:r>
        <w:rPr>
          <w:rFonts w:hint="eastAsia" w:ascii="仿宋_GB2312" w:hAnsi="仿宋_GB2312" w:eastAsia="仿宋_GB2312" w:cs="仿宋_GB2312"/>
          <w:color w:val="auto"/>
          <w:sz w:val="32"/>
          <w:szCs w:val="32"/>
          <w:lang w:eastAsia="zh-CN" w:bidi="zh-CN"/>
        </w:rPr>
        <w:t>。</w:t>
      </w:r>
    </w:p>
    <w:p w14:paraId="56D51231">
      <w:pPr>
        <w:spacing w:line="600" w:lineRule="exact"/>
        <w:ind w:firstLine="640" w:firstLineChars="200"/>
        <w:jc w:val="both"/>
        <w:rPr>
          <w:rFonts w:hint="eastAsia" w:ascii="仿宋_GB2312" w:hAnsi="仿宋_GB2312" w:eastAsia="仿宋_GB2312" w:cs="仿宋_GB2312"/>
          <w:color w:val="auto"/>
          <w:sz w:val="32"/>
          <w:szCs w:val="32"/>
          <w:lang w:val="en-US" w:eastAsia="zh-CN" w:bidi="zh-CN"/>
        </w:rPr>
      </w:pPr>
      <w:r>
        <w:rPr>
          <w:rFonts w:hint="eastAsia" w:ascii="仿宋_GB2312" w:hAnsi="仿宋_GB2312" w:eastAsia="仿宋_GB2312" w:cs="仿宋_GB2312"/>
          <w:color w:val="auto"/>
          <w:sz w:val="32"/>
          <w:szCs w:val="32"/>
          <w:lang w:val="en-US" w:eastAsia="zh-CN" w:bidi="zh-CN"/>
        </w:rPr>
        <w:t>综上，根据《中华人民共和国复议法》第二十八条第一款第（三）项之规定和《中华人民共和国行政复议法实施条例》第四十五条之规定，本机关决定如下：</w:t>
      </w:r>
    </w:p>
    <w:p w14:paraId="662E6D7F">
      <w:pPr>
        <w:spacing w:line="600" w:lineRule="exact"/>
        <w:ind w:firstLine="640" w:firstLineChars="200"/>
        <w:jc w:val="both"/>
        <w:rPr>
          <w:rFonts w:hint="eastAsia" w:ascii="仿宋_GB2312" w:hAnsi="仿宋_GB2312" w:eastAsia="仿宋_GB2312" w:cs="仿宋_GB2312"/>
          <w:color w:val="auto"/>
          <w:sz w:val="32"/>
          <w:szCs w:val="32"/>
          <w:lang w:val="en-US" w:eastAsia="zh-CN" w:bidi="zh-CN"/>
        </w:rPr>
      </w:pPr>
      <w:r>
        <w:rPr>
          <w:rFonts w:hint="eastAsia" w:ascii="仿宋_GB2312" w:hAnsi="仿宋_GB2312" w:eastAsia="仿宋_GB2312" w:cs="仿宋_GB2312"/>
          <w:color w:val="auto"/>
          <w:sz w:val="32"/>
          <w:szCs w:val="32"/>
          <w:lang w:val="en-US" w:eastAsia="zh-CN" w:bidi="zh-CN"/>
        </w:rPr>
        <w:t>一、撤销洛阳市涧西区市场监督管理局</w:t>
      </w:r>
      <w:r>
        <w:rPr>
          <w:rFonts w:hint="eastAsia" w:eastAsia="仿宋_GB2312"/>
          <w:sz w:val="32"/>
          <w:szCs w:val="32"/>
          <w:lang w:eastAsia="zh-CN" w:bidi="zh-CN"/>
        </w:rPr>
        <w:t>于2023年2月20日在全国12315平台对编号</w:t>
      </w:r>
      <w:r>
        <w:rPr>
          <w:rFonts w:hint="eastAsia" w:eastAsia="仿宋_GB2312"/>
          <w:sz w:val="32"/>
          <w:szCs w:val="32"/>
          <w:lang w:val="en-US" w:eastAsia="zh-CN" w:bidi="zh-CN"/>
        </w:rPr>
        <w:t>为</w:t>
      </w:r>
      <w:r>
        <w:rPr>
          <w:rFonts w:hint="eastAsia" w:eastAsia="仿宋_GB2312"/>
          <w:sz w:val="32"/>
          <w:szCs w:val="32"/>
          <w:lang w:eastAsia="zh-CN" w:bidi="zh-CN"/>
        </w:rPr>
        <w:t>1410305002023021573438897</w:t>
      </w:r>
      <w:r>
        <w:rPr>
          <w:rFonts w:hint="eastAsia" w:eastAsia="仿宋_GB2312"/>
          <w:sz w:val="32"/>
          <w:szCs w:val="32"/>
          <w:lang w:val="en-US" w:eastAsia="zh-CN" w:bidi="zh-CN"/>
        </w:rPr>
        <w:t>的</w:t>
      </w:r>
      <w:r>
        <w:rPr>
          <w:rFonts w:hint="eastAsia" w:eastAsia="仿宋_GB2312"/>
          <w:sz w:val="32"/>
          <w:szCs w:val="32"/>
          <w:lang w:eastAsia="zh-CN" w:bidi="zh-CN"/>
        </w:rPr>
        <w:t>举报作出不立案的</w:t>
      </w:r>
      <w:r>
        <w:rPr>
          <w:rFonts w:hint="eastAsia" w:eastAsia="仿宋_GB2312"/>
          <w:sz w:val="32"/>
          <w:szCs w:val="32"/>
          <w:lang w:val="en-US" w:eastAsia="zh-CN" w:bidi="zh-CN"/>
        </w:rPr>
        <w:t>决定</w:t>
      </w:r>
      <w:r>
        <w:rPr>
          <w:rFonts w:hint="eastAsia" w:ascii="仿宋_GB2312" w:hAnsi="仿宋_GB2312" w:eastAsia="仿宋_GB2312" w:cs="仿宋_GB2312"/>
          <w:color w:val="auto"/>
          <w:sz w:val="32"/>
          <w:szCs w:val="32"/>
          <w:lang w:val="en-US" w:eastAsia="zh-CN" w:bidi="zh-CN"/>
        </w:rPr>
        <w:t>；</w:t>
      </w:r>
    </w:p>
    <w:p w14:paraId="065CD342">
      <w:pPr>
        <w:spacing w:line="600" w:lineRule="exact"/>
        <w:ind w:firstLine="640" w:firstLineChars="200"/>
        <w:jc w:val="both"/>
        <w:rPr>
          <w:rFonts w:hint="eastAsia" w:eastAsia="仿宋_GB2312"/>
          <w:sz w:val="32"/>
          <w:szCs w:val="32"/>
          <w:lang w:eastAsia="zh-CN" w:bidi="zh-CN"/>
        </w:rPr>
      </w:pPr>
      <w:r>
        <w:rPr>
          <w:rFonts w:hint="eastAsia" w:ascii="仿宋_GB2312" w:hAnsi="仿宋_GB2312" w:eastAsia="仿宋_GB2312" w:cs="仿宋_GB2312"/>
          <w:color w:val="auto"/>
          <w:sz w:val="32"/>
          <w:szCs w:val="32"/>
          <w:lang w:val="en-US" w:eastAsia="zh-CN" w:bidi="zh-CN"/>
        </w:rPr>
        <w:t>二、责令洛阳市涧西区市场监督管理局对胡巧亚在全国12315平台编号为</w:t>
      </w:r>
      <w:r>
        <w:rPr>
          <w:rFonts w:hint="eastAsia" w:eastAsia="仿宋_GB2312"/>
          <w:sz w:val="32"/>
          <w:szCs w:val="32"/>
          <w:lang w:eastAsia="zh-CN" w:bidi="zh-CN"/>
        </w:rPr>
        <w:t>1410305002023021573438897</w:t>
      </w:r>
      <w:r>
        <w:rPr>
          <w:rFonts w:hint="eastAsia" w:eastAsia="仿宋_GB2312"/>
          <w:sz w:val="32"/>
          <w:szCs w:val="32"/>
          <w:lang w:val="en-US" w:eastAsia="zh-CN" w:bidi="zh-CN"/>
        </w:rPr>
        <w:t>的</w:t>
      </w:r>
      <w:r>
        <w:rPr>
          <w:rFonts w:hint="eastAsia" w:eastAsia="仿宋_GB2312"/>
          <w:sz w:val="32"/>
          <w:szCs w:val="32"/>
          <w:lang w:eastAsia="zh-CN" w:bidi="zh-CN"/>
        </w:rPr>
        <w:t>举报</w:t>
      </w:r>
      <w:r>
        <w:rPr>
          <w:rFonts w:hint="eastAsia" w:ascii="仿宋_GB2312" w:hAnsi="仿宋_GB2312" w:eastAsia="仿宋_GB2312" w:cs="仿宋_GB2312"/>
          <w:color w:val="auto"/>
          <w:sz w:val="32"/>
          <w:szCs w:val="32"/>
          <w:lang w:val="en-US" w:eastAsia="zh-CN" w:bidi="zh-CN"/>
        </w:rPr>
        <w:t>重新作出处理。</w:t>
      </w:r>
    </w:p>
    <w:p w14:paraId="603D7296">
      <w:pPr>
        <w:wordWrap w:val="0"/>
        <w:spacing w:line="600" w:lineRule="exact"/>
        <w:ind w:firstLine="640" w:firstLineChars="200"/>
        <w:rPr>
          <w:rFonts w:eastAsia="仿宋_GB2312"/>
          <w:sz w:val="32"/>
          <w:szCs w:val="32"/>
          <w:lang w:eastAsia="zh-CN" w:bidi="zh-CN"/>
        </w:rPr>
      </w:pPr>
      <w:r>
        <w:rPr>
          <w:rFonts w:hint="eastAsia" w:eastAsia="仿宋_GB2312"/>
          <w:sz w:val="32"/>
          <w:szCs w:val="32"/>
          <w:lang w:eastAsia="zh-CN" w:bidi="zh-CN"/>
        </w:rPr>
        <w:t>如对本行政复议决定不服的，可以依照《中华人民共和国行政诉讼法》第四十五条之规定，在收到</w:t>
      </w:r>
      <w:r>
        <w:fldChar w:fldCharType="begin"/>
      </w:r>
      <w:r>
        <w:instrText xml:space="preserve"> HYPERLINK "https://baike.sogou.com/lemma/ShowInnerLink.htm?lemmaId=176431922&amp;ss_c=ssc.citiao.link" \t "https://baike.sogou.com/_blank" </w:instrText>
      </w:r>
      <w:r>
        <w:fldChar w:fldCharType="separate"/>
      </w:r>
      <w:r>
        <w:rPr>
          <w:rFonts w:hint="eastAsia" w:eastAsia="仿宋_GB2312"/>
          <w:sz w:val="32"/>
          <w:szCs w:val="32"/>
          <w:lang w:eastAsia="zh-CN" w:bidi="zh-CN"/>
        </w:rPr>
        <w:t>复议决定书</w:t>
      </w:r>
      <w:r>
        <w:rPr>
          <w:rFonts w:hint="eastAsia" w:eastAsia="仿宋_GB2312"/>
          <w:sz w:val="32"/>
          <w:szCs w:val="32"/>
          <w:lang w:eastAsia="zh-CN" w:bidi="zh-CN"/>
        </w:rPr>
        <w:fldChar w:fldCharType="end"/>
      </w:r>
      <w:r>
        <w:rPr>
          <w:rFonts w:hint="eastAsia" w:eastAsia="仿宋_GB2312"/>
          <w:sz w:val="32"/>
          <w:szCs w:val="32"/>
          <w:lang w:eastAsia="zh-CN" w:bidi="zh-CN"/>
        </w:rPr>
        <w:t>之日起十五日内向有管辖权的人民法院提起诉讼。</w:t>
      </w:r>
    </w:p>
    <w:p w14:paraId="01399797">
      <w:pPr>
        <w:wordWrap w:val="0"/>
        <w:spacing w:line="600" w:lineRule="exact"/>
        <w:ind w:firstLine="640" w:firstLineChars="200"/>
        <w:rPr>
          <w:rFonts w:eastAsia="仿宋_GB2312"/>
          <w:sz w:val="32"/>
          <w:szCs w:val="32"/>
          <w:lang w:eastAsia="zh-CN" w:bidi="zh-CN"/>
        </w:rPr>
      </w:pPr>
    </w:p>
    <w:p w14:paraId="15717849">
      <w:pPr>
        <w:wordWrap w:val="0"/>
        <w:spacing w:line="600" w:lineRule="exact"/>
        <w:ind w:firstLine="640" w:firstLineChars="200"/>
        <w:rPr>
          <w:rFonts w:eastAsia="仿宋_GB2312"/>
          <w:sz w:val="32"/>
          <w:szCs w:val="32"/>
          <w:lang w:eastAsia="zh-CN" w:bidi="zh-CN"/>
        </w:rPr>
      </w:pPr>
    </w:p>
    <w:p w14:paraId="6642F8D9">
      <w:pPr>
        <w:wordWrap w:val="0"/>
        <w:spacing w:line="600" w:lineRule="exact"/>
        <w:ind w:firstLine="640" w:firstLineChars="200"/>
        <w:rPr>
          <w:rFonts w:eastAsia="仿宋_GB2312"/>
          <w:sz w:val="32"/>
          <w:szCs w:val="32"/>
          <w:lang w:eastAsia="zh-CN" w:bidi="zh-CN"/>
        </w:rPr>
      </w:pPr>
    </w:p>
    <w:p w14:paraId="6521D8D6">
      <w:pPr>
        <w:wordWrap w:val="0"/>
        <w:spacing w:line="600" w:lineRule="exact"/>
        <w:ind w:firstLine="640" w:firstLineChars="200"/>
        <w:jc w:val="center"/>
        <w:rPr>
          <w:rFonts w:eastAsia="仿宋_GB2312"/>
          <w:sz w:val="32"/>
          <w:szCs w:val="32"/>
          <w:lang w:eastAsia="zh-CN" w:bidi="zh-CN"/>
        </w:rPr>
      </w:pPr>
      <w:r>
        <w:rPr>
          <w:rFonts w:hint="eastAsia" w:eastAsia="仿宋_GB2312"/>
          <w:sz w:val="32"/>
          <w:szCs w:val="32"/>
          <w:lang w:eastAsia="zh-CN" w:bidi="zh-CN"/>
        </w:rPr>
        <w:t xml:space="preserve">                                              </w:t>
      </w:r>
      <w:r>
        <w:rPr>
          <w:rFonts w:hint="eastAsia" w:eastAsia="仿宋_GB2312"/>
          <w:sz w:val="32"/>
          <w:szCs w:val="32"/>
          <w:lang w:val="en-US" w:eastAsia="zh-CN" w:bidi="zh-CN"/>
        </w:rPr>
        <w:t xml:space="preserve">             </w:t>
      </w:r>
      <w:r>
        <w:rPr>
          <w:rFonts w:hint="eastAsia" w:eastAsia="仿宋_GB2312"/>
          <w:sz w:val="32"/>
          <w:szCs w:val="32"/>
          <w:lang w:eastAsia="zh-CN" w:bidi="zh-CN"/>
        </w:rPr>
        <w:t xml:space="preserve">   2023年</w:t>
      </w:r>
      <w:r>
        <w:rPr>
          <w:rFonts w:hint="eastAsia" w:eastAsia="仿宋_GB2312"/>
          <w:sz w:val="32"/>
          <w:szCs w:val="32"/>
          <w:lang w:val="en-US" w:eastAsia="zh-CN" w:bidi="zh-CN"/>
        </w:rPr>
        <w:t>6</w:t>
      </w:r>
      <w:r>
        <w:rPr>
          <w:rFonts w:hint="eastAsia" w:eastAsia="仿宋_GB2312"/>
          <w:sz w:val="32"/>
          <w:szCs w:val="32"/>
          <w:lang w:eastAsia="zh-CN" w:bidi="zh-CN"/>
        </w:rPr>
        <w:t>月</w:t>
      </w:r>
      <w:r>
        <w:rPr>
          <w:rFonts w:hint="eastAsia" w:eastAsia="仿宋_GB2312"/>
          <w:sz w:val="32"/>
          <w:szCs w:val="32"/>
          <w:lang w:val="en-US" w:eastAsia="zh-CN" w:bidi="zh-CN"/>
        </w:rPr>
        <w:t>8</w:t>
      </w:r>
      <w:r>
        <w:rPr>
          <w:rFonts w:hint="eastAsia" w:eastAsia="仿宋_GB2312"/>
          <w:sz w:val="32"/>
          <w:szCs w:val="32"/>
          <w:lang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AB17C">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12065" b="14605"/>
              <wp:wrapNone/>
              <wp:docPr id="3"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14:paraId="204A6A8D">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rvABY0QAAAAIBAAAPAAAAAAAAAAEAIAAAACIAAABkcnMvZG93bnJldi54bWxQSwECFAAU&#10;AAAACACHTuJAMLBsiDECAABSBAAADgAAAAAAAAABACAAAAAgAQAAZHJzL2Uyb0RvYy54bWxQSwUG&#10;AAAAAAYABgBZAQAAwwUAAAAA&#10;">
              <v:fill on="f" focussize="0,0"/>
              <v:stroke on="f" weight="0.5pt"/>
              <v:imagedata o:title=""/>
              <o:lock v:ext="edit" aspectratio="f"/>
              <v:textbox inset="0mm,0mm,0mm,0mm" style="mso-fit-shape-to-text:t;">
                <w:txbxContent>
                  <w:p w14:paraId="204A6A8D">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w:t>
                    </w:r>
                    <w:r>
                      <w:rPr>
                        <w:rFonts w:hint="eastAsia"/>
                        <w:lang w:eastAsia="zh-CN"/>
                      </w:rPr>
                      <w:fldChar w:fldCharType="end"/>
                    </w:r>
                  </w:p>
                </w:txbxContent>
              </v:textbox>
            </v:shape>
          </w:pict>
        </mc:Fallback>
      </mc:AlternateContent>
    </w: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 name="文本框 4"/>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a:effectLst/>
                    </wps:spPr>
                    <wps:txbx>
                      <w:txbxContent>
                        <w:p w14:paraId="4B7929C5">
                          <w:pPr>
                            <w:pStyle w:val="5"/>
                            <w:rPr>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3GF10gAAAAMBAAAPAAAAAAAAAAEAIAAAACIAAABkcnMvZG93bnJldi54bWxQ&#10;SwECFAAUAAAACACHTuJAsnaWyzYCAABhBAAADgAAAAAAAAABACAAAAAhAQAAZHJzL2Uyb0RvYy54&#10;bWxQSwUGAAAAAAYABgBZAQAAyQUAAAAA&#10;">
              <v:fill on="f" focussize="0,0"/>
              <v:stroke on="f" weight="0.5pt"/>
              <v:imagedata o:title=""/>
              <o:lock v:ext="edit" aspectratio="f"/>
              <v:textbox inset="0mm,0mm,0mm,0mm" style="mso-fit-shape-to-text:t;">
                <w:txbxContent>
                  <w:p w14:paraId="4B7929C5">
                    <w:pPr>
                      <w:pStyle w:val="5"/>
                      <w:rPr>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81"/>
  <w:drawingGridVerticalSpacing w:val="181"/>
  <w:noPunctuationKerning w:val="1"/>
  <w:characterSpacingControl w:val="compressPunctuation"/>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zODhjMjk5Y2MzZWE1MmI3N2EzMTRlYmExNDU0NTU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1F5D77"/>
    <w:rsid w:val="00210FA1"/>
    <w:rsid w:val="002209A8"/>
    <w:rsid w:val="00244051"/>
    <w:rsid w:val="002454D7"/>
    <w:rsid w:val="00270C02"/>
    <w:rsid w:val="00295BDA"/>
    <w:rsid w:val="002A6673"/>
    <w:rsid w:val="002C026A"/>
    <w:rsid w:val="002E7FBE"/>
    <w:rsid w:val="00303F5D"/>
    <w:rsid w:val="0031380D"/>
    <w:rsid w:val="00322FBA"/>
    <w:rsid w:val="0032722A"/>
    <w:rsid w:val="00362B7F"/>
    <w:rsid w:val="003661A4"/>
    <w:rsid w:val="0038090B"/>
    <w:rsid w:val="0038232F"/>
    <w:rsid w:val="0039058F"/>
    <w:rsid w:val="00396C97"/>
    <w:rsid w:val="003B2F45"/>
    <w:rsid w:val="003B512A"/>
    <w:rsid w:val="003C23C6"/>
    <w:rsid w:val="003C5599"/>
    <w:rsid w:val="003E4D49"/>
    <w:rsid w:val="003E5979"/>
    <w:rsid w:val="0040670F"/>
    <w:rsid w:val="00432DEC"/>
    <w:rsid w:val="00433B25"/>
    <w:rsid w:val="004355CC"/>
    <w:rsid w:val="004472BA"/>
    <w:rsid w:val="004531F3"/>
    <w:rsid w:val="00477D5B"/>
    <w:rsid w:val="004921A1"/>
    <w:rsid w:val="004A19F2"/>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24411"/>
    <w:rsid w:val="00B340A4"/>
    <w:rsid w:val="00B452A9"/>
    <w:rsid w:val="00B50558"/>
    <w:rsid w:val="00B85F08"/>
    <w:rsid w:val="00B95CDD"/>
    <w:rsid w:val="00BB18CD"/>
    <w:rsid w:val="00BB54FD"/>
    <w:rsid w:val="00BB77F6"/>
    <w:rsid w:val="00BC0020"/>
    <w:rsid w:val="00BE2EA8"/>
    <w:rsid w:val="00C11787"/>
    <w:rsid w:val="00C132B4"/>
    <w:rsid w:val="00C24C8C"/>
    <w:rsid w:val="00C43FF7"/>
    <w:rsid w:val="00C566A0"/>
    <w:rsid w:val="00C62B73"/>
    <w:rsid w:val="00C84DE8"/>
    <w:rsid w:val="00C909F8"/>
    <w:rsid w:val="00C90ABD"/>
    <w:rsid w:val="00CA1D86"/>
    <w:rsid w:val="00CB5B99"/>
    <w:rsid w:val="00CC56AF"/>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36732D"/>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AF7E3A"/>
    <w:rsid w:val="07B43A88"/>
    <w:rsid w:val="07BC4304"/>
    <w:rsid w:val="07BE007D"/>
    <w:rsid w:val="07C0277C"/>
    <w:rsid w:val="07D01195"/>
    <w:rsid w:val="07E415C3"/>
    <w:rsid w:val="07E6554F"/>
    <w:rsid w:val="07E906E9"/>
    <w:rsid w:val="08053DD6"/>
    <w:rsid w:val="080D1885"/>
    <w:rsid w:val="08283DAF"/>
    <w:rsid w:val="08314944"/>
    <w:rsid w:val="0832338F"/>
    <w:rsid w:val="086F5807"/>
    <w:rsid w:val="08807D37"/>
    <w:rsid w:val="0889097E"/>
    <w:rsid w:val="088B3158"/>
    <w:rsid w:val="089B1BA8"/>
    <w:rsid w:val="08AA780A"/>
    <w:rsid w:val="08B547C2"/>
    <w:rsid w:val="08BC3E27"/>
    <w:rsid w:val="08C74323"/>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295BA6"/>
    <w:rsid w:val="0C36538A"/>
    <w:rsid w:val="0C473E4B"/>
    <w:rsid w:val="0C682908"/>
    <w:rsid w:val="0C685400"/>
    <w:rsid w:val="0C760D70"/>
    <w:rsid w:val="0C8C652B"/>
    <w:rsid w:val="0C992E66"/>
    <w:rsid w:val="0CBF520F"/>
    <w:rsid w:val="0CD151FD"/>
    <w:rsid w:val="0CDB70B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EE75788"/>
    <w:rsid w:val="0EFB65DB"/>
    <w:rsid w:val="0F1C424B"/>
    <w:rsid w:val="0F1F668C"/>
    <w:rsid w:val="0FA73210"/>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1175F"/>
    <w:rsid w:val="11B36635"/>
    <w:rsid w:val="11B8545D"/>
    <w:rsid w:val="11C26CFE"/>
    <w:rsid w:val="11C41B55"/>
    <w:rsid w:val="11CC7EE0"/>
    <w:rsid w:val="11D010D8"/>
    <w:rsid w:val="11D52871"/>
    <w:rsid w:val="11E00C25"/>
    <w:rsid w:val="1210466B"/>
    <w:rsid w:val="12105091"/>
    <w:rsid w:val="12130FC5"/>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F03ACF"/>
    <w:rsid w:val="21F75A16"/>
    <w:rsid w:val="21FC1A76"/>
    <w:rsid w:val="22617B2B"/>
    <w:rsid w:val="22776068"/>
    <w:rsid w:val="229B45A2"/>
    <w:rsid w:val="22C14C23"/>
    <w:rsid w:val="230A3274"/>
    <w:rsid w:val="231B417D"/>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C74B41"/>
    <w:rsid w:val="25227A45"/>
    <w:rsid w:val="252E419C"/>
    <w:rsid w:val="255109A6"/>
    <w:rsid w:val="2598432E"/>
    <w:rsid w:val="25B143D5"/>
    <w:rsid w:val="25CC3071"/>
    <w:rsid w:val="25DE2A56"/>
    <w:rsid w:val="262B1649"/>
    <w:rsid w:val="262D42D7"/>
    <w:rsid w:val="26302CBD"/>
    <w:rsid w:val="263F1A49"/>
    <w:rsid w:val="264439EB"/>
    <w:rsid w:val="2645785A"/>
    <w:rsid w:val="26835836"/>
    <w:rsid w:val="26A87BC2"/>
    <w:rsid w:val="26AB7BB1"/>
    <w:rsid w:val="270C62B7"/>
    <w:rsid w:val="271408E2"/>
    <w:rsid w:val="27320FB7"/>
    <w:rsid w:val="274B15D4"/>
    <w:rsid w:val="27696860"/>
    <w:rsid w:val="27AE736E"/>
    <w:rsid w:val="27B412D7"/>
    <w:rsid w:val="27B73FE8"/>
    <w:rsid w:val="27CA36D3"/>
    <w:rsid w:val="27CB6172"/>
    <w:rsid w:val="27D427E1"/>
    <w:rsid w:val="27DE64A2"/>
    <w:rsid w:val="27E15393"/>
    <w:rsid w:val="27FF7BCA"/>
    <w:rsid w:val="281A6F41"/>
    <w:rsid w:val="283F3AE2"/>
    <w:rsid w:val="285F13B6"/>
    <w:rsid w:val="28833A63"/>
    <w:rsid w:val="28B135BA"/>
    <w:rsid w:val="28D77D94"/>
    <w:rsid w:val="28D91EDF"/>
    <w:rsid w:val="28DE01C5"/>
    <w:rsid w:val="28EE5C19"/>
    <w:rsid w:val="290C416A"/>
    <w:rsid w:val="293A5934"/>
    <w:rsid w:val="297F1CCB"/>
    <w:rsid w:val="29802F8C"/>
    <w:rsid w:val="29E67C57"/>
    <w:rsid w:val="2A0A14EE"/>
    <w:rsid w:val="2A1116B8"/>
    <w:rsid w:val="2A336250"/>
    <w:rsid w:val="2A5727BF"/>
    <w:rsid w:val="2A5F4E2C"/>
    <w:rsid w:val="2A61691A"/>
    <w:rsid w:val="2AA879E6"/>
    <w:rsid w:val="2AB204CC"/>
    <w:rsid w:val="2AB86FE5"/>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46739"/>
    <w:rsid w:val="30F94D1C"/>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BF23BF"/>
    <w:rsid w:val="33E257BC"/>
    <w:rsid w:val="33FC5905"/>
    <w:rsid w:val="342552AA"/>
    <w:rsid w:val="342F4038"/>
    <w:rsid w:val="34736FB7"/>
    <w:rsid w:val="349625DE"/>
    <w:rsid w:val="349E775A"/>
    <w:rsid w:val="34C54816"/>
    <w:rsid w:val="34E95E89"/>
    <w:rsid w:val="35940B76"/>
    <w:rsid w:val="35BC388E"/>
    <w:rsid w:val="363E1365"/>
    <w:rsid w:val="369F11F1"/>
    <w:rsid w:val="36A1388B"/>
    <w:rsid w:val="36AB0276"/>
    <w:rsid w:val="36B973D0"/>
    <w:rsid w:val="36D84961"/>
    <w:rsid w:val="36D90492"/>
    <w:rsid w:val="37080701"/>
    <w:rsid w:val="37265173"/>
    <w:rsid w:val="37305FF2"/>
    <w:rsid w:val="37424613"/>
    <w:rsid w:val="374B74AC"/>
    <w:rsid w:val="374F3F90"/>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22196A"/>
    <w:rsid w:val="39340362"/>
    <w:rsid w:val="393E4A4E"/>
    <w:rsid w:val="3943581D"/>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E97E53"/>
    <w:rsid w:val="3C116649"/>
    <w:rsid w:val="3C2E79B2"/>
    <w:rsid w:val="3C364AB5"/>
    <w:rsid w:val="3C4D5E0A"/>
    <w:rsid w:val="3C566BCF"/>
    <w:rsid w:val="3C6F2527"/>
    <w:rsid w:val="3C867CDC"/>
    <w:rsid w:val="3CC54F2F"/>
    <w:rsid w:val="3CDA1519"/>
    <w:rsid w:val="3D3F2F99"/>
    <w:rsid w:val="3D4369CD"/>
    <w:rsid w:val="3D4D5C74"/>
    <w:rsid w:val="3D835859"/>
    <w:rsid w:val="3D8F0AF3"/>
    <w:rsid w:val="3D98206F"/>
    <w:rsid w:val="3DA44284"/>
    <w:rsid w:val="3DCD0CD3"/>
    <w:rsid w:val="3DD46DE5"/>
    <w:rsid w:val="3DDD5350"/>
    <w:rsid w:val="3E06368A"/>
    <w:rsid w:val="3E070961"/>
    <w:rsid w:val="3E0742EC"/>
    <w:rsid w:val="3E1C107E"/>
    <w:rsid w:val="3E22585B"/>
    <w:rsid w:val="3E5B5C5B"/>
    <w:rsid w:val="3E90147E"/>
    <w:rsid w:val="3EB256E2"/>
    <w:rsid w:val="3EB52E14"/>
    <w:rsid w:val="3EC77641"/>
    <w:rsid w:val="3EDE7364"/>
    <w:rsid w:val="3F151DE7"/>
    <w:rsid w:val="3F175389"/>
    <w:rsid w:val="3F211167"/>
    <w:rsid w:val="3F3F0CCD"/>
    <w:rsid w:val="3F443CD8"/>
    <w:rsid w:val="3F486B62"/>
    <w:rsid w:val="3F7512A9"/>
    <w:rsid w:val="3F88161A"/>
    <w:rsid w:val="3F8A2931"/>
    <w:rsid w:val="3FAC205E"/>
    <w:rsid w:val="3FF77AF1"/>
    <w:rsid w:val="404E10E9"/>
    <w:rsid w:val="40607BB0"/>
    <w:rsid w:val="40912CED"/>
    <w:rsid w:val="40991846"/>
    <w:rsid w:val="40AF2161"/>
    <w:rsid w:val="40C256E4"/>
    <w:rsid w:val="40CC48C0"/>
    <w:rsid w:val="40CC73C7"/>
    <w:rsid w:val="40D616EC"/>
    <w:rsid w:val="40DA5935"/>
    <w:rsid w:val="40E73ACC"/>
    <w:rsid w:val="41182677"/>
    <w:rsid w:val="41495C81"/>
    <w:rsid w:val="415D5C35"/>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935C55"/>
    <w:rsid w:val="469B311B"/>
    <w:rsid w:val="46A17350"/>
    <w:rsid w:val="46AE1B25"/>
    <w:rsid w:val="46D6118C"/>
    <w:rsid w:val="46F32466"/>
    <w:rsid w:val="46FD1C97"/>
    <w:rsid w:val="472E0912"/>
    <w:rsid w:val="4757783E"/>
    <w:rsid w:val="4812080C"/>
    <w:rsid w:val="481C1F8B"/>
    <w:rsid w:val="482B374C"/>
    <w:rsid w:val="4844044D"/>
    <w:rsid w:val="487674E4"/>
    <w:rsid w:val="48795E9F"/>
    <w:rsid w:val="48A438A1"/>
    <w:rsid w:val="48AD2542"/>
    <w:rsid w:val="48C04D22"/>
    <w:rsid w:val="48FB50E2"/>
    <w:rsid w:val="48FF1D8C"/>
    <w:rsid w:val="49225530"/>
    <w:rsid w:val="492B3403"/>
    <w:rsid w:val="49337137"/>
    <w:rsid w:val="493571A2"/>
    <w:rsid w:val="49463453"/>
    <w:rsid w:val="494C54C8"/>
    <w:rsid w:val="49645D0C"/>
    <w:rsid w:val="499C556A"/>
    <w:rsid w:val="499F6657"/>
    <w:rsid w:val="49A51782"/>
    <w:rsid w:val="49BE0DF0"/>
    <w:rsid w:val="49CA074B"/>
    <w:rsid w:val="49D722FD"/>
    <w:rsid w:val="49E1317B"/>
    <w:rsid w:val="49F97C42"/>
    <w:rsid w:val="4A0F0277"/>
    <w:rsid w:val="4A116BE9"/>
    <w:rsid w:val="4A246183"/>
    <w:rsid w:val="4A4D2B9F"/>
    <w:rsid w:val="4AA523FB"/>
    <w:rsid w:val="4AA733E0"/>
    <w:rsid w:val="4ACC7334"/>
    <w:rsid w:val="4AE1379A"/>
    <w:rsid w:val="4B45740F"/>
    <w:rsid w:val="4B4F1AF5"/>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103F3D"/>
    <w:rsid w:val="4D3637DE"/>
    <w:rsid w:val="4D394544"/>
    <w:rsid w:val="4D512778"/>
    <w:rsid w:val="4D574BFA"/>
    <w:rsid w:val="4D7610B8"/>
    <w:rsid w:val="4D8C1A51"/>
    <w:rsid w:val="4D8E48DB"/>
    <w:rsid w:val="4DA326B2"/>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554EC2"/>
    <w:rsid w:val="527B5B5D"/>
    <w:rsid w:val="52912775"/>
    <w:rsid w:val="52B75D23"/>
    <w:rsid w:val="52E7493E"/>
    <w:rsid w:val="52F9798A"/>
    <w:rsid w:val="530333EA"/>
    <w:rsid w:val="530C3570"/>
    <w:rsid w:val="534D5696"/>
    <w:rsid w:val="53611A79"/>
    <w:rsid w:val="5371723B"/>
    <w:rsid w:val="53A46227"/>
    <w:rsid w:val="53AB0AF6"/>
    <w:rsid w:val="53B05906"/>
    <w:rsid w:val="53B34634"/>
    <w:rsid w:val="53C048A2"/>
    <w:rsid w:val="53D64DD1"/>
    <w:rsid w:val="54131A32"/>
    <w:rsid w:val="54152E1A"/>
    <w:rsid w:val="541E5ACA"/>
    <w:rsid w:val="54381FC2"/>
    <w:rsid w:val="543B6146"/>
    <w:rsid w:val="544A55C5"/>
    <w:rsid w:val="545804DE"/>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090E"/>
    <w:rsid w:val="56315113"/>
    <w:rsid w:val="5633019E"/>
    <w:rsid w:val="5658797B"/>
    <w:rsid w:val="56B0316C"/>
    <w:rsid w:val="56C957ED"/>
    <w:rsid w:val="56DF0D03"/>
    <w:rsid w:val="56E90524"/>
    <w:rsid w:val="56FA762A"/>
    <w:rsid w:val="57041503"/>
    <w:rsid w:val="57342B3C"/>
    <w:rsid w:val="57402E46"/>
    <w:rsid w:val="575E1853"/>
    <w:rsid w:val="57703299"/>
    <w:rsid w:val="577D7A68"/>
    <w:rsid w:val="57873C34"/>
    <w:rsid w:val="57B43DD7"/>
    <w:rsid w:val="57EF2E9E"/>
    <w:rsid w:val="58171478"/>
    <w:rsid w:val="58221BCD"/>
    <w:rsid w:val="58412CBA"/>
    <w:rsid w:val="585A5BF2"/>
    <w:rsid w:val="58653823"/>
    <w:rsid w:val="58711EEE"/>
    <w:rsid w:val="58774380"/>
    <w:rsid w:val="588B21A0"/>
    <w:rsid w:val="588B77B3"/>
    <w:rsid w:val="589F2E8A"/>
    <w:rsid w:val="58A91308"/>
    <w:rsid w:val="58B15485"/>
    <w:rsid w:val="58B209CD"/>
    <w:rsid w:val="58C20A82"/>
    <w:rsid w:val="58CC1E55"/>
    <w:rsid w:val="58DF2F7C"/>
    <w:rsid w:val="58F23E8A"/>
    <w:rsid w:val="58F656A7"/>
    <w:rsid w:val="5912440A"/>
    <w:rsid w:val="592216C1"/>
    <w:rsid w:val="593C03CE"/>
    <w:rsid w:val="59405715"/>
    <w:rsid w:val="595C230D"/>
    <w:rsid w:val="59790359"/>
    <w:rsid w:val="598173CA"/>
    <w:rsid w:val="5984293B"/>
    <w:rsid w:val="59A5561B"/>
    <w:rsid w:val="59A87812"/>
    <w:rsid w:val="59DA6312"/>
    <w:rsid w:val="59E22D24"/>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E907DE"/>
    <w:rsid w:val="5CF2007D"/>
    <w:rsid w:val="5D221BED"/>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01AAE"/>
    <w:rsid w:val="62D52444"/>
    <w:rsid w:val="62F11B5C"/>
    <w:rsid w:val="62F540C3"/>
    <w:rsid w:val="62FE4830"/>
    <w:rsid w:val="637E4CE9"/>
    <w:rsid w:val="63907D2B"/>
    <w:rsid w:val="63BD6E9C"/>
    <w:rsid w:val="63CB2A7A"/>
    <w:rsid w:val="63D0551C"/>
    <w:rsid w:val="63E9223E"/>
    <w:rsid w:val="63EC07CA"/>
    <w:rsid w:val="641F3068"/>
    <w:rsid w:val="64243E78"/>
    <w:rsid w:val="64283734"/>
    <w:rsid w:val="642C12A5"/>
    <w:rsid w:val="64432611"/>
    <w:rsid w:val="646529EB"/>
    <w:rsid w:val="646C5620"/>
    <w:rsid w:val="64736E63"/>
    <w:rsid w:val="64763DE2"/>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7187C75"/>
    <w:rsid w:val="671D7374"/>
    <w:rsid w:val="67607A44"/>
    <w:rsid w:val="678032FB"/>
    <w:rsid w:val="6781756A"/>
    <w:rsid w:val="67850CCA"/>
    <w:rsid w:val="679413D5"/>
    <w:rsid w:val="67B74BB5"/>
    <w:rsid w:val="67BA1FCE"/>
    <w:rsid w:val="67C81DAE"/>
    <w:rsid w:val="67DD5C95"/>
    <w:rsid w:val="68066805"/>
    <w:rsid w:val="68424ED0"/>
    <w:rsid w:val="68444616"/>
    <w:rsid w:val="68500606"/>
    <w:rsid w:val="68594167"/>
    <w:rsid w:val="68726358"/>
    <w:rsid w:val="687D0182"/>
    <w:rsid w:val="688108CE"/>
    <w:rsid w:val="6882001A"/>
    <w:rsid w:val="689975B6"/>
    <w:rsid w:val="68B24F91"/>
    <w:rsid w:val="68C74ED4"/>
    <w:rsid w:val="68D1711D"/>
    <w:rsid w:val="694064AC"/>
    <w:rsid w:val="694405BE"/>
    <w:rsid w:val="69456473"/>
    <w:rsid w:val="69764E6C"/>
    <w:rsid w:val="69993489"/>
    <w:rsid w:val="69B220FD"/>
    <w:rsid w:val="69BB150F"/>
    <w:rsid w:val="69D2013A"/>
    <w:rsid w:val="6A186700"/>
    <w:rsid w:val="6A1F38E0"/>
    <w:rsid w:val="6A3705C5"/>
    <w:rsid w:val="6A397DCE"/>
    <w:rsid w:val="6A576E16"/>
    <w:rsid w:val="6A7C7024"/>
    <w:rsid w:val="6A8F6398"/>
    <w:rsid w:val="6A9A7DD0"/>
    <w:rsid w:val="6AA028D5"/>
    <w:rsid w:val="6AA65C38"/>
    <w:rsid w:val="6AA81E7F"/>
    <w:rsid w:val="6AB130BA"/>
    <w:rsid w:val="6AB8722A"/>
    <w:rsid w:val="6ADB5B30"/>
    <w:rsid w:val="6ADD24B9"/>
    <w:rsid w:val="6AE3132B"/>
    <w:rsid w:val="6B0F6DAA"/>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21561"/>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9009F"/>
    <w:rsid w:val="758A0547"/>
    <w:rsid w:val="76095996"/>
    <w:rsid w:val="762C55FB"/>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C64D22"/>
    <w:rsid w:val="77CA42E6"/>
    <w:rsid w:val="77F51A1C"/>
    <w:rsid w:val="78177817"/>
    <w:rsid w:val="78241354"/>
    <w:rsid w:val="785255F5"/>
    <w:rsid w:val="785C044E"/>
    <w:rsid w:val="78635360"/>
    <w:rsid w:val="786921EF"/>
    <w:rsid w:val="78994A9D"/>
    <w:rsid w:val="78B76F29"/>
    <w:rsid w:val="78D37FAF"/>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41407"/>
    <w:rsid w:val="7C5B7271"/>
    <w:rsid w:val="7C6A2A13"/>
    <w:rsid w:val="7C813162"/>
    <w:rsid w:val="7CC25CA9"/>
    <w:rsid w:val="7CE15AC7"/>
    <w:rsid w:val="7CEC7892"/>
    <w:rsid w:val="7CF208F9"/>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A94E28"/>
    <w:rsid w:val="7EA9632A"/>
    <w:rsid w:val="7EC63C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semiHidden/>
    <w:unhideWhenUsed/>
    <w:qFormat/>
    <w:uiPriority w:val="99"/>
    <w:pPr>
      <w:tabs>
        <w:tab w:val="center" w:pos="4153"/>
        <w:tab w:val="right" w:pos="8306"/>
      </w:tabs>
      <w:snapToGrid w:val="0"/>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semiHidden/>
    <w:qFormat/>
    <w:uiPriority w:val="0"/>
    <w:rPr>
      <w:color w:val="CD5260"/>
      <w:sz w:val="50"/>
      <w:szCs w:val="50"/>
      <w:u w:val="single"/>
      <w:shd w:val="clear" w:color="auto" w:fill="auto"/>
      <w:lang w:val="zh-TW" w:eastAsia="zh-TW" w:bidi="zh-TW"/>
    </w:rPr>
  </w:style>
  <w:style w:type="character" w:customStyle="1" w:styleId="15">
    <w:name w:val="Body text|1_"/>
    <w:basedOn w:val="9"/>
    <w:link w:val="13"/>
    <w:semiHidden/>
    <w:qFormat/>
    <w:uiPriority w:val="0"/>
    <w:rPr>
      <w:sz w:val="30"/>
      <w:szCs w:val="30"/>
      <w:u w:val="none"/>
      <w:shd w:val="clear" w:color="auto" w:fill="auto"/>
      <w:lang w:val="zh-TW" w:eastAsia="zh-TW" w:bidi="zh-TW"/>
    </w:rPr>
  </w:style>
  <w:style w:type="character" w:customStyle="1" w:styleId="16">
    <w:name w:val="页眉 Char"/>
    <w:basedOn w:val="9"/>
    <w:link w:val="6"/>
    <w:semiHidden/>
    <w:qFormat/>
    <w:uiPriority w:val="99"/>
    <w:rPr>
      <w:color w:val="000000"/>
      <w:sz w:val="18"/>
      <w:szCs w:val="18"/>
      <w:lang w:eastAsia="en-US" w:bidi="en-US"/>
    </w:rPr>
  </w:style>
  <w:style w:type="character" w:customStyle="1" w:styleId="17">
    <w:name w:val="页脚 Char"/>
    <w:basedOn w:val="9"/>
    <w:link w:val="5"/>
    <w:semiHidden/>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C53F75-DF1F-430B-AFA7-5C3C9825A71B}">
  <ds:schemaRefs/>
</ds:datastoreItem>
</file>

<file path=docProps/app.xml><?xml version="1.0" encoding="utf-8"?>
<Properties xmlns="http://schemas.openxmlformats.org/officeDocument/2006/extended-properties" xmlns:vt="http://schemas.openxmlformats.org/officeDocument/2006/docPropsVTypes">
  <Template>Normal</Template>
  <Pages>5</Pages>
  <Words>2241</Words>
  <Characters>2449</Characters>
  <Lines>20</Lines>
  <Paragraphs>5</Paragraphs>
  <TotalTime>0</TotalTime>
  <ScaleCrop>false</ScaleCrop>
  <LinksUpToDate>false</LinksUpToDate>
  <CharactersWithSpaces>2583</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2023-03-29T09:05:00Z</dcterms:created>
  <dc:creator>Administrator</dc:creator>
  <cp:lastModifiedBy>Administrator</cp:lastModifiedBy>
  <cp:lastPrinted>2023-03-15T03:49:00Z</cp:lastPrinted>
  <dcterms:modified xsi:type="dcterms:W3CDTF">2024-11-07T03:45:08Z</dcterms:modified>
  <dc:title>Administrator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