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CF6CE6">
      <w:pPr>
        <w:widowControl/>
        <w:spacing w:after="120" w:afterLines="50" w:line="560" w:lineRule="exact"/>
        <w:jc w:val="center"/>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eastAsia="zh-CN"/>
        </w:rPr>
        <w:t>行政复议决定书</w:t>
      </w:r>
    </w:p>
    <w:p w14:paraId="178FD00F">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eastAsia="仿宋"/>
          <w:sz w:val="32"/>
          <w:szCs w:val="32"/>
          <w:lang w:eastAsia="zh-CN"/>
        </w:rPr>
      </w:pPr>
      <w:r>
        <w:rPr>
          <w:rFonts w:hint="eastAsia" w:eastAsia="仿宋_GB2312"/>
          <w:sz w:val="32"/>
          <w:szCs w:val="32"/>
          <w:lang w:eastAsia="zh-CN"/>
        </w:rPr>
        <w:t xml:space="preserve">    </w:t>
      </w:r>
      <w:r>
        <w:rPr>
          <w:rFonts w:hint="default" w:ascii="Times New Roman" w:hAnsi="Times New Roman" w:eastAsia="仿宋_GB2312" w:cs="Times New Roman"/>
          <w:sz w:val="32"/>
          <w:szCs w:val="32"/>
          <w:lang w:eastAsia="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12</w:t>
      </w:r>
      <w:r>
        <w:rPr>
          <w:rFonts w:hint="default" w:ascii="Times New Roman" w:hAnsi="Times New Roman" w:eastAsia="仿宋_GB2312" w:cs="Times New Roman"/>
          <w:color w:val="auto"/>
          <w:sz w:val="32"/>
          <w:szCs w:val="32"/>
          <w:lang w:val="en-US" w:eastAsia="zh-CN" w:bidi="zh-CN"/>
        </w:rPr>
        <w:t>号</w:t>
      </w:r>
      <w:r>
        <w:rPr>
          <w:rFonts w:hint="eastAsia" w:eastAsia="仿宋_GB2312"/>
          <w:sz w:val="32"/>
          <w:szCs w:val="32"/>
          <w:lang w:eastAsia="zh-CN"/>
        </w:rPr>
        <w:t xml:space="preserve">  </w:t>
      </w:r>
      <w:r>
        <w:rPr>
          <w:rFonts w:eastAsia="仿宋"/>
          <w:sz w:val="32"/>
          <w:szCs w:val="32"/>
          <w:lang w:eastAsia="zh-CN"/>
        </w:rPr>
        <w:t xml:space="preserve">    </w:t>
      </w:r>
    </w:p>
    <w:p w14:paraId="1F723648">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eastAsia="仿宋_GB2312"/>
          <w:sz w:val="32"/>
          <w:szCs w:val="32"/>
          <w:lang w:eastAsia="zh-CN" w:bidi="zh-CN"/>
        </w:rPr>
      </w:pPr>
      <w:r>
        <w:rPr>
          <w:rFonts w:hint="eastAsia" w:eastAsia="仿宋_GB2312"/>
          <w:sz w:val="32"/>
          <w:szCs w:val="32"/>
          <w:lang w:eastAsia="zh-CN" w:bidi="zh-CN"/>
        </w:rPr>
        <w:t>申请人：苏某。</w:t>
      </w:r>
    </w:p>
    <w:p w14:paraId="18802E50">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eastAsia="仿宋_GB2312"/>
          <w:sz w:val="32"/>
          <w:szCs w:val="32"/>
          <w:lang w:eastAsia="zh-CN" w:bidi="zh-CN"/>
        </w:rPr>
      </w:pPr>
      <w:r>
        <w:rPr>
          <w:rFonts w:hint="eastAsia" w:eastAsia="仿宋_GB2312"/>
          <w:sz w:val="32"/>
          <w:szCs w:val="32"/>
          <w:lang w:eastAsia="zh-CN" w:bidi="zh-CN"/>
        </w:rPr>
        <w:t>被申请人：洛阳市涧西区市场监督管理局。</w:t>
      </w:r>
    </w:p>
    <w:p w14:paraId="72D04ACB">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eastAsia="仿宋_GB2312"/>
          <w:sz w:val="32"/>
          <w:szCs w:val="32"/>
          <w:lang w:eastAsia="zh-CN" w:bidi="zh-CN"/>
        </w:rPr>
      </w:pPr>
      <w:r>
        <w:rPr>
          <w:rFonts w:hint="eastAsia" w:eastAsia="仿宋_GB2312"/>
          <w:sz w:val="32"/>
          <w:szCs w:val="32"/>
          <w:lang w:eastAsia="zh-CN" w:bidi="zh-CN"/>
        </w:rPr>
        <w:t>申请人不服被申请人于2023年</w:t>
      </w:r>
      <w:r>
        <w:rPr>
          <w:rFonts w:eastAsia="仿宋_GB2312"/>
          <w:sz w:val="32"/>
          <w:szCs w:val="32"/>
          <w:lang w:eastAsia="zh-CN" w:bidi="zh-CN"/>
        </w:rPr>
        <w:t>1</w:t>
      </w:r>
      <w:r>
        <w:rPr>
          <w:rFonts w:hint="eastAsia" w:eastAsia="仿宋_GB2312"/>
          <w:sz w:val="32"/>
          <w:szCs w:val="32"/>
          <w:lang w:eastAsia="zh-CN" w:bidi="zh-CN"/>
        </w:rPr>
        <w:t>月</w:t>
      </w:r>
      <w:r>
        <w:rPr>
          <w:rFonts w:eastAsia="仿宋_GB2312"/>
          <w:sz w:val="32"/>
          <w:szCs w:val="32"/>
          <w:lang w:eastAsia="zh-CN" w:bidi="zh-CN"/>
        </w:rPr>
        <w:t>19</w:t>
      </w:r>
      <w:r>
        <w:rPr>
          <w:rFonts w:hint="eastAsia" w:eastAsia="仿宋_GB2312"/>
          <w:sz w:val="32"/>
          <w:szCs w:val="32"/>
          <w:lang w:eastAsia="zh-CN" w:bidi="zh-CN"/>
        </w:rPr>
        <w:t>日作出</w:t>
      </w:r>
      <w:r>
        <w:rPr>
          <w:rFonts w:eastAsia="仿宋_GB2312"/>
          <w:sz w:val="32"/>
          <w:szCs w:val="32"/>
          <w:lang w:eastAsia="zh-CN" w:bidi="zh-CN"/>
        </w:rPr>
        <w:t>的市场监管〔2023〕第C01号《举报不予立案告知书》，</w:t>
      </w:r>
      <w:r>
        <w:rPr>
          <w:rFonts w:hint="eastAsia" w:eastAsia="仿宋_GB2312"/>
          <w:sz w:val="32"/>
          <w:szCs w:val="32"/>
          <w:lang w:eastAsia="zh-CN" w:bidi="zh-CN"/>
        </w:rPr>
        <w:t>向本机关提出行政复议申请，</w:t>
      </w:r>
      <w:r>
        <w:rPr>
          <w:rFonts w:eastAsia="仿宋_GB2312"/>
          <w:color w:val="auto"/>
          <w:sz w:val="32"/>
          <w:szCs w:val="32"/>
          <w:lang w:eastAsia="zh-CN" w:bidi="zh-CN"/>
        </w:rPr>
        <w:t>现已审理终结</w:t>
      </w:r>
      <w:r>
        <w:rPr>
          <w:rFonts w:hint="eastAsia" w:eastAsia="仿宋_GB2312"/>
          <w:sz w:val="32"/>
          <w:szCs w:val="32"/>
          <w:lang w:eastAsia="zh-CN" w:bidi="zh-CN"/>
        </w:rPr>
        <w:t>。</w:t>
      </w:r>
    </w:p>
    <w:p w14:paraId="2B0D62A4">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eastAsia="仿宋_GB2312"/>
          <w:sz w:val="32"/>
          <w:szCs w:val="32"/>
          <w:lang w:eastAsia="zh-CN" w:bidi="zh-CN"/>
        </w:rPr>
      </w:pPr>
      <w:r>
        <w:rPr>
          <w:rFonts w:hint="eastAsia" w:ascii="黑体" w:hAnsi="黑体" w:eastAsia="黑体" w:cs="黑体"/>
          <w:bCs/>
          <w:sz w:val="32"/>
          <w:szCs w:val="32"/>
          <w:lang w:eastAsia="zh-CN" w:bidi="zh-CN"/>
        </w:rPr>
        <w:t>申请人请求：</w:t>
      </w:r>
      <w:r>
        <w:rPr>
          <w:rFonts w:eastAsia="仿宋_GB2312"/>
          <w:sz w:val="32"/>
          <w:szCs w:val="32"/>
          <w:lang w:eastAsia="zh-CN" w:bidi="zh-CN"/>
        </w:rPr>
        <w:t>1、</w:t>
      </w:r>
      <w:r>
        <w:rPr>
          <w:rFonts w:hint="eastAsia" w:eastAsia="仿宋_GB2312"/>
          <w:sz w:val="32"/>
          <w:szCs w:val="32"/>
          <w:lang w:eastAsia="zh-CN" w:bidi="zh-CN"/>
        </w:rPr>
        <w:t>撤销被申请人</w:t>
      </w:r>
      <w:r>
        <w:rPr>
          <w:rFonts w:eastAsia="仿宋_GB2312"/>
          <w:sz w:val="32"/>
          <w:szCs w:val="32"/>
          <w:lang w:eastAsia="zh-CN" w:bidi="zh-CN"/>
        </w:rPr>
        <w:t>作出的市场监管〔2023〕第C01号《举报不予立案告知书》；2、责令被申请人重新作出处理，处理结果予以书面邮寄告知。</w:t>
      </w:r>
    </w:p>
    <w:p w14:paraId="3DD8C54E">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eastAsia="仿宋_GB2312"/>
          <w:sz w:val="32"/>
          <w:szCs w:val="32"/>
          <w:lang w:eastAsia="zh-CN" w:bidi="zh-CN"/>
        </w:rPr>
      </w:pPr>
      <w:r>
        <w:rPr>
          <w:rFonts w:hint="eastAsia" w:ascii="黑体" w:hAnsi="黑体" w:eastAsia="黑体" w:cs="黑体"/>
          <w:bCs/>
          <w:sz w:val="32"/>
          <w:szCs w:val="32"/>
          <w:lang w:eastAsia="zh-CN" w:bidi="zh-CN"/>
        </w:rPr>
        <w:t>申请人称：</w:t>
      </w:r>
      <w:r>
        <w:rPr>
          <w:rFonts w:hint="eastAsia" w:eastAsia="仿宋_GB2312"/>
          <w:sz w:val="32"/>
          <w:szCs w:val="32"/>
          <w:lang w:eastAsia="zh-CN" w:bidi="zh-CN"/>
        </w:rPr>
        <w:t>申请人</w:t>
      </w:r>
      <w:r>
        <w:rPr>
          <w:rFonts w:eastAsia="仿宋_GB2312"/>
          <w:sz w:val="32"/>
          <w:szCs w:val="32"/>
          <w:lang w:eastAsia="zh-CN" w:bidi="zh-CN"/>
        </w:rPr>
        <w:t>向被申请人书面邮寄一封投诉举报函，被申请人于2023年1月19日作出《答复函》，申请人不服，遂复议。申请人认为，行政机关作出一个对当事人不利的决定时，援引具体的法律条文阐明理由，是依法行政的应有之义。同时，作为一个对外发生法律效力的行政行为，其所依据的法律规定必须是明确的，具体法律条款的指向是不存争议的。唯有此，相对人才能确定行政机关的确切意思表示，进而有针对性地进行权利救济。公众也能据此了解行政机关适用法律的逻辑，进而增进对于相关法律条款含义的理解，自觉调整自己的行为，从而实现法律规范的指引、教育功能。本案中，被申请人不予立案决定系对申请人的举报查处申请作出的否定性评价，对申请人的实体权益产生了负面影响。被申请人可能是想</w:t>
      </w:r>
      <w:r>
        <w:rPr>
          <w:rFonts w:hint="eastAsia" w:eastAsia="仿宋_GB2312"/>
          <w:sz w:val="32"/>
          <w:szCs w:val="32"/>
          <w:lang w:eastAsia="zh-CN" w:bidi="zh-CN"/>
        </w:rPr>
        <w:t>给申请人出填空题，其作出的《答复函》未说明任何理由，亦未援引任何法律法规依据。恐怕连复议机关都难以确定被申请人作出被申请人行政行为的理由和依据，故依法应认定被申请《答复函》没有理由，也没有任何的法律依据，属于适用法律错误，应予以纠正。同时被申请人作出不正确的决定，影响到了申请人是否能获得举报奖励。综上，请求复议机关支持申请人的请求诉求。</w:t>
      </w:r>
    </w:p>
    <w:p w14:paraId="196F5B1C">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bCs/>
          <w:sz w:val="32"/>
          <w:szCs w:val="32"/>
          <w:lang w:eastAsia="zh-CN" w:bidi="zh-CN"/>
        </w:rPr>
      </w:pPr>
      <w:r>
        <w:rPr>
          <w:rFonts w:hint="eastAsia" w:ascii="黑体" w:hAnsi="黑体" w:eastAsia="黑体" w:cs="黑体"/>
          <w:bCs/>
          <w:sz w:val="32"/>
          <w:szCs w:val="32"/>
          <w:lang w:eastAsia="zh-CN" w:bidi="zh-CN"/>
        </w:rPr>
        <w:t>被申请人称：</w:t>
      </w:r>
      <w:r>
        <w:rPr>
          <w:rFonts w:hint="eastAsia" w:eastAsia="仿宋_GB2312"/>
          <w:bCs/>
          <w:sz w:val="32"/>
          <w:szCs w:val="32"/>
          <w:lang w:eastAsia="zh-CN" w:bidi="zh-CN"/>
        </w:rPr>
        <w:t>举报人苏某举报的经营主体为某公司。举报人于2022年11月17日在被举报人淘宝网店上购买小米。事后，举报人以购买的商品标称的执行标准非婴幼儿配方食品标准以及商家虚假宣传为由，向我局进行投诉举报。对于举报人的投诉举报事项，我局进行了调查处理。投诉事项我局终止调解，举报事项不予立案，理由如下：一、举报人所购买商品的普通小米，包装上标注的GB/T11766也是小米的执行标准，且小米并非婴幼儿配方食品，举报内容不属实。二、该商品店铺宣传语为“香糯黏稠，软糯无渣，宝宝爱吃”，并无不当。三、在投诉办理中，被投诉人只接受现场调解，我局书面告知投诉人，在规定期限内投诉人并未现身，我局依据《市场监督管理投诉举报处理暂行办法》的规定，终止调解。综上，我局认定其举报内容不属实，作出不予立案的处理决定，并依据有关规定终止调解，行政行为并无不当。请复议机关驳回其复议请求，维持我局的处理决定。</w:t>
      </w:r>
    </w:p>
    <w:p w14:paraId="6DCFF4A5">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bCs/>
          <w:color w:val="auto"/>
          <w:sz w:val="32"/>
          <w:szCs w:val="32"/>
          <w:lang w:eastAsia="zh-CN" w:bidi="zh-CN"/>
        </w:rPr>
      </w:pPr>
      <w:r>
        <w:rPr>
          <w:rFonts w:hint="eastAsia" w:ascii="黑体" w:hAnsi="黑体" w:eastAsia="黑体" w:cs="黑体"/>
          <w:bCs/>
          <w:sz w:val="32"/>
          <w:szCs w:val="32"/>
          <w:lang w:eastAsia="zh-CN" w:bidi="zh-CN"/>
        </w:rPr>
        <w:t>本机关查明：</w:t>
      </w:r>
      <w:r>
        <w:rPr>
          <w:rFonts w:hint="eastAsia" w:eastAsia="仿宋_GB2312"/>
          <w:bCs/>
          <w:color w:val="auto"/>
          <w:sz w:val="32"/>
          <w:szCs w:val="32"/>
          <w:lang w:eastAsia="zh-CN" w:bidi="zh-CN"/>
        </w:rPr>
        <w:t>2022年11月7日，申请人在淘宝平台某公司开设的康谐食品专营店花费24.80元购买“伊川小米”一包，订单号：2022110722001177561436795236。2022年11月15日，申请人向被申请人邮寄《投诉举报函》，投诉举报某公司销售“伊川小米”涉嫌虚假宣传，请求“1、依法书面受理举报投诉，并在案件办结后书面邮寄告知处理结果。2、依法责令被投诉举报人退还货款并赔偿。3、依法对被投诉举报人行政处罚及奖励投诉举报人。4、责令被投诉举报人赔偿投诉举报人因此投诉而产生必然费用。”被申请人收到上述投诉举报线索后，于2022年12月28日对案涉某公司进行现场调查，该公司提供了产品检验报告、销售出库单、康谐食品专营店网页截图、情况说明。当天，被申请人作出《投诉受理决定书》，且分别向申请人苏某和某公司作出《投诉调解通知书》，要求于2023年1月18日9时参加现场调解。2023年1月13日，被申请人内部审批通过，决定对上述举报事项不予立案。2023年1月19日，被申请人作出《投诉终止调解决定书》，因申请人未按期参加调解，被申请人决定</w:t>
      </w:r>
      <w:r>
        <w:rPr>
          <w:rFonts w:hint="eastAsia" w:eastAsia="仿宋_GB2312"/>
          <w:bCs/>
          <w:sz w:val="32"/>
          <w:szCs w:val="32"/>
          <w:lang w:eastAsia="zh-CN" w:bidi="zh-CN"/>
        </w:rPr>
        <w:t>终止调解，</w:t>
      </w:r>
      <w:r>
        <w:rPr>
          <w:rFonts w:hint="eastAsia" w:eastAsia="仿宋_GB2312"/>
          <w:bCs/>
          <w:color w:val="auto"/>
          <w:sz w:val="32"/>
          <w:szCs w:val="32"/>
          <w:lang w:eastAsia="zh-CN" w:bidi="zh-CN"/>
        </w:rPr>
        <w:t>并通过国内挂号信函方式向申请人邮寄。当天，被申请人</w:t>
      </w:r>
      <w:r>
        <w:rPr>
          <w:rFonts w:hint="eastAsia" w:eastAsia="仿宋_GB2312"/>
          <w:sz w:val="32"/>
          <w:szCs w:val="32"/>
          <w:lang w:eastAsia="zh-CN" w:bidi="zh-CN"/>
        </w:rPr>
        <w:t>作出</w:t>
      </w:r>
      <w:r>
        <w:rPr>
          <w:rFonts w:eastAsia="仿宋_GB2312"/>
          <w:sz w:val="32"/>
          <w:szCs w:val="32"/>
          <w:lang w:eastAsia="zh-CN" w:bidi="zh-CN"/>
        </w:rPr>
        <w:t>的市场监管〔2023〕第C01号《举报不予立案告知书》</w:t>
      </w:r>
      <w:r>
        <w:rPr>
          <w:rFonts w:hint="eastAsia" w:eastAsia="仿宋_GB2312"/>
          <w:sz w:val="32"/>
          <w:szCs w:val="32"/>
          <w:lang w:eastAsia="zh-CN" w:bidi="zh-CN"/>
        </w:rPr>
        <w:t>，内容为“我局于2022年12月26日收到你关于某公司的举报，经核查，我局决定不予立案。特此告知”。</w:t>
      </w:r>
    </w:p>
    <w:p w14:paraId="18479989">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bCs/>
          <w:sz w:val="32"/>
          <w:szCs w:val="32"/>
          <w:lang w:eastAsia="zh-CN" w:bidi="zh-CN"/>
        </w:rPr>
      </w:pPr>
      <w:r>
        <w:rPr>
          <w:rFonts w:hint="eastAsia" w:ascii="黑体" w:hAnsi="黑体" w:eastAsia="黑体" w:cs="黑体"/>
          <w:bCs/>
          <w:sz w:val="32"/>
          <w:szCs w:val="32"/>
          <w:lang w:eastAsia="zh-CN" w:bidi="zh-CN"/>
        </w:rPr>
        <w:t>上述事实由下列证据为证：</w:t>
      </w:r>
      <w:r>
        <w:rPr>
          <w:rFonts w:hint="eastAsia" w:eastAsia="仿宋_GB2312"/>
          <w:bCs/>
          <w:sz w:val="32"/>
          <w:szCs w:val="32"/>
          <w:lang w:eastAsia="zh-CN" w:bidi="zh-CN"/>
        </w:rPr>
        <w:t>1、苏某身份证复印件；2、投诉举报函；3、产品照片、快递单照片、产品宣传页截图、购买记录截图；4、某公司营业执照副本复印件；5、法定代表人宋旦旦身份证复印件、委托书、被委托人陈某</w:t>
      </w:r>
      <w:bookmarkStart w:id="0" w:name="_GoBack"/>
      <w:bookmarkEnd w:id="0"/>
      <w:r>
        <w:rPr>
          <w:rFonts w:hint="eastAsia" w:eastAsia="仿宋_GB2312"/>
          <w:bCs/>
          <w:sz w:val="32"/>
          <w:szCs w:val="32"/>
          <w:lang w:eastAsia="zh-CN" w:bidi="zh-CN"/>
        </w:rPr>
        <w:t>身份证复印件；6、现场笔录；7、现场照片3张；8、情况说明；9、检验报告；10、某公司销售出库单；11、某公司营业执照副本、食品生产许可证副本及食品生产许可品种明细表复印件；12、市场监管〔2022〕第C021号《投诉受理决定书》；13、市场监管〔2022〕第C021号</w:t>
      </w:r>
      <w:r>
        <w:rPr>
          <w:rFonts w:hint="eastAsia" w:eastAsia="仿宋_GB2312"/>
          <w:bCs/>
          <w:color w:val="auto"/>
          <w:sz w:val="32"/>
          <w:szCs w:val="32"/>
          <w:lang w:eastAsia="zh-CN" w:bidi="zh-CN"/>
        </w:rPr>
        <w:t>《投诉调解通知书》；14、</w:t>
      </w:r>
      <w:r>
        <w:rPr>
          <w:rFonts w:eastAsia="仿宋_GB2312"/>
          <w:sz w:val="32"/>
          <w:szCs w:val="32"/>
          <w:lang w:eastAsia="zh-CN" w:bidi="zh-CN"/>
        </w:rPr>
        <w:t>市场监管〔2023〕第C01</w:t>
      </w:r>
      <w:r>
        <w:rPr>
          <w:rFonts w:hint="eastAsia" w:eastAsia="仿宋_GB2312"/>
          <w:sz w:val="32"/>
          <w:szCs w:val="32"/>
          <w:lang w:eastAsia="zh-CN" w:bidi="zh-CN"/>
        </w:rPr>
        <w:t>1</w:t>
      </w:r>
      <w:r>
        <w:rPr>
          <w:rFonts w:eastAsia="仿宋_GB2312"/>
          <w:sz w:val="32"/>
          <w:szCs w:val="32"/>
          <w:lang w:eastAsia="zh-CN" w:bidi="zh-CN"/>
        </w:rPr>
        <w:t>号</w:t>
      </w:r>
      <w:r>
        <w:rPr>
          <w:rFonts w:hint="eastAsia" w:eastAsia="仿宋_GB2312"/>
          <w:sz w:val="32"/>
          <w:szCs w:val="32"/>
          <w:lang w:eastAsia="zh-CN" w:bidi="zh-CN"/>
        </w:rPr>
        <w:t>《</w:t>
      </w:r>
      <w:r>
        <w:rPr>
          <w:rFonts w:hint="eastAsia" w:eastAsia="仿宋_GB2312"/>
          <w:bCs/>
          <w:color w:val="auto"/>
          <w:sz w:val="32"/>
          <w:szCs w:val="32"/>
          <w:lang w:eastAsia="zh-CN" w:bidi="zh-CN"/>
        </w:rPr>
        <w:t>投诉终止调解决定书</w:t>
      </w:r>
      <w:r>
        <w:rPr>
          <w:rFonts w:hint="eastAsia" w:eastAsia="仿宋_GB2312"/>
          <w:sz w:val="32"/>
          <w:szCs w:val="32"/>
          <w:lang w:eastAsia="zh-CN" w:bidi="zh-CN"/>
        </w:rPr>
        <w:t>》；15、</w:t>
      </w:r>
      <w:r>
        <w:rPr>
          <w:rFonts w:hint="eastAsia" w:eastAsia="仿宋_GB2312"/>
          <w:bCs/>
          <w:sz w:val="32"/>
          <w:szCs w:val="32"/>
          <w:lang w:eastAsia="zh-CN" w:bidi="zh-CN"/>
        </w:rPr>
        <w:t>不予立案审批表；16、</w:t>
      </w:r>
      <w:r>
        <w:rPr>
          <w:rFonts w:eastAsia="仿宋_GB2312"/>
          <w:sz w:val="32"/>
          <w:szCs w:val="32"/>
          <w:lang w:eastAsia="zh-CN" w:bidi="zh-CN"/>
        </w:rPr>
        <w:t>市场监管〔2023〕第C01号《举报不予立案告知书》</w:t>
      </w:r>
      <w:r>
        <w:rPr>
          <w:rFonts w:hint="eastAsia" w:eastAsia="仿宋_GB2312"/>
          <w:sz w:val="32"/>
          <w:szCs w:val="32"/>
          <w:lang w:eastAsia="zh-CN" w:bidi="zh-CN"/>
        </w:rPr>
        <w:t>。</w:t>
      </w:r>
      <w:r>
        <w:rPr>
          <w:rFonts w:hint="eastAsia" w:eastAsia="仿宋_GB2312"/>
          <w:bCs/>
          <w:sz w:val="32"/>
          <w:szCs w:val="32"/>
          <w:lang w:eastAsia="zh-CN" w:bidi="zh-CN"/>
        </w:rPr>
        <w:t xml:space="preserve">  </w:t>
      </w:r>
    </w:p>
    <w:p w14:paraId="65DC8EBC">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bidi="zh-CN"/>
        </w:rPr>
      </w:pPr>
      <w:r>
        <w:rPr>
          <w:rFonts w:hint="eastAsia" w:ascii="黑体" w:hAnsi="黑体" w:eastAsia="黑体" w:cs="黑体"/>
          <w:sz w:val="32"/>
          <w:szCs w:val="32"/>
          <w:lang w:eastAsia="zh-CN" w:bidi="zh-CN"/>
        </w:rPr>
        <w:t>本机关认为：</w:t>
      </w:r>
      <w:r>
        <w:rPr>
          <w:rFonts w:hint="eastAsia" w:ascii="仿宋_GB2312" w:hAnsi="仿宋_GB2312" w:eastAsia="仿宋_GB2312" w:cs="仿宋_GB2312"/>
          <w:color w:val="auto"/>
          <w:sz w:val="32"/>
          <w:szCs w:val="32"/>
          <w:lang w:eastAsia="zh-CN" w:bidi="zh-CN"/>
        </w:rPr>
        <w:t>根据《市场监督管理投诉举报处理暂行办法》第四条第二款规定“县级以上地方市场监督管理部门负责本行政区域内的投诉举报处理工作。”被申请人作为依法设立的市场监督管理部门，负有处理本行政区域内投诉举报的法定职责。</w:t>
      </w:r>
    </w:p>
    <w:p w14:paraId="59CE12CD">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bCs/>
          <w:sz w:val="32"/>
          <w:szCs w:val="32"/>
          <w:lang w:eastAsia="zh-CN" w:bidi="zh-CN"/>
        </w:rPr>
      </w:pPr>
      <w:r>
        <w:rPr>
          <w:rFonts w:hint="eastAsia" w:eastAsia="仿宋_GB2312"/>
          <w:bCs/>
          <w:sz w:val="32"/>
          <w:szCs w:val="32"/>
          <w:lang w:eastAsia="zh-CN" w:bidi="zh-CN"/>
        </w:rPr>
        <w:t>本案中，申请人的</w:t>
      </w:r>
      <w:r>
        <w:rPr>
          <w:rFonts w:hint="eastAsia" w:eastAsia="仿宋_GB2312"/>
          <w:bCs/>
          <w:color w:val="auto"/>
          <w:sz w:val="32"/>
          <w:szCs w:val="32"/>
          <w:lang w:eastAsia="zh-CN" w:bidi="zh-CN"/>
        </w:rPr>
        <w:t>《投诉举报函》</w:t>
      </w:r>
      <w:r>
        <w:rPr>
          <w:rFonts w:hint="eastAsia" w:eastAsia="仿宋_GB2312"/>
          <w:bCs/>
          <w:sz w:val="32"/>
          <w:szCs w:val="32"/>
          <w:lang w:eastAsia="zh-CN" w:bidi="zh-CN"/>
        </w:rPr>
        <w:t>既含有投诉的内容，又含有举报的内容。</w:t>
      </w:r>
    </w:p>
    <w:p w14:paraId="7E950EB8">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color w:val="auto"/>
          <w:sz w:val="32"/>
          <w:szCs w:val="32"/>
          <w:lang w:eastAsia="zh-CN" w:bidi="zh-CN"/>
        </w:rPr>
      </w:pPr>
      <w:r>
        <w:rPr>
          <w:rFonts w:hint="eastAsia" w:eastAsia="仿宋_GB2312"/>
          <w:bCs/>
          <w:sz w:val="32"/>
          <w:szCs w:val="32"/>
          <w:lang w:eastAsia="zh-CN" w:bidi="zh-CN"/>
        </w:rPr>
        <w:t>关于对申请人投诉内容的处理。</w:t>
      </w:r>
      <w:r>
        <w:rPr>
          <w:rFonts w:hint="eastAsia" w:eastAsia="仿宋_GB2312"/>
          <w:color w:val="auto"/>
          <w:sz w:val="32"/>
          <w:szCs w:val="32"/>
          <w:lang w:eastAsia="zh-CN" w:bidi="zh-CN"/>
        </w:rPr>
        <w:t>根据《市场监督管理投诉举报处理暂行办法》第十六条第一款规定：“市场监督管理部门经投诉人和被投诉人同意，采取调解的方式处理投诉，但法律、法规另有规定的，依照其规定。”第二十一条第一款第（三）项：“有下列情形之一的，终止调解：（三）投诉人或者被投诉人无正当理由不参加调解，或者被投诉人明确拒绝调解的。”第十四条：“具有本办法规定的处理权限的市场监督管理部门，应当自收到投诉之日起七个工作日内作出受理或者不予受理的决定，并告知投诉人。”第二十一条第二款规定：“终止调解的，市场监督管理部门应当自作出终止调解决定之日起七个工作日内告知投诉人和被投诉人。”本案中，被申请人于2022年12月26日收到投诉后，2022年 12月28日告知申请人受理决定，当天对案涉</w:t>
      </w:r>
      <w:r>
        <w:rPr>
          <w:rFonts w:hint="eastAsia" w:eastAsia="仿宋_GB2312"/>
          <w:bCs/>
          <w:sz w:val="32"/>
          <w:szCs w:val="32"/>
          <w:lang w:eastAsia="zh-CN" w:bidi="zh-CN"/>
        </w:rPr>
        <w:t>某公司</w:t>
      </w:r>
      <w:r>
        <w:rPr>
          <w:rFonts w:hint="eastAsia" w:eastAsia="仿宋_GB2312"/>
          <w:color w:val="auto"/>
          <w:sz w:val="32"/>
          <w:szCs w:val="32"/>
          <w:lang w:eastAsia="zh-CN" w:bidi="zh-CN"/>
        </w:rPr>
        <w:t>进行了现场调查，查明案涉公司营业执照及经营范围，因申请人未按期参加调解，于</w:t>
      </w:r>
      <w:r>
        <w:rPr>
          <w:rFonts w:hint="eastAsia" w:eastAsia="仿宋_GB2312"/>
          <w:bCs/>
          <w:color w:val="auto"/>
          <w:sz w:val="32"/>
          <w:szCs w:val="32"/>
          <w:lang w:eastAsia="zh-CN" w:bidi="zh-CN"/>
        </w:rPr>
        <w:t>2023年1月19日</w:t>
      </w:r>
      <w:r>
        <w:rPr>
          <w:rFonts w:hint="eastAsia" w:eastAsia="仿宋_GB2312"/>
          <w:color w:val="auto"/>
          <w:sz w:val="32"/>
          <w:szCs w:val="32"/>
          <w:lang w:eastAsia="zh-CN" w:bidi="zh-CN"/>
        </w:rPr>
        <w:t>作出对投诉事项终止调解的决定，</w:t>
      </w:r>
      <w:r>
        <w:rPr>
          <w:rFonts w:hint="eastAsia" w:eastAsia="仿宋_GB2312"/>
          <w:bCs/>
          <w:color w:val="auto"/>
          <w:sz w:val="32"/>
          <w:szCs w:val="32"/>
          <w:lang w:eastAsia="zh-CN" w:bidi="zh-CN"/>
        </w:rPr>
        <w:t>当天通过国内挂号信函方式向申请人邮寄告知。</w:t>
      </w:r>
      <w:r>
        <w:rPr>
          <w:rFonts w:hint="eastAsia" w:eastAsia="仿宋_GB2312"/>
          <w:color w:val="auto"/>
          <w:sz w:val="32"/>
          <w:szCs w:val="32"/>
          <w:lang w:eastAsia="zh-CN" w:bidi="zh-CN"/>
        </w:rPr>
        <w:t>被申请人已依法履行了核查和调解的义务，认定事实清楚，适用法律正确，程序合法。</w:t>
      </w:r>
    </w:p>
    <w:p w14:paraId="245B12F8">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bCs/>
          <w:sz w:val="32"/>
          <w:szCs w:val="32"/>
          <w:lang w:eastAsia="zh-CN" w:bidi="zh-CN"/>
        </w:rPr>
      </w:pPr>
      <w:r>
        <w:rPr>
          <w:rFonts w:hint="eastAsia" w:eastAsia="仿宋_GB2312"/>
          <w:color w:val="auto"/>
          <w:sz w:val="32"/>
          <w:szCs w:val="32"/>
          <w:lang w:eastAsia="zh-CN" w:bidi="zh-CN"/>
        </w:rPr>
        <w:t>关于对申请人举报内容的处理。根据《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w:t>
      </w:r>
      <w:r>
        <w:rPr>
          <w:rFonts w:hint="eastAsia" w:ascii="仿宋_GB2312" w:hAnsi="仿宋_GB2312" w:eastAsia="仿宋_GB2312" w:cs="仿宋_GB2312"/>
          <w:color w:val="auto"/>
          <w:sz w:val="32"/>
          <w:szCs w:val="32"/>
          <w:lang w:eastAsia="zh-CN" w:bidi="zh-CN"/>
        </w:rPr>
        <w:t>本案中，被申请人于</w:t>
      </w:r>
      <w:r>
        <w:rPr>
          <w:rFonts w:eastAsia="仿宋_GB2312"/>
          <w:color w:val="auto"/>
          <w:sz w:val="32"/>
          <w:szCs w:val="32"/>
          <w:lang w:eastAsia="zh-CN" w:bidi="zh-CN"/>
        </w:rPr>
        <w:t>202</w:t>
      </w:r>
      <w:r>
        <w:rPr>
          <w:rFonts w:hint="eastAsia" w:eastAsia="仿宋_GB2312"/>
          <w:color w:val="auto"/>
          <w:sz w:val="32"/>
          <w:szCs w:val="32"/>
          <w:lang w:eastAsia="zh-CN" w:bidi="zh-CN"/>
        </w:rPr>
        <w:t>2</w:t>
      </w:r>
      <w:r>
        <w:rPr>
          <w:rFonts w:hint="eastAsia" w:ascii="仿宋_GB2312" w:hAnsi="仿宋_GB2312" w:eastAsia="仿宋_GB2312" w:cs="仿宋_GB2312"/>
          <w:color w:val="auto"/>
          <w:sz w:val="32"/>
          <w:szCs w:val="32"/>
          <w:lang w:eastAsia="zh-CN" w:bidi="zh-CN"/>
        </w:rPr>
        <w:t>年</w:t>
      </w:r>
      <w:r>
        <w:rPr>
          <w:rFonts w:hint="eastAsia" w:eastAsia="仿宋_GB2312"/>
          <w:color w:val="auto"/>
          <w:sz w:val="32"/>
          <w:szCs w:val="32"/>
          <w:lang w:eastAsia="zh-CN" w:bidi="zh-CN"/>
        </w:rPr>
        <w:t>12</w:t>
      </w:r>
      <w:r>
        <w:rPr>
          <w:rFonts w:hint="eastAsia" w:ascii="仿宋_GB2312" w:hAnsi="仿宋_GB2312" w:eastAsia="仿宋_GB2312" w:cs="仿宋_GB2312"/>
          <w:color w:val="auto"/>
          <w:sz w:val="32"/>
          <w:szCs w:val="32"/>
          <w:lang w:eastAsia="zh-CN" w:bidi="zh-CN"/>
        </w:rPr>
        <w:t>月</w:t>
      </w:r>
      <w:r>
        <w:rPr>
          <w:rFonts w:hint="eastAsia" w:eastAsia="仿宋_GB2312"/>
          <w:color w:val="auto"/>
          <w:sz w:val="32"/>
          <w:szCs w:val="32"/>
          <w:lang w:eastAsia="zh-CN" w:bidi="zh-CN"/>
        </w:rPr>
        <w:t>26</w:t>
      </w:r>
      <w:r>
        <w:rPr>
          <w:rFonts w:hint="eastAsia" w:ascii="仿宋_GB2312" w:hAnsi="仿宋_GB2312" w:eastAsia="仿宋_GB2312" w:cs="仿宋_GB2312"/>
          <w:color w:val="auto"/>
          <w:sz w:val="32"/>
          <w:szCs w:val="32"/>
          <w:lang w:eastAsia="zh-CN" w:bidi="zh-CN"/>
        </w:rPr>
        <w:t>日收到申请人的举报事项，经调查，于</w:t>
      </w:r>
      <w:r>
        <w:rPr>
          <w:rFonts w:hint="eastAsia" w:eastAsia="仿宋_GB2312"/>
          <w:color w:val="auto"/>
          <w:sz w:val="32"/>
          <w:szCs w:val="32"/>
          <w:lang w:eastAsia="zh-CN" w:bidi="zh-CN"/>
        </w:rPr>
        <w:t>2023</w:t>
      </w:r>
      <w:r>
        <w:rPr>
          <w:rFonts w:hint="eastAsia" w:ascii="仿宋_GB2312" w:hAnsi="仿宋_GB2312" w:eastAsia="仿宋_GB2312" w:cs="仿宋_GB2312"/>
          <w:color w:val="auto"/>
          <w:sz w:val="32"/>
          <w:szCs w:val="32"/>
          <w:lang w:eastAsia="zh-CN" w:bidi="zh-CN"/>
        </w:rPr>
        <w:t>年</w:t>
      </w:r>
      <w:r>
        <w:rPr>
          <w:rFonts w:hint="eastAsia" w:eastAsia="仿宋_GB2312"/>
          <w:color w:val="auto"/>
          <w:sz w:val="32"/>
          <w:szCs w:val="32"/>
          <w:lang w:eastAsia="zh-CN" w:bidi="zh-CN"/>
        </w:rPr>
        <w:t>1</w:t>
      </w:r>
      <w:r>
        <w:rPr>
          <w:rFonts w:hint="eastAsia" w:ascii="仿宋_GB2312" w:hAnsi="仿宋_GB2312" w:eastAsia="仿宋_GB2312" w:cs="仿宋_GB2312"/>
          <w:color w:val="auto"/>
          <w:sz w:val="32"/>
          <w:szCs w:val="32"/>
          <w:lang w:eastAsia="zh-CN" w:bidi="zh-CN"/>
        </w:rPr>
        <w:t>月</w:t>
      </w:r>
      <w:r>
        <w:rPr>
          <w:rFonts w:hint="eastAsia" w:eastAsia="仿宋_GB2312"/>
          <w:color w:val="auto"/>
          <w:sz w:val="32"/>
          <w:szCs w:val="32"/>
          <w:lang w:eastAsia="zh-CN" w:bidi="zh-CN"/>
        </w:rPr>
        <w:t>13</w:t>
      </w:r>
      <w:r>
        <w:rPr>
          <w:rFonts w:hint="eastAsia" w:ascii="仿宋_GB2312" w:hAnsi="仿宋_GB2312" w:eastAsia="仿宋_GB2312" w:cs="仿宋_GB2312"/>
          <w:color w:val="auto"/>
          <w:sz w:val="32"/>
          <w:szCs w:val="32"/>
          <w:lang w:eastAsia="zh-CN" w:bidi="zh-CN"/>
        </w:rPr>
        <w:t>日作出不予立案决定，于</w:t>
      </w:r>
      <w:r>
        <w:rPr>
          <w:rFonts w:hint="eastAsia" w:eastAsia="仿宋_GB2312"/>
          <w:color w:val="auto"/>
          <w:sz w:val="32"/>
          <w:szCs w:val="32"/>
          <w:lang w:eastAsia="zh-CN" w:bidi="zh-CN"/>
        </w:rPr>
        <w:t>2023</w:t>
      </w:r>
      <w:r>
        <w:rPr>
          <w:rFonts w:hint="eastAsia" w:ascii="仿宋_GB2312" w:hAnsi="仿宋_GB2312" w:eastAsia="仿宋_GB2312" w:cs="仿宋_GB2312"/>
          <w:color w:val="auto"/>
          <w:sz w:val="32"/>
          <w:szCs w:val="32"/>
          <w:lang w:eastAsia="zh-CN" w:bidi="zh-CN"/>
        </w:rPr>
        <w:t>年</w:t>
      </w:r>
      <w:r>
        <w:rPr>
          <w:rFonts w:hint="eastAsia" w:eastAsia="仿宋_GB2312"/>
          <w:color w:val="auto"/>
          <w:sz w:val="32"/>
          <w:szCs w:val="32"/>
          <w:lang w:eastAsia="zh-CN" w:bidi="zh-CN"/>
        </w:rPr>
        <w:t>1</w:t>
      </w:r>
      <w:r>
        <w:rPr>
          <w:rFonts w:hint="eastAsia" w:ascii="仿宋_GB2312" w:hAnsi="仿宋_GB2312" w:eastAsia="仿宋_GB2312" w:cs="仿宋_GB2312"/>
          <w:color w:val="auto"/>
          <w:sz w:val="32"/>
          <w:szCs w:val="32"/>
          <w:lang w:eastAsia="zh-CN" w:bidi="zh-CN"/>
        </w:rPr>
        <w:t>月</w:t>
      </w:r>
      <w:r>
        <w:rPr>
          <w:rFonts w:hint="eastAsia" w:eastAsia="仿宋_GB2312"/>
          <w:color w:val="auto"/>
          <w:sz w:val="32"/>
          <w:szCs w:val="32"/>
          <w:lang w:eastAsia="zh-CN" w:bidi="zh-CN"/>
        </w:rPr>
        <w:t>19</w:t>
      </w:r>
      <w:r>
        <w:rPr>
          <w:rFonts w:hint="eastAsia" w:ascii="仿宋_GB2312" w:hAnsi="仿宋_GB2312" w:eastAsia="仿宋_GB2312" w:cs="仿宋_GB2312"/>
          <w:color w:val="auto"/>
          <w:sz w:val="32"/>
          <w:szCs w:val="32"/>
          <w:lang w:eastAsia="zh-CN" w:bidi="zh-CN"/>
        </w:rPr>
        <w:t>日</w:t>
      </w:r>
      <w:r>
        <w:rPr>
          <w:rFonts w:hint="eastAsia" w:eastAsia="仿宋_GB2312"/>
          <w:sz w:val="32"/>
          <w:szCs w:val="32"/>
          <w:lang w:eastAsia="zh-CN" w:bidi="zh-CN"/>
        </w:rPr>
        <w:t>作出</w:t>
      </w:r>
      <w:r>
        <w:rPr>
          <w:rFonts w:eastAsia="仿宋_GB2312"/>
          <w:sz w:val="32"/>
          <w:szCs w:val="32"/>
          <w:lang w:eastAsia="zh-CN" w:bidi="zh-CN"/>
        </w:rPr>
        <w:t>《举报不予立案告知书》</w:t>
      </w:r>
      <w:r>
        <w:rPr>
          <w:rFonts w:hint="eastAsia" w:eastAsia="仿宋_GB2312"/>
          <w:sz w:val="32"/>
          <w:szCs w:val="32"/>
          <w:lang w:eastAsia="zh-CN" w:bidi="zh-CN"/>
        </w:rPr>
        <w:t>，</w:t>
      </w:r>
      <w:r>
        <w:rPr>
          <w:rFonts w:hint="eastAsia" w:eastAsia="仿宋_GB2312"/>
          <w:color w:val="auto"/>
          <w:sz w:val="32"/>
          <w:szCs w:val="32"/>
          <w:lang w:eastAsia="zh-CN" w:bidi="zh-CN"/>
        </w:rPr>
        <w:t>告知申请人“</w:t>
      </w:r>
      <w:r>
        <w:rPr>
          <w:rFonts w:hint="eastAsia" w:eastAsia="仿宋_GB2312"/>
          <w:sz w:val="32"/>
          <w:szCs w:val="32"/>
          <w:lang w:eastAsia="zh-CN" w:bidi="zh-CN"/>
        </w:rPr>
        <w:t>我局于2022年12月26日收到你关于某公司的举报，经核查，我局决定不予立案。</w:t>
      </w:r>
      <w:r>
        <w:rPr>
          <w:rFonts w:hint="eastAsia" w:eastAsia="仿宋_GB2312"/>
          <w:color w:val="auto"/>
          <w:sz w:val="32"/>
          <w:szCs w:val="32"/>
          <w:lang w:eastAsia="zh-CN" w:bidi="zh-CN"/>
        </w:rPr>
        <w:t>”程序合法，回复内容适当。</w:t>
      </w:r>
    </w:p>
    <w:p w14:paraId="132643B3">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color w:val="auto"/>
          <w:sz w:val="32"/>
          <w:szCs w:val="32"/>
          <w:lang w:eastAsia="zh-CN" w:bidi="zh-CN"/>
        </w:rPr>
      </w:pPr>
      <w:r>
        <w:rPr>
          <w:rFonts w:hint="eastAsia" w:eastAsia="仿宋_GB2312"/>
          <w:color w:val="auto"/>
          <w:sz w:val="32"/>
          <w:szCs w:val="32"/>
          <w:lang w:eastAsia="zh-CN" w:bidi="zh-CN"/>
        </w:rPr>
        <w:t>此外，根据《中华人民共和国行政复议法实施条例》第二十八条第二项规定，申请人应当与具体行政行为有利害关系。《中华人民共和国食品安全法》第一条及第十二条的规定，食品安全的监管是为了保障食品安全秩序、保护不特定公众的身体健康和生命安全。该法规定的举报，主要是为鼓励个人或者组织向食品安全监管部门提供违法行为的线索或者证据，市场监管部门在收到举报后如何作出行政行为，是出于对不特定公众利益的保护，而不会对举报人个人的合法权益造成区别于其他一般公众的特定的影响。行政机关对于举报事项所作的处理，包括立案或者不予立案，以及后续的执行行为等，指向的对象均为行政相对人而非举报人。实际上举报人（申请人）如认为其作为消费者的相关权益受到侵害，可以依据消费者权益保护的相关法律规范寻求救济。本案中，申请人没有举证证明其合法权益受到侵害，被申请人对案涉企业作出不予立案的决定，亦未对申请人的权益造成不利影响。因此，申请人与案涉行政行为没有利害关系。</w:t>
      </w:r>
    </w:p>
    <w:p w14:paraId="498C1D4A">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color w:val="auto"/>
          <w:sz w:val="32"/>
          <w:szCs w:val="32"/>
          <w:lang w:eastAsia="zh-CN" w:bidi="zh-CN"/>
        </w:rPr>
      </w:pPr>
      <w:r>
        <w:rPr>
          <w:rFonts w:hint="eastAsia" w:eastAsia="仿宋_GB2312"/>
          <w:color w:val="auto"/>
          <w:sz w:val="32"/>
          <w:szCs w:val="32"/>
          <w:lang w:eastAsia="zh-CN" w:bidi="zh-CN"/>
        </w:rPr>
        <w:t>综上，申请人的复议申请不符合《中华人民共和国行政复议法实施条例》第二十八条规定的受理条件。依据《中华人民共和国行政复议法实施条例》第四十八条第一款第（二）项之规定，本机关决定如下：</w:t>
      </w:r>
    </w:p>
    <w:p w14:paraId="2540F704">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eastAsia="仿宋_GB2312"/>
          <w:color w:val="auto"/>
          <w:sz w:val="32"/>
          <w:szCs w:val="32"/>
          <w:lang w:eastAsia="zh-CN" w:bidi="zh-CN"/>
        </w:rPr>
      </w:pPr>
      <w:r>
        <w:rPr>
          <w:rFonts w:hint="eastAsia" w:eastAsia="仿宋_GB2312"/>
          <w:color w:val="auto"/>
          <w:sz w:val="32"/>
          <w:szCs w:val="32"/>
          <w:lang w:eastAsia="zh-CN" w:bidi="zh-CN"/>
        </w:rPr>
        <w:t>驳回申请人</w:t>
      </w:r>
      <w:r>
        <w:rPr>
          <w:rFonts w:hint="eastAsia" w:eastAsia="仿宋_GB2312"/>
          <w:sz w:val="32"/>
          <w:szCs w:val="32"/>
          <w:lang w:eastAsia="zh-CN" w:bidi="zh-CN"/>
        </w:rPr>
        <w:t>苏某</w:t>
      </w:r>
      <w:r>
        <w:rPr>
          <w:rFonts w:hint="eastAsia" w:eastAsia="仿宋_GB2312"/>
          <w:color w:val="auto"/>
          <w:sz w:val="32"/>
          <w:szCs w:val="32"/>
          <w:lang w:eastAsia="zh-CN" w:bidi="zh-CN"/>
        </w:rPr>
        <w:t>的行政复议申请。</w:t>
      </w:r>
    </w:p>
    <w:p w14:paraId="0C31CDDF">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eastAsia="仿宋_GB2312"/>
          <w:sz w:val="32"/>
          <w:szCs w:val="32"/>
          <w:lang w:eastAsia="zh-CN" w:bidi="zh-CN"/>
        </w:rPr>
      </w:pPr>
      <w:r>
        <w:rPr>
          <w:rFonts w:hint="eastAsia" w:eastAsia="仿宋_GB2312"/>
          <w:sz w:val="32"/>
          <w:szCs w:val="32"/>
          <w:lang w:eastAsia="zh-CN" w:bidi="zh-CN"/>
        </w:rPr>
        <w:t>如对本行政复议决定不服的，可以依照《中华人民共和国行政诉讼法》第四十五条之规定，在收到</w:t>
      </w:r>
      <w:r>
        <w:fldChar w:fldCharType="begin"/>
      </w:r>
      <w:r>
        <w:instrText xml:space="preserve"> HYPERLINK "https://baike.sogou.com/lemma/ShowInnerLink.htm?lemmaId=176431922&amp;ss_c=ssc.citiao.link" \t "https://baike.sogou.com/_blank" </w:instrText>
      </w:r>
      <w:r>
        <w:fldChar w:fldCharType="separate"/>
      </w:r>
      <w:r>
        <w:rPr>
          <w:rFonts w:hint="eastAsia" w:eastAsia="仿宋_GB2312"/>
          <w:sz w:val="32"/>
          <w:szCs w:val="32"/>
          <w:lang w:eastAsia="zh-CN" w:bidi="zh-CN"/>
        </w:rPr>
        <w:t>复议决定书</w:t>
      </w:r>
      <w:r>
        <w:rPr>
          <w:rFonts w:hint="eastAsia" w:eastAsia="仿宋_GB2312"/>
          <w:sz w:val="32"/>
          <w:szCs w:val="32"/>
          <w:lang w:eastAsia="zh-CN" w:bidi="zh-CN"/>
        </w:rPr>
        <w:fldChar w:fldCharType="end"/>
      </w:r>
      <w:r>
        <w:rPr>
          <w:rFonts w:hint="eastAsia" w:eastAsia="仿宋_GB2312"/>
          <w:sz w:val="32"/>
          <w:szCs w:val="32"/>
          <w:lang w:eastAsia="zh-CN" w:bidi="zh-CN"/>
        </w:rPr>
        <w:t>之日起十五日内向有管辖权的人民法院提起诉讼。</w:t>
      </w:r>
    </w:p>
    <w:p w14:paraId="21E5AFFB">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eastAsia="仿宋_GB2312"/>
          <w:sz w:val="32"/>
          <w:szCs w:val="32"/>
          <w:lang w:eastAsia="zh-CN" w:bidi="zh-CN"/>
        </w:rPr>
      </w:pPr>
    </w:p>
    <w:p w14:paraId="2B4E26C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eastAsia="仿宋_GB2312"/>
          <w:sz w:val="32"/>
          <w:szCs w:val="32"/>
          <w:lang w:eastAsia="zh-CN" w:bidi="zh-CN"/>
        </w:rPr>
      </w:pPr>
    </w:p>
    <w:p w14:paraId="69AC58C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eastAsia="仿宋_GB2312"/>
          <w:sz w:val="32"/>
          <w:szCs w:val="32"/>
          <w:lang w:eastAsia="zh-CN" w:bidi="zh-CN"/>
        </w:rPr>
      </w:pPr>
    </w:p>
    <w:p w14:paraId="2B1F1AB6">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center"/>
        <w:textAlignment w:val="auto"/>
        <w:rPr>
          <w:rFonts w:eastAsia="仿宋_GB2312"/>
          <w:sz w:val="32"/>
          <w:szCs w:val="32"/>
          <w:lang w:eastAsia="zh-CN" w:bidi="zh-CN"/>
        </w:rPr>
      </w:pPr>
      <w:r>
        <w:rPr>
          <w:rFonts w:hint="eastAsia" w:eastAsia="仿宋_GB2312"/>
          <w:sz w:val="32"/>
          <w:szCs w:val="32"/>
          <w:lang w:eastAsia="zh-CN" w:bidi="zh-CN"/>
        </w:rPr>
        <w:t xml:space="preserve">                                                 2023年   月   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638BE">
    <w:pPr>
      <w:pStyle w:val="5"/>
    </w:pPr>
    <w:r>
      <w:pict>
        <v:shape id="4097"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14:paraId="583176FB">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7</w:t>
                </w:r>
                <w:r>
                  <w:rPr>
                    <w:rFonts w:hint="eastAsia"/>
                    <w:lang w:eastAsia="zh-CN"/>
                  </w:rPr>
                  <w:fldChar w:fldCharType="end"/>
                </w:r>
              </w:p>
            </w:txbxContent>
          </v:textbox>
        </v:shape>
      </w:pict>
    </w:r>
    <w:r>
      <w:pict>
        <v:shape id="4098"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14:paraId="67B7C9F3">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81"/>
  <w:drawingGridVerticalSpacing w:val="18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Q2MTI4N2Y1OWJmYzhlZjdkYWZkZjQ0Nzg3NmI1ZjIifQ=="/>
  </w:docVars>
  <w:rsids>
    <w:rsidRoot w:val="007A5245"/>
    <w:rsid w:val="001804CA"/>
    <w:rsid w:val="00285B17"/>
    <w:rsid w:val="0067319E"/>
    <w:rsid w:val="006E2FA3"/>
    <w:rsid w:val="007A5245"/>
    <w:rsid w:val="0089514A"/>
    <w:rsid w:val="00A40AFF"/>
    <w:rsid w:val="00A66651"/>
    <w:rsid w:val="00AE5A8A"/>
    <w:rsid w:val="00B2077A"/>
    <w:rsid w:val="00BB7209"/>
    <w:rsid w:val="00C403B7"/>
    <w:rsid w:val="00F4532F"/>
    <w:rsid w:val="00F91055"/>
    <w:rsid w:val="00FB78A2"/>
    <w:rsid w:val="06801C3B"/>
    <w:rsid w:val="1D1B5CAC"/>
    <w:rsid w:val="2C451D2D"/>
    <w:rsid w:val="356E34B4"/>
    <w:rsid w:val="35F32813"/>
    <w:rsid w:val="3A386910"/>
    <w:rsid w:val="3F021D6B"/>
    <w:rsid w:val="51CA6DFA"/>
    <w:rsid w:val="5AC33598"/>
    <w:rsid w:val="62D9221D"/>
    <w:rsid w:val="647D1DE9"/>
    <w:rsid w:val="6700318D"/>
    <w:rsid w:val="6C755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8"/>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7"/>
    <w:qFormat/>
    <w:uiPriority w:val="99"/>
    <w:pPr>
      <w:tabs>
        <w:tab w:val="center" w:pos="4153"/>
        <w:tab w:val="right" w:pos="8306"/>
      </w:tabs>
      <w:snapToGrid w:val="0"/>
    </w:pPr>
    <w:rPr>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p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Body text|2"/>
    <w:basedOn w:val="1"/>
    <w:link w:val="14"/>
    <w:qFormat/>
    <w:uiPriority w:val="0"/>
    <w:pPr>
      <w:spacing w:after="560"/>
      <w:jc w:val="center"/>
    </w:pPr>
    <w:rPr>
      <w:color w:val="CD5260"/>
      <w:sz w:val="50"/>
      <w:szCs w:val="50"/>
      <w:u w:val="single"/>
      <w:lang w:val="zh-TW" w:eastAsia="zh-TW" w:bidi="zh-TW"/>
    </w:rPr>
  </w:style>
  <w:style w:type="paragraph" w:customStyle="1" w:styleId="13">
    <w:name w:val="Body text|1"/>
    <w:basedOn w:val="1"/>
    <w:link w:val="15"/>
    <w:qFormat/>
    <w:uiPriority w:val="0"/>
    <w:pPr>
      <w:spacing w:line="425" w:lineRule="auto"/>
      <w:ind w:firstLine="400"/>
    </w:pPr>
    <w:rPr>
      <w:sz w:val="30"/>
      <w:szCs w:val="30"/>
      <w:lang w:val="zh-TW" w:eastAsia="zh-TW" w:bidi="zh-TW"/>
    </w:rPr>
  </w:style>
  <w:style w:type="character" w:customStyle="1" w:styleId="14">
    <w:name w:val="Body text|2_"/>
    <w:basedOn w:val="9"/>
    <w:link w:val="12"/>
    <w:qFormat/>
    <w:uiPriority w:val="0"/>
    <w:rPr>
      <w:color w:val="CD5260"/>
      <w:sz w:val="50"/>
      <w:szCs w:val="50"/>
      <w:u w:val="single"/>
      <w:shd w:val="clear" w:color="auto" w:fill="auto"/>
      <w:lang w:val="zh-TW" w:eastAsia="zh-TW" w:bidi="zh-TW"/>
    </w:rPr>
  </w:style>
  <w:style w:type="character" w:customStyle="1" w:styleId="15">
    <w:name w:val="Body text|1_"/>
    <w:basedOn w:val="9"/>
    <w:link w:val="13"/>
    <w:qFormat/>
    <w:uiPriority w:val="0"/>
    <w:rPr>
      <w:sz w:val="30"/>
      <w:szCs w:val="30"/>
      <w:u w:val="none"/>
      <w:shd w:val="clear" w:color="auto" w:fill="auto"/>
      <w:lang w:val="zh-TW" w:eastAsia="zh-TW" w:bidi="zh-TW"/>
    </w:rPr>
  </w:style>
  <w:style w:type="character" w:customStyle="1" w:styleId="16">
    <w:name w:val="页眉 Char"/>
    <w:basedOn w:val="9"/>
    <w:link w:val="6"/>
    <w:qFormat/>
    <w:uiPriority w:val="99"/>
    <w:rPr>
      <w:color w:val="000000"/>
      <w:sz w:val="18"/>
      <w:szCs w:val="18"/>
      <w:lang w:eastAsia="en-US" w:bidi="en-US"/>
    </w:rPr>
  </w:style>
  <w:style w:type="character" w:customStyle="1" w:styleId="17">
    <w:name w:val="页脚 Char"/>
    <w:basedOn w:val="9"/>
    <w:link w:val="5"/>
    <w:qFormat/>
    <w:uiPriority w:val="99"/>
    <w:rPr>
      <w:color w:val="000000"/>
      <w:sz w:val="18"/>
      <w:szCs w:val="18"/>
      <w:lang w:eastAsia="en-US" w:bidi="en-US"/>
    </w:rPr>
  </w:style>
  <w:style w:type="character" w:customStyle="1" w:styleId="18">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7FEC17-EC30-4F78-BFD4-0DC917903F47}">
  <ds:schemaRefs/>
</ds:datastoreItem>
</file>

<file path=docProps/app.xml><?xml version="1.0" encoding="utf-8"?>
<Properties xmlns="http://schemas.openxmlformats.org/officeDocument/2006/extended-properties" xmlns:vt="http://schemas.openxmlformats.org/officeDocument/2006/docPropsVTypes">
  <Template>Normal</Template>
  <Pages>6</Pages>
  <Words>3443</Words>
  <Characters>3630</Characters>
  <Lines>27</Lines>
  <Paragraphs>7</Paragraphs>
  <TotalTime>4</TotalTime>
  <ScaleCrop>false</ScaleCrop>
  <LinksUpToDate>false</LinksUpToDate>
  <CharactersWithSpaces>3763</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2023-03-15T03:49:00Z</cp:lastPrinted>
  <dcterms:modified xsi:type="dcterms:W3CDTF">2024-11-07T06:46:26Z</dcterms:modified>
  <dc:title>Administrator</dc:title>
  <cp:revision>157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4569295C2779439785A1FF0F8DDF6C6B</vt:lpwstr>
  </property>
</Properties>
</file>