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B85A5">
      <w:pPr>
        <w:pStyle w:val="10"/>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p>
    <w:p w14:paraId="4008A1E9">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7DBFD8B8">
      <w:pPr>
        <w:keepNext w:val="0"/>
        <w:keepLines w:val="0"/>
        <w:pageBreakBefore w:val="0"/>
        <w:kinsoku/>
        <w:wordWrap/>
        <w:overflowPunct/>
        <w:topLinePunct w:val="0"/>
        <w:autoSpaceDE/>
        <w:autoSpaceDN/>
        <w:bidi w:val="0"/>
        <w:adjustRightInd/>
        <w:snapToGrid/>
        <w:spacing w:line="640" w:lineRule="exact"/>
        <w:jc w:val="right"/>
        <w:textAlignment w:val="auto"/>
        <w:rPr>
          <w:rFonts w:eastAsia="仿宋"/>
          <w:sz w:val="32"/>
          <w:szCs w:val="32"/>
          <w:lang w:eastAsia="zh-CN"/>
        </w:rPr>
      </w:pPr>
      <w:r>
        <w:rPr>
          <w:rFonts w:hint="eastAsia" w:eastAsia="仿宋_GB2312"/>
          <w:sz w:val="32"/>
          <w:szCs w:val="32"/>
          <w:lang w:eastAsia="zh-CN"/>
        </w:rPr>
        <w:t xml:space="preserve">   </w:t>
      </w:r>
      <w:bookmarkStart w:id="0" w:name="_GoBack"/>
      <w:r>
        <w:rPr>
          <w:rFonts w:hint="eastAsia" w:eastAsia="仿宋_GB2312"/>
          <w:sz w:val="32"/>
          <w:szCs w:val="32"/>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24</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highlight w:val="none"/>
          <w:lang w:val="en-US" w:eastAsia="zh-CN" w:bidi="zh-CN"/>
        </w:rPr>
        <w:t xml:space="preserve"> </w:t>
      </w:r>
      <w:bookmarkEnd w:id="0"/>
      <w:r>
        <w:rPr>
          <w:rFonts w:hint="default" w:ascii="Times New Roman" w:hAnsi="Times New Roman" w:eastAsia="仿宋_GB2312" w:cs="Times New Roman"/>
          <w:sz w:val="32"/>
          <w:szCs w:val="32"/>
          <w:highlight w:val="none"/>
          <w:lang w:eastAsia="zh-CN"/>
        </w:rPr>
        <w:t xml:space="preserve"> </w:t>
      </w:r>
      <w:r>
        <w:rPr>
          <w:rFonts w:hAnsi="仿宋" w:eastAsia="仿宋"/>
          <w:sz w:val="32"/>
          <w:szCs w:val="32"/>
          <w:lang w:eastAsia="zh-CN"/>
        </w:rPr>
        <w:t xml:space="preserve"> </w:t>
      </w:r>
      <w:r>
        <w:rPr>
          <w:rFonts w:eastAsia="仿宋"/>
          <w:sz w:val="32"/>
          <w:szCs w:val="32"/>
          <w:lang w:eastAsia="zh-CN"/>
        </w:rPr>
        <w:t xml:space="preserve">   </w:t>
      </w:r>
    </w:p>
    <w:p w14:paraId="1B3B308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zh-CN"/>
        </w:rPr>
      </w:pPr>
      <w:r>
        <w:rPr>
          <w:rFonts w:hint="default" w:ascii="Times New Roman" w:hAnsi="Times New Roman" w:eastAsia="仿宋_GB2312" w:cs="Times New Roman"/>
          <w:color w:val="auto"/>
          <w:sz w:val="32"/>
          <w:szCs w:val="32"/>
          <w:lang w:eastAsia="zh-CN" w:bidi="zh-CN"/>
        </w:rPr>
        <w:t>申请人：</w:t>
      </w:r>
      <w:r>
        <w:rPr>
          <w:rFonts w:hint="eastAsia" w:eastAsia="仿宋_GB2312" w:cs="Times New Roman"/>
          <w:color w:val="auto"/>
          <w:sz w:val="32"/>
          <w:szCs w:val="32"/>
          <w:lang w:val="en-US" w:eastAsia="zh-CN" w:bidi="zh-CN"/>
        </w:rPr>
        <w:t>张某</w:t>
      </w:r>
      <w:r>
        <w:rPr>
          <w:rFonts w:hint="default" w:ascii="Times New Roman" w:hAnsi="Times New Roman" w:eastAsia="仿宋_GB2312" w:cs="Times New Roman"/>
          <w:color w:val="auto"/>
          <w:sz w:val="32"/>
          <w:szCs w:val="32"/>
          <w:lang w:val="en-US" w:eastAsia="zh-CN" w:bidi="zh-CN"/>
        </w:rPr>
        <w:t>。</w:t>
      </w:r>
    </w:p>
    <w:p w14:paraId="44969A90">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被申请人：洛阳市</w:t>
      </w:r>
      <w:r>
        <w:rPr>
          <w:rFonts w:hint="eastAsia" w:eastAsia="仿宋_GB2312" w:cs="Times New Roman"/>
          <w:color w:val="auto"/>
          <w:sz w:val="32"/>
          <w:szCs w:val="32"/>
          <w:highlight w:val="none"/>
          <w:lang w:val="en-US" w:eastAsia="zh-CN" w:bidi="zh-CN"/>
        </w:rPr>
        <w:t>涧西区瀛洲街道办事处</w:t>
      </w:r>
      <w:r>
        <w:rPr>
          <w:rFonts w:hint="default" w:ascii="Times New Roman" w:hAnsi="Times New Roman" w:eastAsia="仿宋_GB2312" w:cs="Times New Roman"/>
          <w:color w:val="auto"/>
          <w:sz w:val="32"/>
          <w:szCs w:val="32"/>
          <w:highlight w:val="none"/>
          <w:lang w:val="en-US" w:eastAsia="zh-CN" w:bidi="zh-CN"/>
        </w:rPr>
        <w:t>。</w:t>
      </w:r>
    </w:p>
    <w:p w14:paraId="09EC812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eastAsia="zh-CN" w:bidi="zh-CN"/>
        </w:rPr>
      </w:pPr>
      <w:r>
        <w:rPr>
          <w:rFonts w:hint="default" w:ascii="Times New Roman" w:hAnsi="Times New Roman" w:eastAsia="仿宋_GB2312" w:cs="Times New Roman"/>
          <w:color w:val="auto"/>
          <w:sz w:val="32"/>
          <w:szCs w:val="32"/>
          <w:lang w:eastAsia="zh-CN" w:bidi="zh-CN"/>
        </w:rPr>
        <w:t>申请人不服被申请人</w:t>
      </w:r>
      <w:r>
        <w:rPr>
          <w:rFonts w:hint="eastAsia" w:eastAsia="仿宋_GB2312" w:cs="Times New Roman"/>
          <w:color w:val="auto"/>
          <w:sz w:val="32"/>
          <w:szCs w:val="32"/>
          <w:lang w:val="en-US" w:eastAsia="zh-CN" w:bidi="zh-CN"/>
        </w:rPr>
        <w:t>对2023年3月24日签收的《政府信息公开申请书》未在法定期限内履行政府信息公开法定职责，</w:t>
      </w:r>
      <w:r>
        <w:rPr>
          <w:rFonts w:hint="default" w:ascii="Times New Roman" w:hAnsi="Times New Roman" w:eastAsia="仿宋_GB2312" w:cs="Times New Roman"/>
          <w:color w:val="auto"/>
          <w:sz w:val="32"/>
          <w:szCs w:val="32"/>
          <w:lang w:eastAsia="zh-CN" w:bidi="zh-CN"/>
        </w:rPr>
        <w:t>向本机关申请行政复议，本机关依法予</w:t>
      </w:r>
      <w:r>
        <w:rPr>
          <w:rFonts w:hint="eastAsia" w:eastAsia="仿宋_GB2312" w:cs="Times New Roman"/>
          <w:color w:val="auto"/>
          <w:sz w:val="32"/>
          <w:szCs w:val="32"/>
          <w:lang w:val="en-US" w:eastAsia="zh-CN" w:bidi="zh-CN"/>
        </w:rPr>
        <w:t>以</w:t>
      </w:r>
      <w:r>
        <w:rPr>
          <w:rFonts w:hint="default" w:ascii="Times New Roman" w:hAnsi="Times New Roman" w:eastAsia="仿宋_GB2312" w:cs="Times New Roman"/>
          <w:color w:val="auto"/>
          <w:sz w:val="32"/>
          <w:szCs w:val="32"/>
          <w:lang w:eastAsia="zh-CN" w:bidi="zh-CN"/>
        </w:rPr>
        <w:t>受理，现已审理终结。</w:t>
      </w:r>
    </w:p>
    <w:p w14:paraId="724BF8D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b w:val="0"/>
          <w:bCs/>
          <w:color w:val="auto"/>
          <w:sz w:val="32"/>
          <w:szCs w:val="32"/>
          <w:lang w:val="en-US" w:eastAsia="zh-CN" w:bidi="zh-CN"/>
        </w:rPr>
      </w:pPr>
      <w:r>
        <w:rPr>
          <w:rFonts w:hint="default" w:ascii="黑体" w:hAnsi="黑体" w:eastAsia="黑体" w:cs="黑体"/>
          <w:b w:val="0"/>
          <w:bCs w:val="0"/>
          <w:sz w:val="32"/>
          <w:szCs w:val="32"/>
          <w:highlight w:val="none"/>
          <w:lang w:eastAsia="zh-CN"/>
        </w:rPr>
        <w:t>申请人请求：</w:t>
      </w:r>
      <w:r>
        <w:rPr>
          <w:rFonts w:hint="eastAsia" w:eastAsia="仿宋_GB2312" w:cs="Times New Roman"/>
          <w:b w:val="0"/>
          <w:bCs/>
          <w:color w:val="auto"/>
          <w:sz w:val="32"/>
          <w:szCs w:val="32"/>
          <w:lang w:val="en-US" w:eastAsia="zh-CN" w:bidi="zh-CN"/>
        </w:rPr>
        <w:t>1、依法确认被申请人于2023年3月24日签收申请人邮寄的《政府信息公开申请书》之日起，在20个工作日内拒不履行政府信息公开法定职责违法；2、依法责令被申请人按照申请人申请事项公开政府信息。</w:t>
      </w:r>
    </w:p>
    <w:p w14:paraId="233BEAB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color w:val="auto"/>
          <w:sz w:val="32"/>
          <w:szCs w:val="32"/>
          <w:lang w:val="en-US" w:eastAsia="zh-CN" w:bidi="zh-CN"/>
        </w:rPr>
      </w:pPr>
      <w:r>
        <w:rPr>
          <w:rFonts w:hint="default" w:ascii="黑体" w:hAnsi="黑体" w:eastAsia="黑体" w:cs="黑体"/>
          <w:b w:val="0"/>
          <w:bCs w:val="0"/>
          <w:sz w:val="32"/>
          <w:szCs w:val="32"/>
          <w:highlight w:val="none"/>
          <w:lang w:eastAsia="zh-CN"/>
        </w:rPr>
        <w:t>申请人称：</w:t>
      </w:r>
      <w:r>
        <w:rPr>
          <w:rFonts w:hint="eastAsia" w:eastAsia="仿宋_GB2312" w:cs="Times New Roman"/>
          <w:b w:val="0"/>
          <w:bCs/>
          <w:color w:val="auto"/>
          <w:sz w:val="32"/>
          <w:szCs w:val="32"/>
          <w:lang w:val="en-US" w:eastAsia="zh-CN" w:bidi="zh-CN"/>
        </w:rPr>
        <w:t>申请人张某于2021年10月28日收到被申请人伪造的《信访事项处理意见书》，申请人张某从未向被申请人递交过任何信访材料，从未到被申请人处登记过任何信访信息。被申请人告知申请人“张甲持有的两本集体土地建设使用证是由洛阳市郊区土地管理发放的，证上载日期是1993年8月。经到洛阳高新技术产业开发区住房和建设管理局查证，原始档案与张甲家拆迁时持有的两本集体土地使用证一致”，后经申请人依法取证查实：原始档案没有张甲《土地登记申请书》，没有张甲身份证证明、户籍住址及联系方式任何信息。申请人认为被申请人提供张甲的原始档案与申请人调查取证张甲原始档案信息原则上不一致。申请人为了依法获取知情权，维护遗产继承权，于2023年3月23日向被申请人邮寄一封政府信息公开申请书，要求被申请人依法公开自认“张甲持有的两本集体土地建设使用证是由洛阳市郊区土地管理发放的，证上载日期是1993年8月。经到洛阳高新技术产业开发区住房和建设管理局查证，原始档案与张甲家拆迁时持有的两本集体土地使用证一致”的行政执法证据，依据的相关信息。被申请人于2023年3月24日收到申请人政府信息公开申请书后，拒不履行政府信息公开法定职责，现已超过信息公开条例规定的20个工作日，且又不执行《洛阳市全面推行行政执法公示制度执法全过程记录制度重大执法决定法制审核制度》违法，又不执行《关于实行国家机关"谁执法谁普法"普法责任制的意见》违法。被申请人在政府信息公开工作中故意侵犯申请人合法权益，故意剥夺申请人的知情权、参与权、监督权。申请人依据《政府信息公开条例》第五十一条规定依法申请行政复议，特请求依法责令被申请人按照申请人申请公开的事项公开政府信息。</w:t>
      </w:r>
    </w:p>
    <w:p w14:paraId="3B971F8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b w:val="0"/>
          <w:bCs/>
          <w:color w:val="auto"/>
          <w:sz w:val="32"/>
          <w:szCs w:val="32"/>
          <w:highlight w:val="none"/>
          <w:lang w:val="en-US" w:eastAsia="zh-CN" w:bidi="zh-CN"/>
        </w:rPr>
      </w:pPr>
      <w:r>
        <w:rPr>
          <w:rFonts w:hint="default" w:ascii="黑体" w:hAnsi="黑体" w:eastAsia="黑体" w:cs="黑体"/>
          <w:b w:val="0"/>
          <w:bCs w:val="0"/>
          <w:sz w:val="32"/>
          <w:szCs w:val="32"/>
          <w:highlight w:val="none"/>
          <w:lang w:eastAsia="zh-CN"/>
        </w:rPr>
        <w:t>被申请人称：</w:t>
      </w:r>
      <w:r>
        <w:rPr>
          <w:rFonts w:hint="eastAsia" w:eastAsia="仿宋_GB2312" w:cs="Times New Roman"/>
          <w:b w:val="0"/>
          <w:bCs/>
          <w:color w:val="auto"/>
          <w:sz w:val="32"/>
          <w:szCs w:val="32"/>
          <w:highlight w:val="none"/>
          <w:lang w:val="en-US" w:eastAsia="zh-CN" w:bidi="zh-CN"/>
        </w:rPr>
        <w:t>一、办事处在法律规定的期限内对张某等人申请政府信息进行了答复，张某称：办事处没有在法定期限内进行答复的理由与事实不符，其理由不能成立，其请求应予驳回。二、张某等就同一内容多次以不同的理由申请政府信息公开。办事处认为，张某等在明知信息内容的情况下，又申请政府信息公开，办事处认为，该行为显属滥用知情权，不能得到复议机关的支持。综上，办事处请求复议机关依法驳回张某等无理申请，维护行政机关的办公秩序。</w:t>
      </w:r>
    </w:p>
    <w:p w14:paraId="228E2EF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b w:val="0"/>
          <w:bCs/>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rPr>
        <w:t>本机关</w:t>
      </w:r>
      <w:r>
        <w:rPr>
          <w:rFonts w:hint="default" w:ascii="黑体" w:hAnsi="黑体" w:eastAsia="黑体" w:cs="黑体"/>
          <w:b w:val="0"/>
          <w:bCs w:val="0"/>
          <w:sz w:val="32"/>
          <w:szCs w:val="32"/>
          <w:highlight w:val="none"/>
          <w:lang w:eastAsia="zh-CN"/>
        </w:rPr>
        <w:t>查明：</w:t>
      </w:r>
      <w:r>
        <w:rPr>
          <w:rFonts w:hint="eastAsia" w:eastAsia="仿宋_GB2312" w:cs="Times New Roman"/>
          <w:b w:val="0"/>
          <w:bCs/>
          <w:color w:val="auto"/>
          <w:sz w:val="32"/>
          <w:szCs w:val="32"/>
          <w:highlight w:val="none"/>
          <w:lang w:val="en-US" w:eastAsia="zh-CN" w:bidi="zh-CN"/>
        </w:rPr>
        <w:t>2023年3月23日，申请人向被申请人邮寄《政府信息公开申请书》，</w:t>
      </w:r>
      <w:r>
        <w:rPr>
          <w:rFonts w:hint="default" w:eastAsia="仿宋_GB2312" w:cs="Times New Roman"/>
          <w:b w:val="0"/>
          <w:bCs/>
          <w:color w:val="auto"/>
          <w:sz w:val="32"/>
          <w:szCs w:val="32"/>
          <w:highlight w:val="none"/>
          <w:lang w:val="en-US" w:eastAsia="zh-CN" w:bidi="zh-CN"/>
        </w:rPr>
        <w:t>申请</w:t>
      </w:r>
      <w:r>
        <w:rPr>
          <w:rFonts w:hint="eastAsia" w:eastAsia="仿宋_GB2312" w:cs="Times New Roman"/>
          <w:b w:val="0"/>
          <w:bCs/>
          <w:color w:val="auto"/>
          <w:sz w:val="32"/>
          <w:szCs w:val="32"/>
          <w:highlight w:val="none"/>
          <w:lang w:val="en-US" w:eastAsia="zh-CN" w:bidi="zh-CN"/>
        </w:rPr>
        <w:t>公开事项为：“申请被申请人洛阳市涧西区瀛洲街道办事处依法公开，确认张甲持有的两本集体土地建设使用证是由洛阳市郊区土地管理发放的，证上载日期是1993年8月。经到洛阳高新技术产业开发区</w:t>
      </w:r>
      <w:r>
        <w:rPr>
          <w:rFonts w:hint="eastAsia" w:eastAsia="仿宋_GB2312" w:cs="Times New Roman"/>
          <w:b w:val="0"/>
          <w:bCs/>
          <w:color w:val="auto"/>
          <w:sz w:val="32"/>
          <w:szCs w:val="32"/>
          <w:lang w:val="en-US" w:eastAsia="zh-CN" w:bidi="zh-CN"/>
        </w:rPr>
        <w:t>住房</w:t>
      </w:r>
      <w:r>
        <w:rPr>
          <w:rFonts w:hint="eastAsia" w:eastAsia="仿宋_GB2312" w:cs="Times New Roman"/>
          <w:b w:val="0"/>
          <w:bCs/>
          <w:color w:val="auto"/>
          <w:sz w:val="32"/>
          <w:szCs w:val="32"/>
          <w:highlight w:val="none"/>
          <w:lang w:val="en-US" w:eastAsia="zh-CN" w:bidi="zh-CN"/>
        </w:rPr>
        <w:t>和建设管理局查证，原始档案与张甲家拆迁时持有的两本集体土地使用证一致的行政执法证据，依据的信息”。2023年4月17日，被申请人向申请人邮寄送达了《信息公开告知书》，内容为：“你申请的内容不属于政府信息公开范畴”。申请人于2023年4月18日签收。</w:t>
      </w:r>
    </w:p>
    <w:p w14:paraId="2F5B5F9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color w:val="auto"/>
          <w:sz w:val="32"/>
          <w:szCs w:val="32"/>
          <w:highlight w:val="none"/>
          <w:lang w:val="en-US" w:eastAsia="zh-CN" w:bidi="zh-CN"/>
        </w:rPr>
      </w:pPr>
      <w:r>
        <w:rPr>
          <w:rFonts w:hint="default" w:ascii="黑体" w:hAnsi="黑体" w:eastAsia="黑体" w:cs="黑体"/>
          <w:b w:val="0"/>
          <w:bCs w:val="0"/>
          <w:sz w:val="32"/>
          <w:szCs w:val="32"/>
          <w:highlight w:val="none"/>
          <w:lang w:val="en-US" w:eastAsia="zh-CN"/>
        </w:rPr>
        <w:t>上述事实</w:t>
      </w:r>
      <w:r>
        <w:rPr>
          <w:rFonts w:hint="eastAsia" w:ascii="黑体" w:hAnsi="黑体" w:eastAsia="黑体" w:cs="黑体"/>
          <w:b w:val="0"/>
          <w:bCs w:val="0"/>
          <w:sz w:val="32"/>
          <w:szCs w:val="32"/>
          <w:highlight w:val="none"/>
          <w:lang w:val="en-US" w:eastAsia="zh-CN"/>
        </w:rPr>
        <w:t>有</w:t>
      </w:r>
      <w:r>
        <w:rPr>
          <w:rFonts w:hint="default" w:ascii="黑体" w:hAnsi="黑体" w:eastAsia="黑体" w:cs="黑体"/>
          <w:b w:val="0"/>
          <w:bCs w:val="0"/>
          <w:sz w:val="32"/>
          <w:szCs w:val="32"/>
          <w:highlight w:val="none"/>
          <w:lang w:val="en-US" w:eastAsia="zh-CN"/>
        </w:rPr>
        <w:t>下列证据</w:t>
      </w:r>
      <w:r>
        <w:rPr>
          <w:rFonts w:hint="eastAsia" w:ascii="黑体" w:hAnsi="黑体" w:eastAsia="黑体" w:cs="黑体"/>
          <w:b w:val="0"/>
          <w:bCs w:val="0"/>
          <w:sz w:val="32"/>
          <w:szCs w:val="32"/>
          <w:highlight w:val="none"/>
          <w:lang w:val="en-US" w:eastAsia="zh-CN"/>
        </w:rPr>
        <w:t>证明</w:t>
      </w:r>
      <w:r>
        <w:rPr>
          <w:rFonts w:hint="default" w:ascii="黑体" w:hAnsi="黑体" w:eastAsia="黑体" w:cs="黑体"/>
          <w:b w:val="0"/>
          <w:bCs w:val="0"/>
          <w:sz w:val="32"/>
          <w:szCs w:val="32"/>
          <w:highlight w:val="none"/>
          <w:lang w:val="en-US" w:eastAsia="zh-CN"/>
        </w:rPr>
        <w:t>：</w:t>
      </w:r>
      <w:r>
        <w:rPr>
          <w:rFonts w:hint="eastAsia" w:eastAsia="仿宋_GB2312" w:cs="Times New Roman"/>
          <w:b w:val="0"/>
          <w:bCs/>
          <w:color w:val="auto"/>
          <w:sz w:val="32"/>
          <w:szCs w:val="32"/>
          <w:highlight w:val="none"/>
          <w:lang w:val="en-US" w:eastAsia="zh-CN" w:bidi="zh-CN"/>
        </w:rPr>
        <w:t>1、2023.3.23《政府信息公开申请书》；2、2023.4.17《信息公开告知书》；3、邮寄单复印件及物流详情截图；4、张某身份证复印件。</w:t>
      </w:r>
    </w:p>
    <w:p w14:paraId="6345D56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b w:val="0"/>
          <w:bCs/>
          <w:color w:val="auto"/>
          <w:sz w:val="32"/>
          <w:szCs w:val="32"/>
          <w:highlight w:val="none"/>
          <w:lang w:val="en-US" w:eastAsia="zh-CN" w:bidi="zh-CN"/>
        </w:rPr>
      </w:pPr>
      <w:r>
        <w:rPr>
          <w:rFonts w:hint="default" w:ascii="黑体" w:hAnsi="黑体" w:eastAsia="黑体" w:cs="黑体"/>
          <w:b w:val="0"/>
          <w:bCs w:val="0"/>
          <w:sz w:val="32"/>
          <w:szCs w:val="32"/>
          <w:highlight w:val="none"/>
          <w:lang w:val="en-US" w:eastAsia="zh-CN"/>
        </w:rPr>
        <w:t>本机关</w:t>
      </w:r>
      <w:r>
        <w:rPr>
          <w:rFonts w:hint="eastAsia" w:ascii="黑体" w:hAnsi="黑体" w:eastAsia="黑体" w:cs="黑体"/>
          <w:b w:val="0"/>
          <w:bCs w:val="0"/>
          <w:sz w:val="32"/>
          <w:szCs w:val="32"/>
          <w:highlight w:val="none"/>
          <w:lang w:val="en-US" w:eastAsia="zh-CN"/>
        </w:rPr>
        <w:t>审理后</w:t>
      </w:r>
      <w:r>
        <w:rPr>
          <w:rFonts w:hint="default" w:ascii="黑体" w:hAnsi="黑体" w:eastAsia="黑体" w:cs="黑体"/>
          <w:b w:val="0"/>
          <w:bCs w:val="0"/>
          <w:sz w:val="32"/>
          <w:szCs w:val="32"/>
          <w:highlight w:val="none"/>
          <w:lang w:val="en-US" w:eastAsia="zh-CN"/>
        </w:rPr>
        <w:t>认为：</w:t>
      </w:r>
      <w:r>
        <w:rPr>
          <w:rFonts w:hint="eastAsia" w:eastAsia="仿宋_GB2312" w:cs="Times New Roman"/>
          <w:b w:val="0"/>
          <w:bCs/>
          <w:color w:val="auto"/>
          <w:sz w:val="32"/>
          <w:szCs w:val="32"/>
          <w:highlight w:val="none"/>
          <w:lang w:val="en-US" w:eastAsia="zh-CN" w:bidi="zh-CN"/>
        </w:rPr>
        <w:t>根据《中华人民共和国政府信息公开条例》第三十三条第二款“行政机关不能当场答复的，应当自收到申请之日起20个工作日内予以答复”之规定，本案中，被申请人于2023年3月24日收到申请人邮寄的《政府信息公开申请书》，于2023年4月17日作出《信息公开告知书》，并于当日邮寄送达申请人，被申请人已在法定期限内依法办理政府信息公开申请事项，符合法律规定。且本机关于2023年 4月26日受理申请人的行政复议申请，被申请人已于2023年4月17日作出《信息公开告知书》，属于在受理前已经履行法定职责的情形。</w:t>
      </w:r>
    </w:p>
    <w:p w14:paraId="142BF86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eastAsia" w:eastAsia="仿宋_GB2312" w:cs="Times New Roman"/>
          <w:b w:val="0"/>
          <w:bCs/>
          <w:color w:val="auto"/>
          <w:sz w:val="32"/>
          <w:szCs w:val="32"/>
          <w:highlight w:val="none"/>
          <w:lang w:val="en-US" w:eastAsia="zh-CN" w:bidi="zh-CN"/>
        </w:rPr>
        <w:t>综上，根据</w:t>
      </w:r>
      <w:r>
        <w:rPr>
          <w:rFonts w:hint="default" w:ascii="Times New Roman" w:hAnsi="Times New Roman" w:eastAsia="仿宋_GB2312" w:cs="Times New Roman"/>
          <w:b w:val="0"/>
          <w:bCs/>
          <w:color w:val="auto"/>
          <w:sz w:val="32"/>
          <w:szCs w:val="32"/>
          <w:highlight w:val="none"/>
          <w:lang w:val="en-US" w:eastAsia="zh-CN" w:bidi="zh-CN"/>
        </w:rPr>
        <w:t>《中华人民共和国行政复议法实施条例》第四十八条第一款第（</w:t>
      </w:r>
      <w:r>
        <w:rPr>
          <w:rFonts w:hint="eastAsia" w:eastAsia="仿宋_GB2312" w:cs="Times New Roman"/>
          <w:b w:val="0"/>
          <w:bCs/>
          <w:color w:val="auto"/>
          <w:sz w:val="32"/>
          <w:szCs w:val="32"/>
          <w:highlight w:val="none"/>
          <w:lang w:val="en-US" w:eastAsia="zh-CN" w:bidi="zh-CN"/>
        </w:rPr>
        <w:t>一</w:t>
      </w:r>
      <w:r>
        <w:rPr>
          <w:rFonts w:hint="default" w:ascii="Times New Roman" w:hAnsi="Times New Roman" w:eastAsia="仿宋_GB2312" w:cs="Times New Roman"/>
          <w:b w:val="0"/>
          <w:bCs/>
          <w:color w:val="auto"/>
          <w:sz w:val="32"/>
          <w:szCs w:val="32"/>
          <w:highlight w:val="none"/>
          <w:lang w:val="en-US" w:eastAsia="zh-CN" w:bidi="zh-CN"/>
        </w:rPr>
        <w:t>）项之规定，本机关决定如下：</w:t>
      </w:r>
    </w:p>
    <w:p w14:paraId="4F178F2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仿宋_GB2312" w:cs="Times New Roman"/>
          <w:b w:val="0"/>
          <w:bCs/>
          <w:color w:val="auto"/>
          <w:sz w:val="32"/>
          <w:szCs w:val="32"/>
          <w:highlight w:val="none"/>
          <w:lang w:val="en-US" w:eastAsia="zh-CN" w:bidi="zh-CN"/>
        </w:rPr>
        <w:t>驳回申请人</w:t>
      </w:r>
      <w:r>
        <w:rPr>
          <w:rFonts w:hint="eastAsia" w:eastAsia="仿宋_GB2312" w:cs="Times New Roman"/>
          <w:b w:val="0"/>
          <w:bCs/>
          <w:color w:val="auto"/>
          <w:sz w:val="32"/>
          <w:szCs w:val="32"/>
          <w:highlight w:val="none"/>
          <w:lang w:val="en-US" w:eastAsia="zh-CN" w:bidi="zh-CN"/>
        </w:rPr>
        <w:t>张某</w:t>
      </w:r>
      <w:r>
        <w:rPr>
          <w:rFonts w:hint="default" w:ascii="Times New Roman" w:hAnsi="Times New Roman" w:eastAsia="仿宋_GB2312" w:cs="Times New Roman"/>
          <w:b w:val="0"/>
          <w:bCs/>
          <w:color w:val="auto"/>
          <w:sz w:val="32"/>
          <w:szCs w:val="32"/>
          <w:highlight w:val="none"/>
          <w:lang w:val="en-US" w:eastAsia="zh-CN" w:bidi="zh-CN"/>
        </w:rPr>
        <w:t>的行政复议申请。</w:t>
      </w:r>
    </w:p>
    <w:p w14:paraId="31D2DA03">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FF"/>
          <w:sz w:val="32"/>
          <w:szCs w:val="32"/>
          <w:lang w:eastAsia="zh-CN"/>
        </w:rPr>
      </w:pPr>
      <w:r>
        <w:rPr>
          <w:rFonts w:hint="default" w:ascii="Times New Roman" w:hAnsi="Times New Roman" w:eastAsia="仿宋_GB2312" w:cs="Times New Roman"/>
          <w:b w:val="0"/>
          <w:bCs/>
          <w:color w:val="auto"/>
          <w:sz w:val="32"/>
          <w:szCs w:val="32"/>
          <w:highlight w:val="none"/>
          <w:lang w:val="en-US" w:eastAsia="zh-CN" w:bidi="zh-CN"/>
        </w:rPr>
        <w:t>申请人如对本决定不服，可在接到本决定书之日起15日内向有管辖权的人民法院提起行政诉讼。</w:t>
      </w:r>
    </w:p>
    <w:p w14:paraId="4E78886D">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0000FF"/>
          <w:sz w:val="32"/>
          <w:szCs w:val="32"/>
          <w:lang w:eastAsia="zh-CN"/>
        </w:rPr>
      </w:pPr>
    </w:p>
    <w:p w14:paraId="1F2EC35C">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0000FF"/>
          <w:sz w:val="32"/>
          <w:szCs w:val="32"/>
          <w:lang w:eastAsia="zh-CN"/>
        </w:rPr>
      </w:pPr>
    </w:p>
    <w:p w14:paraId="1C6D5FE5">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0000FF"/>
          <w:sz w:val="32"/>
          <w:szCs w:val="32"/>
          <w:lang w:eastAsia="zh-CN"/>
        </w:rPr>
      </w:pPr>
    </w:p>
    <w:p w14:paraId="412ED7B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center"/>
        <w:textAlignment w:val="auto"/>
        <w:rPr>
          <w:rFonts w:hint="default" w:ascii="Times New Roman" w:hAnsi="Times New Roman" w:eastAsia="仿宋_GB2312" w:cs="Times New Roman"/>
          <w:color w:val="0000FF"/>
          <w:sz w:val="32"/>
          <w:szCs w:val="32"/>
          <w:lang w:val="en-US" w:eastAsia="zh-CN"/>
        </w:rPr>
      </w:pPr>
      <w:r>
        <w:rPr>
          <w:rFonts w:hint="eastAsia" w:eastAsia="仿宋_GB2312" w:cs="Times New Roman"/>
          <w:b w:val="0"/>
          <w:bCs/>
          <w:color w:val="auto"/>
          <w:sz w:val="32"/>
          <w:szCs w:val="32"/>
          <w:highlight w:val="none"/>
          <w:lang w:val="en-US" w:eastAsia="zh-CN" w:bidi="zh-CN"/>
        </w:rPr>
        <w:t xml:space="preserve">                                                                 </w:t>
      </w:r>
      <w:r>
        <w:rPr>
          <w:rFonts w:hint="default" w:ascii="Times New Roman" w:hAnsi="Times New Roman" w:eastAsia="仿宋_GB2312" w:cs="Times New Roman"/>
          <w:b w:val="0"/>
          <w:bCs/>
          <w:color w:val="auto"/>
          <w:sz w:val="32"/>
          <w:szCs w:val="32"/>
          <w:highlight w:val="none"/>
          <w:lang w:val="en-US" w:eastAsia="zh-CN" w:bidi="zh-CN"/>
        </w:rPr>
        <w:t>202</w:t>
      </w:r>
      <w:r>
        <w:rPr>
          <w:rFonts w:hint="eastAsia" w:eastAsia="仿宋_GB2312" w:cs="Times New Roman"/>
          <w:b w:val="0"/>
          <w:bCs/>
          <w:color w:val="auto"/>
          <w:sz w:val="32"/>
          <w:szCs w:val="32"/>
          <w:highlight w:val="none"/>
          <w:lang w:val="en-US" w:eastAsia="zh-CN" w:bidi="zh-CN"/>
        </w:rPr>
        <w:t>3</w:t>
      </w:r>
      <w:r>
        <w:rPr>
          <w:rFonts w:hint="default" w:ascii="Times New Roman" w:hAnsi="Times New Roman" w:eastAsia="仿宋_GB2312" w:cs="Times New Roman"/>
          <w:b w:val="0"/>
          <w:bCs/>
          <w:color w:val="auto"/>
          <w:sz w:val="32"/>
          <w:szCs w:val="32"/>
          <w:highlight w:val="none"/>
          <w:lang w:val="en-US" w:eastAsia="zh-CN" w:bidi="zh-CN"/>
        </w:rPr>
        <w:t>年</w:t>
      </w:r>
      <w:r>
        <w:rPr>
          <w:rFonts w:hint="eastAsia" w:eastAsia="仿宋_GB2312" w:cs="Times New Roman"/>
          <w:b w:val="0"/>
          <w:bCs/>
          <w:color w:val="auto"/>
          <w:sz w:val="32"/>
          <w:szCs w:val="32"/>
          <w:highlight w:val="none"/>
          <w:lang w:val="en-US" w:eastAsia="zh-CN" w:bidi="zh-CN"/>
        </w:rPr>
        <w:t>6</w:t>
      </w:r>
      <w:r>
        <w:rPr>
          <w:rFonts w:hint="default" w:ascii="Times New Roman" w:hAnsi="Times New Roman" w:eastAsia="仿宋_GB2312" w:cs="Times New Roman"/>
          <w:b w:val="0"/>
          <w:bCs/>
          <w:color w:val="auto"/>
          <w:sz w:val="32"/>
          <w:szCs w:val="32"/>
          <w:highlight w:val="none"/>
          <w:lang w:val="en-US" w:eastAsia="zh-CN" w:bidi="zh-CN"/>
        </w:rPr>
        <w:t>月</w:t>
      </w:r>
      <w:r>
        <w:rPr>
          <w:rFonts w:hint="eastAsia" w:eastAsia="仿宋_GB2312" w:cs="Times New Roman"/>
          <w:b w:val="0"/>
          <w:bCs/>
          <w:color w:val="auto"/>
          <w:sz w:val="32"/>
          <w:szCs w:val="32"/>
          <w:highlight w:val="none"/>
          <w:lang w:val="en-US" w:eastAsia="zh-CN" w:bidi="zh-CN"/>
        </w:rPr>
        <w:t>21</w:t>
      </w:r>
      <w:r>
        <w:rPr>
          <w:rFonts w:hint="default" w:ascii="Times New Roman" w:hAnsi="Times New Roman" w:eastAsia="仿宋_GB2312" w:cs="Times New Roman"/>
          <w:b w:val="0"/>
          <w:bCs/>
          <w:color w:val="auto"/>
          <w:sz w:val="32"/>
          <w:szCs w:val="32"/>
          <w:highlight w:val="none"/>
          <w:lang w:val="en-US" w:eastAsia="zh-CN" w:bidi="zh-CN"/>
        </w:rPr>
        <w:t>日</w:t>
      </w:r>
      <w:r>
        <w:rPr>
          <w:rFonts w:hint="eastAsia" w:ascii="Times New Roman" w:hAnsi="Times New Roman" w:eastAsia="仿宋_GB2312" w:cs="Times New Roman"/>
          <w:b w:val="0"/>
          <w:bCs/>
          <w:color w:val="auto"/>
          <w:sz w:val="32"/>
          <w:szCs w:val="32"/>
          <w:highlight w:val="none"/>
          <w:lang w:val="en-US" w:eastAsia="zh-CN" w:bidi="zh-CN"/>
        </w:rPr>
        <w:t xml:space="preserve"> </w:t>
      </w:r>
      <w:r>
        <w:rPr>
          <w:rFonts w:hint="eastAsia" w:eastAsia="仿宋_GB2312" w:cs="Times New Roman"/>
          <w:color w:val="0000FF"/>
          <w:sz w:val="32"/>
          <w:szCs w:val="32"/>
          <w:lang w:val="en-US" w:eastAsia="zh-CN" w:bidi="zh-CN"/>
        </w:rPr>
        <w:t xml:space="preserve">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7DB30">
    <w:pPr>
      <w:pStyle w:val="5"/>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68A658F">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FasDMHTAQAAngMAAA4AAAAAAAAAAQAgAAAAHwEA&#10;AGRycy9lMm9Eb2MueG1sUEsFBgAAAAAGAAYAWQEAAGQFAAAAAA==&#10;">
              <v:fill on="f" focussize="0,0"/>
              <v:stroke on="f"/>
              <v:imagedata o:title=""/>
              <o:lock v:ext="edit" aspectratio="f"/>
              <v:textbox inset="0mm,0mm,0mm,0mm" style="mso-fit-shape-to-text:t;">
                <w:txbxContent>
                  <w:p w14:paraId="268A658F">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rect>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D2D7E61">
                          <w:pPr>
                            <w:pStyle w:val="5"/>
                            <w:rPr>
                              <w:lang w:eastAsia="zh-CN"/>
                            </w:rPr>
                          </w:pP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1D2D7E61">
                    <w:pPr>
                      <w:pStyle w:val="5"/>
                      <w:rPr>
                        <w:lang w:eastAsia="zh-CN"/>
                      </w:rPr>
                    </w:pP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zODhjMjk5Y2MzZWE1MmI3N2EzMTRlYmExNDU0NTUifQ=="/>
  </w:docVars>
  <w:rsids>
    <w:rsidRoot w:val="00000000"/>
    <w:rsid w:val="19C95B50"/>
    <w:rsid w:val="26064195"/>
    <w:rsid w:val="29734798"/>
    <w:rsid w:val="2A390FB7"/>
    <w:rsid w:val="2D636547"/>
    <w:rsid w:val="3B712735"/>
    <w:rsid w:val="3FE678DA"/>
    <w:rsid w:val="55436A98"/>
    <w:rsid w:val="580502C5"/>
    <w:rsid w:val="5B500E8E"/>
    <w:rsid w:val="63DA2CBD"/>
    <w:rsid w:val="6C103720"/>
    <w:rsid w:val="6F373F4A"/>
    <w:rsid w:val="6FDE38D1"/>
    <w:rsid w:val="7581422C"/>
    <w:rsid w:val="7B1418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qFormat/>
    <w:uiPriority w:val="99"/>
    <w:pPr>
      <w:tabs>
        <w:tab w:val="center" w:pos="4153"/>
        <w:tab w:val="right" w:pos="8306"/>
      </w:tabs>
      <w:snapToGrid w:val="0"/>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0" w:beforeAutospacing="1" w:after="0" w:afterAutospacing="1"/>
      <w:ind w:left="0" w:right="0"/>
      <w:jc w:val="left"/>
    </w:pPr>
    <w:rPr>
      <w:kern w:val="0"/>
      <w:sz w:val="24"/>
      <w:lang w:val="en-US" w:eastAsia="zh-CN"/>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qFormat/>
    <w:uiPriority w:val="0"/>
    <w:rPr>
      <w:color w:val="CD5260"/>
      <w:sz w:val="50"/>
      <w:szCs w:val="50"/>
      <w:u w:val="single"/>
      <w:shd w:val="clear" w:color="auto" w:fill="auto"/>
      <w:lang w:val="zh-TW" w:eastAsia="zh-TW" w:bidi="zh-TW"/>
    </w:rPr>
  </w:style>
  <w:style w:type="character" w:customStyle="1" w:styleId="13">
    <w:name w:val="Body text|1_"/>
    <w:basedOn w:val="9"/>
    <w:link w:val="11"/>
    <w:qFormat/>
    <w:uiPriority w:val="0"/>
    <w:rPr>
      <w:sz w:val="30"/>
      <w:szCs w:val="30"/>
      <w:u w:val="none"/>
      <w:shd w:val="clear" w:color="auto" w:fill="auto"/>
      <w:lang w:val="zh-TW" w:eastAsia="zh-TW" w:bidi="zh-TW"/>
    </w:rPr>
  </w:style>
  <w:style w:type="character" w:customStyle="1" w:styleId="14">
    <w:name w:val="页眉 Char"/>
    <w:basedOn w:val="9"/>
    <w:link w:val="6"/>
    <w:qFormat/>
    <w:uiPriority w:val="99"/>
    <w:rPr>
      <w:color w:val="000000"/>
      <w:sz w:val="18"/>
      <w:szCs w:val="18"/>
      <w:lang w:eastAsia="en-US" w:bidi="en-US"/>
    </w:rPr>
  </w:style>
  <w:style w:type="character" w:customStyle="1" w:styleId="15">
    <w:name w:val="页脚 Char"/>
    <w:basedOn w:val="9"/>
    <w:link w:val="5"/>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 w:type="character" w:customStyle="1" w:styleId="17">
    <w:name w:val="a"/>
    <w:basedOn w:val="9"/>
    <w:qFormat/>
    <w:uiPriority w:val="0"/>
    <w:rPr>
      <w:color w:val="218FC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1895</Words>
  <Characters>2004</Characters>
  <Paragraphs>31</Paragraphs>
  <TotalTime>1</TotalTime>
  <ScaleCrop>false</ScaleCrop>
  <LinksUpToDate>false</LinksUpToDate>
  <CharactersWithSpaces>2128</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2020-05-21T17:10:00Z</dcterms:created>
  <dc:creator>Administrator</dc:creator>
  <cp:lastModifiedBy>Administrator</cp:lastModifiedBy>
  <cp:lastPrinted>2023-06-20T01:44:00Z</cp:lastPrinted>
  <dcterms:modified xsi:type="dcterms:W3CDTF">2024-11-07T08:15:59Z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C364387131864D4782C8D4CD582DE02A</vt:lpwstr>
  </property>
</Properties>
</file>