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F0F63">
      <w:pPr>
        <w:pStyle w:val="12"/>
        <w:keepNext w:val="0"/>
        <w:keepLines w:val="0"/>
        <w:pageBreakBefore w:val="0"/>
        <w:kinsoku/>
        <w:wordWrap/>
        <w:overflowPunct/>
        <w:topLinePunct w:val="0"/>
        <w:autoSpaceDE/>
        <w:autoSpaceDN/>
        <w:bidi w:val="0"/>
        <w:adjustRightInd/>
        <w:snapToGrid/>
        <w:spacing w:after="0" w:line="720" w:lineRule="exact"/>
        <w:textAlignment w:val="auto"/>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12BF14E2">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ascii="方正小标宋简体" w:eastAsia="方正小标宋简体" w:cs="方正大标宋_GBK"/>
          <w:spacing w:val="-6"/>
          <w:sz w:val="44"/>
          <w:szCs w:val="44"/>
          <w:highlight w:val="none"/>
          <w:lang w:eastAsia="zh-CN"/>
        </w:rPr>
      </w:pPr>
      <w:r>
        <w:rPr>
          <w:rFonts w:hint="eastAsia" w:ascii="方正小标宋简体" w:eastAsia="方正小标宋简体" w:cs="方正大标宋_GBK"/>
          <w:spacing w:val="-6"/>
          <w:sz w:val="44"/>
          <w:szCs w:val="44"/>
          <w:highlight w:val="none"/>
          <w:lang w:eastAsia="zh-CN"/>
        </w:rPr>
        <w:t>行政复议决定书</w:t>
      </w:r>
    </w:p>
    <w:p w14:paraId="00AC26EE">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 w:cs="Times New Roman"/>
          <w:sz w:val="32"/>
          <w:szCs w:val="32"/>
          <w:lang w:eastAsia="zh-CN"/>
        </w:rPr>
      </w:pPr>
      <w:r>
        <w:rPr>
          <w:rFonts w:hint="eastAsia" w:ascii="仿宋_GB2312" w:hAnsi="仿宋_GB2312" w:eastAsia="仿宋_GB2312" w:cs="仿宋_GB2312"/>
          <w:sz w:val="32"/>
          <w:szCs w:val="32"/>
          <w:highlight w:val="none"/>
          <w:lang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28</w:t>
      </w:r>
      <w:r>
        <w:rPr>
          <w:rFonts w:hint="default" w:ascii="Times New Roman" w:hAnsi="Times New Roman" w:eastAsia="仿宋_GB2312" w:cs="Times New Roman"/>
          <w:color w:val="auto"/>
          <w:sz w:val="32"/>
          <w:szCs w:val="32"/>
          <w:lang w:val="en-US" w:eastAsia="zh-CN" w:bidi="zh-CN"/>
        </w:rPr>
        <w:t>号</w:t>
      </w:r>
      <w:r>
        <w:rPr>
          <w:rFonts w:eastAsia="仿宋"/>
          <w:sz w:val="32"/>
          <w:szCs w:val="32"/>
          <w:lang w:eastAsia="zh-CN"/>
        </w:rPr>
        <w:t xml:space="preserve"> </w:t>
      </w:r>
    </w:p>
    <w:p w14:paraId="23F36D6F">
      <w:pPr>
        <w:keepNext w:val="0"/>
        <w:keepLines w:val="0"/>
        <w:pageBreakBefore w:val="0"/>
        <w:widowControl w:val="0"/>
        <w:kinsoku/>
        <w:wordWrap/>
        <w:overflowPunct/>
        <w:topLinePunct w:val="0"/>
        <w:autoSpaceDE/>
        <w:autoSpaceDN/>
        <w:bidi w:val="0"/>
        <w:adjustRightInd/>
        <w:snapToGrid/>
        <w:spacing w:after="120" w:afterLines="50" w:line="600" w:lineRule="exact"/>
        <w:jc w:val="right"/>
        <w:textAlignment w:val="auto"/>
        <w:rPr>
          <w:rFonts w:eastAsia="仿宋"/>
          <w:sz w:val="32"/>
          <w:szCs w:val="32"/>
          <w:highlight w:val="none"/>
          <w:lang w:eastAsia="zh-CN"/>
        </w:rPr>
      </w:pPr>
      <w:r>
        <w:rPr>
          <w:rFonts w:hint="eastAsia" w:ascii="仿宋_GB2312" w:hAnsi="仿宋_GB2312" w:eastAsia="仿宋_GB2312" w:cs="仿宋_GB2312"/>
          <w:sz w:val="32"/>
          <w:szCs w:val="32"/>
          <w:highlight w:val="none"/>
          <w:lang w:eastAsia="zh-CN" w:bidi="zh-CN"/>
        </w:rPr>
        <w:t xml:space="preserve">  </w:t>
      </w:r>
      <w:r>
        <w:rPr>
          <w:rFonts w:eastAsia="仿宋"/>
          <w:sz w:val="32"/>
          <w:szCs w:val="32"/>
          <w:highlight w:val="none"/>
          <w:lang w:eastAsia="zh-CN"/>
        </w:rPr>
        <w:t xml:space="preserve">  </w:t>
      </w:r>
    </w:p>
    <w:p w14:paraId="59D261C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color w:val="auto"/>
          <w:sz w:val="32"/>
          <w:szCs w:val="32"/>
          <w:highlight w:val="none"/>
          <w:lang w:val="en-US" w:eastAsia="zh-CN" w:bidi="zh-CN"/>
        </w:rPr>
        <w:t>陈某</w:t>
      </w:r>
      <w:r>
        <w:rPr>
          <w:rFonts w:hint="default" w:ascii="仿宋_GB2312" w:hAnsi="仿宋_GB2312" w:eastAsia="仿宋_GB2312" w:cs="仿宋_GB2312"/>
          <w:color w:val="auto"/>
          <w:sz w:val="32"/>
          <w:szCs w:val="32"/>
          <w:highlight w:val="none"/>
          <w:lang w:val="en-US" w:eastAsia="zh-CN" w:bidi="zh-CN"/>
        </w:rPr>
        <w:t>。</w:t>
      </w:r>
    </w:p>
    <w:p w14:paraId="01B3988E">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被申请人：洛阳市涧西区市场监督管理局。</w:t>
      </w:r>
    </w:p>
    <w:p w14:paraId="1A80BA15">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申请人不服被申请人</w:t>
      </w:r>
      <w:r>
        <w:rPr>
          <w:rFonts w:hint="eastAsia" w:ascii="仿宋_GB2312" w:hAnsi="仿宋_GB2312" w:eastAsia="仿宋_GB2312" w:cs="仿宋_GB2312"/>
          <w:sz w:val="32"/>
          <w:szCs w:val="32"/>
          <w:highlight w:val="none"/>
          <w:lang w:val="en-US" w:eastAsia="zh-CN" w:bidi="zh-CN"/>
        </w:rPr>
        <w:t>对某公司涉嫌违法销售“福鼎白茶”的举报作出的不予立案的处理结果，</w:t>
      </w:r>
      <w:r>
        <w:rPr>
          <w:rFonts w:hint="eastAsia" w:ascii="仿宋_GB2312" w:hAnsi="仿宋_GB2312" w:eastAsia="仿宋_GB2312" w:cs="仿宋_GB2312"/>
          <w:sz w:val="32"/>
          <w:szCs w:val="32"/>
          <w:highlight w:val="none"/>
          <w:lang w:eastAsia="zh-CN" w:bidi="zh-CN"/>
        </w:rPr>
        <w:t>向本机关提出行政复议申请，</w:t>
      </w:r>
      <w:r>
        <w:rPr>
          <w:rFonts w:hint="default" w:ascii="仿宋_GB2312" w:hAnsi="仿宋_GB2312" w:eastAsia="仿宋_GB2312" w:cs="仿宋_GB2312"/>
          <w:color w:val="auto"/>
          <w:sz w:val="32"/>
          <w:szCs w:val="32"/>
          <w:highlight w:val="none"/>
          <w:lang w:val="en-US" w:eastAsia="zh-CN" w:bidi="zh-CN"/>
        </w:rPr>
        <w:t>本机关依法</w:t>
      </w:r>
      <w:r>
        <w:rPr>
          <w:rFonts w:hint="eastAsia" w:ascii="仿宋_GB2312" w:hAnsi="仿宋_GB2312" w:eastAsia="仿宋_GB2312" w:cs="仿宋_GB2312"/>
          <w:color w:val="auto"/>
          <w:sz w:val="32"/>
          <w:szCs w:val="32"/>
          <w:highlight w:val="none"/>
          <w:lang w:val="en-US" w:eastAsia="zh-CN" w:bidi="zh-CN"/>
        </w:rPr>
        <w:t>予以</w:t>
      </w:r>
      <w:r>
        <w:rPr>
          <w:rFonts w:hint="default" w:ascii="仿宋_GB2312" w:hAnsi="仿宋_GB2312" w:eastAsia="仿宋_GB2312" w:cs="仿宋_GB2312"/>
          <w:color w:val="auto"/>
          <w:sz w:val="32"/>
          <w:szCs w:val="32"/>
          <w:highlight w:val="none"/>
          <w:lang w:val="en-US" w:eastAsia="zh-CN" w:bidi="zh-CN"/>
        </w:rPr>
        <w:t>受理，</w:t>
      </w:r>
      <w:r>
        <w:rPr>
          <w:rFonts w:hint="eastAsia" w:ascii="仿宋_GB2312" w:hAnsi="仿宋_GB2312" w:eastAsia="仿宋_GB2312" w:cs="仿宋_GB2312"/>
          <w:color w:val="auto"/>
          <w:sz w:val="32"/>
          <w:szCs w:val="32"/>
          <w:highlight w:val="none"/>
          <w:lang w:eastAsia="zh-CN" w:bidi="zh-CN"/>
        </w:rPr>
        <w:t>现已审理终结</w:t>
      </w:r>
      <w:r>
        <w:rPr>
          <w:rFonts w:hint="eastAsia" w:ascii="仿宋_GB2312" w:hAnsi="仿宋_GB2312" w:eastAsia="仿宋_GB2312" w:cs="仿宋_GB2312"/>
          <w:sz w:val="32"/>
          <w:szCs w:val="32"/>
          <w:highlight w:val="none"/>
          <w:lang w:eastAsia="zh-CN" w:bidi="zh-CN"/>
        </w:rPr>
        <w:t>。</w:t>
      </w:r>
    </w:p>
    <w:p w14:paraId="3E46851C">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黑体" w:hAnsi="黑体" w:eastAsia="黑体" w:cs="黑体"/>
          <w:bCs/>
          <w:sz w:val="32"/>
          <w:szCs w:val="32"/>
          <w:highlight w:val="none"/>
          <w:lang w:eastAsia="zh-CN" w:bidi="zh-CN"/>
        </w:rPr>
        <w:t>申请人请求：</w:t>
      </w:r>
      <w:r>
        <w:rPr>
          <w:rFonts w:hint="eastAsia" w:ascii="仿宋_GB2312" w:hAnsi="仿宋_GB2312" w:eastAsia="仿宋_GB2312" w:cs="仿宋_GB2312"/>
          <w:sz w:val="32"/>
          <w:szCs w:val="32"/>
          <w:highlight w:val="none"/>
          <w:lang w:val="en-US" w:eastAsia="zh-CN" w:bidi="zh-CN"/>
        </w:rPr>
        <w:t>1、责令被申请人对申请人关于某公司销售“福鼎白茶”作出立案调查，进行行政处罚处理。2、责令被申请人书面说明在法定期限内不履行职责的原因。3、建议对被申请人相关人员作出党纪政纪处分。</w:t>
      </w:r>
    </w:p>
    <w:p w14:paraId="59731103">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黑体" w:hAnsi="黑体" w:eastAsia="黑体" w:cs="黑体"/>
          <w:bCs/>
          <w:sz w:val="32"/>
          <w:szCs w:val="32"/>
          <w:highlight w:val="none"/>
          <w:lang w:eastAsia="zh-CN" w:bidi="zh-CN"/>
        </w:rPr>
        <w:t>申请人称：</w:t>
      </w:r>
      <w:r>
        <w:rPr>
          <w:rFonts w:hint="eastAsia" w:ascii="仿宋_GB2312" w:hAnsi="仿宋_GB2312" w:eastAsia="仿宋_GB2312" w:cs="仿宋_GB2312"/>
          <w:sz w:val="32"/>
          <w:szCs w:val="32"/>
          <w:highlight w:val="none"/>
          <w:lang w:val="en-US" w:eastAsia="zh-CN" w:bidi="zh-CN"/>
        </w:rPr>
        <w:t>申请人于2023年5月1日通过省长信箱(网上信访)方式将《某公司销售“福鼎白茶”违反&lt;食品安全法&gt;的实名举报》的投诉举报转到洛阳市涧西区市场监督管理局。2023年5月18日，申请人收到洛阳市涧西区市场监督管理局的《处理告知书》，回复书称：涉事产品违法轻微，未达到立案条件，作不予立案处理。申请人对该处理不予认可，理由如下：1.申请人是在某公司购买的涉案福鼎白茶，该产品已经定量包装属于普通食品，但其未标注生产许可证等相关信息属于无证生产的三无产品。2.销售者销售的食品不符合《食品安全法》第六十七条：“预包装食品应当有标签，标签应当标明下列事项：（一）名称、规格、净含量、生产日期；（二）成分或者配料表；（三）生产者的名称、地址、联系方式；（四）保质期；（五）产品标准代号；（六）贮存条件；（七）所使用的食品添加剂在国家标准中的通用名称；（八）生产许可证编号”。按照《食品安全法》第一百二十五条第一款第(二)项规定，应给予行政处罚。</w:t>
      </w:r>
    </w:p>
    <w:p w14:paraId="73393E96">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申请人认为，被申请人明显没有依法办案，涉嫌利益输出，没有完全落实国务院“最严谨的标准、最严格的监管、最严厉的处罚、最严肃的问责”，造成国有资产流失。被申请人行为违反《食品药品投诉举报管理办法（试行）》第三十四条：“各级食品药品投诉举报机构、投诉举报承办部门工作人员在投诉举报管理工作中滥用职权、玩忽职守、徇私舞弊，或者违反本办法规定造成严重后果的，应当依法追究相关人员责任；构成犯罪的，移送司法机关处理”。</w:t>
      </w:r>
    </w:p>
    <w:p w14:paraId="523AA036">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如复议机关认为申请人的申请不符合受理条件，请作出不予受理的决定。</w:t>
      </w:r>
    </w:p>
    <w:p w14:paraId="333BD372">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黑体" w:hAnsi="黑体" w:eastAsia="黑体" w:cs="黑体"/>
          <w:bCs/>
          <w:sz w:val="32"/>
          <w:szCs w:val="32"/>
          <w:highlight w:val="none"/>
          <w:lang w:eastAsia="zh-CN" w:bidi="zh-CN"/>
        </w:rPr>
        <w:t>被申请人称：</w:t>
      </w:r>
      <w:r>
        <w:rPr>
          <w:rFonts w:hint="eastAsia" w:ascii="仿宋_GB2312" w:hAnsi="仿宋_GB2312" w:eastAsia="仿宋_GB2312" w:cs="仿宋_GB2312"/>
          <w:sz w:val="32"/>
          <w:szCs w:val="32"/>
          <w:highlight w:val="none"/>
          <w:lang w:val="en-US" w:eastAsia="zh-CN" w:bidi="zh-CN"/>
        </w:rPr>
        <w:t>申请人于 2023 年5 月4 日信访，内容为：在购物平台《小红书》上购买了福鼎白茶，买回去后尝了尝感觉不对，查看其标签没有生产许可证等相关信息，属于三无产品，要求查处，经查不予立案理由如下：1、某公司于 2023 年 2 月 23 日在网络平台《小红书》上开始销售福鼎白茶，至申请人投诉举报为止，该产品仅销售一单（系申请人购买），于2023年5月5日下架该产品。依据《行政处罚法》第三十三条：“违法行为轻微并及时改正，没有造成危害后果的，不予行政处罚”的规定，因该经营部及时纠正其违法行为，自开业至投诉举报为止只销售一单，违法行为轻微并未造成严重后果。2.《消费者权益保护法》第二条：“消费者为生活消费需要购买，使用商品或者接受服务，其权益受本法保护......”的规定，申请人在给某公司负责人微信聊天记录里显示，其目的是为了索赔，并非《消费者权益保护法》规定的消费者，其行为不应受《消费者权益保护法》保护。鉴于以上情况，故在法定时限内报主管领导作出了不予立案的处理决定。被申请人认为在处理本案涉及的举报中按照法定程序调查落实，给予不予立案的决定并无不当，请维持被申请人的行政行为。</w:t>
      </w:r>
    </w:p>
    <w:p w14:paraId="59959B1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黑体" w:hAnsi="黑体" w:eastAsia="黑体" w:cs="黑体"/>
          <w:bCs/>
          <w:sz w:val="32"/>
          <w:szCs w:val="32"/>
          <w:highlight w:val="none"/>
          <w:lang w:eastAsia="zh-CN" w:bidi="zh-CN"/>
        </w:rPr>
        <w:t>本机关查明：</w:t>
      </w:r>
      <w:r>
        <w:rPr>
          <w:rFonts w:hint="eastAsia" w:ascii="仿宋_GB2312" w:hAnsi="仿宋_GB2312" w:eastAsia="仿宋_GB2312" w:cs="仿宋_GB2312"/>
          <w:sz w:val="32"/>
          <w:szCs w:val="32"/>
          <w:highlight w:val="none"/>
          <w:lang w:val="en-US" w:eastAsia="zh-CN" w:bidi="zh-CN"/>
        </w:rPr>
        <w:t>某公司在网络平台“小红书”开设“某店”。2023年4月17日，申请人在“某店”购买2017年福鼎老白茶饼357g。2023年5月4日，申请人通过洛阳市信访局进行信访。2023年5月5日，被申请人对举报事项进行调查处理。2023年5月15日，被申请人通过内部审批决定对上述举报事项不予立案。2023年5月18日，被申请人通过电话、短信方式送达，向申请人告知“陈某你好，关于你反映通过《小红书》平台在某公司购买福鼎白茶属三无产品的信访件，我局已处理完毕。某公司认识到产品有瑕疵，已经下架。由于违法行为轻微且及时纠正，未造成严重后果，我局不予行政处罚。谢谢你对我们工作的支持！”</w:t>
      </w:r>
    </w:p>
    <w:p w14:paraId="5D618738">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黑体" w:hAnsi="黑体" w:eastAsia="黑体" w:cs="黑体"/>
          <w:bCs/>
          <w:sz w:val="32"/>
          <w:szCs w:val="32"/>
          <w:highlight w:val="none"/>
          <w:lang w:eastAsia="zh-CN" w:bidi="zh-CN"/>
        </w:rPr>
        <w:t>上述事实由下列证据为证：</w:t>
      </w:r>
      <w:r>
        <w:rPr>
          <w:rFonts w:hint="eastAsia" w:ascii="仿宋_GB2312" w:hAnsi="仿宋_GB2312" w:eastAsia="仿宋_GB2312" w:cs="仿宋_GB2312"/>
          <w:sz w:val="32"/>
          <w:szCs w:val="32"/>
          <w:highlight w:val="none"/>
          <w:lang w:val="en-US" w:eastAsia="zh-CN" w:bidi="zh-CN"/>
        </w:rPr>
        <w:t xml:space="preserve">1.申请人身份证复印件；2.案涉商品照片3张；3.某公司营业执照副本复印件；4.信访事项转送截图；5.信访事项处理意见书复印件；6.不予立案审批表。 </w:t>
      </w:r>
    </w:p>
    <w:p w14:paraId="659A05DD">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黑体" w:hAnsi="黑体" w:eastAsia="黑体" w:cs="黑体"/>
          <w:sz w:val="32"/>
          <w:szCs w:val="32"/>
          <w:highlight w:val="none"/>
          <w:lang w:eastAsia="zh-CN" w:bidi="zh-CN"/>
        </w:rPr>
        <w:t>本机关认为：</w:t>
      </w:r>
      <w:r>
        <w:rPr>
          <w:rFonts w:hint="eastAsia" w:ascii="仿宋_GB2312" w:hAnsi="仿宋_GB2312" w:eastAsia="仿宋_GB2312" w:cs="仿宋_GB2312"/>
          <w:sz w:val="32"/>
          <w:szCs w:val="32"/>
          <w:highlight w:val="none"/>
          <w:lang w:val="en-US" w:eastAsia="zh-CN" w:bidi="zh-CN"/>
        </w:rPr>
        <w:t>根据《市场监督管理行政处罚程序规定》第十八条第一款“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之规定，</w:t>
      </w:r>
      <w:r>
        <w:rPr>
          <w:rFonts w:hint="default" w:ascii="仿宋_GB2312" w:hAnsi="仿宋_GB2312" w:eastAsia="仿宋_GB2312" w:cs="仿宋_GB2312"/>
          <w:sz w:val="32"/>
          <w:szCs w:val="32"/>
          <w:highlight w:val="none"/>
          <w:lang w:val="en-US" w:eastAsia="zh-CN" w:bidi="zh-CN"/>
        </w:rPr>
        <w:t>本案中被申请人具有</w:t>
      </w:r>
      <w:r>
        <w:rPr>
          <w:rFonts w:hint="eastAsia" w:ascii="仿宋_GB2312" w:hAnsi="仿宋_GB2312" w:eastAsia="仿宋_GB2312" w:cs="仿宋_GB2312"/>
          <w:sz w:val="32"/>
          <w:szCs w:val="32"/>
          <w:highlight w:val="none"/>
          <w:lang w:val="en-US" w:eastAsia="zh-CN" w:bidi="zh-CN"/>
        </w:rPr>
        <w:t>处理申请人举报的</w:t>
      </w:r>
      <w:r>
        <w:rPr>
          <w:rFonts w:hint="default" w:ascii="仿宋_GB2312" w:hAnsi="仿宋_GB2312" w:eastAsia="仿宋_GB2312" w:cs="仿宋_GB2312"/>
          <w:sz w:val="32"/>
          <w:szCs w:val="32"/>
          <w:highlight w:val="none"/>
          <w:lang w:val="en-US" w:eastAsia="zh-CN" w:bidi="zh-CN"/>
        </w:rPr>
        <w:t>职权。</w:t>
      </w:r>
    </w:p>
    <w:p w14:paraId="099F9E59">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根据被申请人《不予立案审批表》内容，本案的处理结果为不予立案，但被申请人向申请人发送的短信回复内容为“......由于违法行为轻微且及时纠正，未造成严重后果，我局不予行政处罚......”，本案中被申请人向申请人的回复内容存在错误。</w:t>
      </w:r>
    </w:p>
    <w:p w14:paraId="6297F63C">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中华人民共和国行政处罚法》第三十三条规定：“违法行为轻微并及时改正，没有造成危害后果的，不予行政处罚。初次违法且危害后果轻微并及时改正的，可以不予行政处罚。当事人有证据足以证明没有主观过错的，不予行政处罚。法律、行政法规另有规定的，从其规定。对当事人的违法行为依法不予行政处罚的，行政机关应当对当事人进行教育”，该条系不予行政处罚的法律规定，并不涉及不予立案。本案中，被申请人的法律依据为《中华人民共和国行政处罚法》第三十三条，但最终处理结果为不予立案，本案中被申请人法律适用存在错误。</w:t>
      </w:r>
      <w:bookmarkStart w:id="0" w:name="_GoBack"/>
      <w:bookmarkEnd w:id="0"/>
    </w:p>
    <w:p w14:paraId="1BA52D9F">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综上，根据《中华人民共和国行政复议法》第二十八条第一款第（三）项之规定和《中华人民共和国行政复议法实施条例》第四十五条之规定，本机关决定如下：</w:t>
      </w:r>
    </w:p>
    <w:p w14:paraId="42E1B303">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一、撤销被申请人洛阳市涧西区市场监督管理局于2023年5月15日作出的不予立案决定；</w:t>
      </w:r>
    </w:p>
    <w:p w14:paraId="12331C9F">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二、责令被申请人洛阳市涧西区市场监督管理局对申请人陈某的举报重新作出处理。</w:t>
      </w:r>
    </w:p>
    <w:p w14:paraId="74C22E75">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申请人如对本决定不服，可在接到本决定书之日起15日内向有管辖权的人民法院提起行政诉讼。</w:t>
      </w:r>
    </w:p>
    <w:p w14:paraId="14471728">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p>
    <w:p w14:paraId="6C67F294">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p>
    <w:p w14:paraId="775EC65C">
      <w:pPr>
        <w:keepNext w:val="0"/>
        <w:keepLines w:val="0"/>
        <w:pageBreakBefore w:val="0"/>
        <w:widowControl w:val="0"/>
        <w:kinsoku/>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 xml:space="preserve">                                                          2023年7月6日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075A5">
    <w:pPr>
      <w:pStyle w:val="5"/>
    </w:pPr>
    <w:r>
      <w:pict>
        <v:shape id="4097"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5B2B1AD1">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w:t>
                </w:r>
                <w:r>
                  <w:rPr>
                    <w:rFonts w:hint="eastAsia"/>
                    <w:lang w:eastAsia="zh-CN"/>
                  </w:rPr>
                  <w:fldChar w:fldCharType="end"/>
                </w:r>
              </w:p>
            </w:txbxContent>
          </v:textbox>
        </v:shape>
      </w:pict>
    </w:r>
    <w:r>
      <w:pict>
        <v:shape id="4098"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29B4FDB5">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81"/>
  <w:drawingGridVerticalSpacing w:val="18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kyMTYwMWQxOTQzYWFjM2VjYzAzMjMwM2RkMjgzMjIifQ=="/>
  </w:docVars>
  <w:rsids>
    <w:rsidRoot w:val="007A5245"/>
    <w:rsid w:val="001804CA"/>
    <w:rsid w:val="0021442C"/>
    <w:rsid w:val="00285B17"/>
    <w:rsid w:val="002D1E3A"/>
    <w:rsid w:val="002F4FDF"/>
    <w:rsid w:val="00407ABD"/>
    <w:rsid w:val="00407C79"/>
    <w:rsid w:val="00414559"/>
    <w:rsid w:val="004914B6"/>
    <w:rsid w:val="0067319E"/>
    <w:rsid w:val="006E2FA3"/>
    <w:rsid w:val="007A5245"/>
    <w:rsid w:val="0089514A"/>
    <w:rsid w:val="00A40AFF"/>
    <w:rsid w:val="00A66651"/>
    <w:rsid w:val="00AE5A8A"/>
    <w:rsid w:val="00B15047"/>
    <w:rsid w:val="00B2077A"/>
    <w:rsid w:val="00BB7209"/>
    <w:rsid w:val="00C17EB5"/>
    <w:rsid w:val="00C403B7"/>
    <w:rsid w:val="00C51B0C"/>
    <w:rsid w:val="00D554CD"/>
    <w:rsid w:val="00F4532F"/>
    <w:rsid w:val="00F4595B"/>
    <w:rsid w:val="00F91055"/>
    <w:rsid w:val="00FB78A2"/>
    <w:rsid w:val="02846796"/>
    <w:rsid w:val="06D64430"/>
    <w:rsid w:val="07407F3D"/>
    <w:rsid w:val="07E27BF5"/>
    <w:rsid w:val="09FB3B41"/>
    <w:rsid w:val="0C654110"/>
    <w:rsid w:val="0CD83A23"/>
    <w:rsid w:val="0F5F460A"/>
    <w:rsid w:val="0FCD6693"/>
    <w:rsid w:val="10776914"/>
    <w:rsid w:val="11745343"/>
    <w:rsid w:val="12604836"/>
    <w:rsid w:val="147E08AD"/>
    <w:rsid w:val="14A17429"/>
    <w:rsid w:val="18E8391F"/>
    <w:rsid w:val="194C58CB"/>
    <w:rsid w:val="19D36EA9"/>
    <w:rsid w:val="1F8F60E9"/>
    <w:rsid w:val="216C516F"/>
    <w:rsid w:val="22145B28"/>
    <w:rsid w:val="223567EE"/>
    <w:rsid w:val="233A07E0"/>
    <w:rsid w:val="25D21167"/>
    <w:rsid w:val="26490DAB"/>
    <w:rsid w:val="2709109E"/>
    <w:rsid w:val="277025E4"/>
    <w:rsid w:val="2E071631"/>
    <w:rsid w:val="2EA229A5"/>
    <w:rsid w:val="2FE91203"/>
    <w:rsid w:val="364A6F29"/>
    <w:rsid w:val="377B63AB"/>
    <w:rsid w:val="3DA512EA"/>
    <w:rsid w:val="40AD48E9"/>
    <w:rsid w:val="46070465"/>
    <w:rsid w:val="49343552"/>
    <w:rsid w:val="4A3C3389"/>
    <w:rsid w:val="4BBA413E"/>
    <w:rsid w:val="4C3503D3"/>
    <w:rsid w:val="550942A1"/>
    <w:rsid w:val="55473B9E"/>
    <w:rsid w:val="55AC7DFF"/>
    <w:rsid w:val="5A4A6D03"/>
    <w:rsid w:val="5D591A24"/>
    <w:rsid w:val="627D56B9"/>
    <w:rsid w:val="629302DF"/>
    <w:rsid w:val="63A638C4"/>
    <w:rsid w:val="64041417"/>
    <w:rsid w:val="642E5A07"/>
    <w:rsid w:val="69EF2800"/>
    <w:rsid w:val="6B655488"/>
    <w:rsid w:val="6E347B98"/>
    <w:rsid w:val="6E4708A8"/>
    <w:rsid w:val="74272458"/>
    <w:rsid w:val="748D0B99"/>
    <w:rsid w:val="76CC4E22"/>
    <w:rsid w:val="784726B4"/>
    <w:rsid w:val="790825A5"/>
    <w:rsid w:val="79500F4C"/>
    <w:rsid w:val="79DF29C5"/>
    <w:rsid w:val="7BF80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qFormat/>
    <w:uiPriority w:val="99"/>
    <w:pPr>
      <w:tabs>
        <w:tab w:val="center" w:pos="4153"/>
        <w:tab w:val="right" w:pos="8306"/>
      </w:tabs>
      <w:snapToGrid w:val="0"/>
    </w:pPr>
    <w:rPr>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qFormat/>
    <w:uiPriority w:val="0"/>
    <w:rPr>
      <w:color w:val="CD5260"/>
      <w:sz w:val="50"/>
      <w:szCs w:val="50"/>
      <w:u w:val="single"/>
      <w:shd w:val="clear" w:color="auto" w:fill="auto"/>
      <w:lang w:val="zh-TW" w:eastAsia="zh-TW" w:bidi="zh-TW"/>
    </w:rPr>
  </w:style>
  <w:style w:type="character" w:customStyle="1" w:styleId="15">
    <w:name w:val="Body text|1_"/>
    <w:basedOn w:val="9"/>
    <w:link w:val="13"/>
    <w:qFormat/>
    <w:uiPriority w:val="0"/>
    <w:rPr>
      <w:sz w:val="30"/>
      <w:szCs w:val="30"/>
      <w:u w:val="none"/>
      <w:shd w:val="clear" w:color="auto" w:fill="auto"/>
      <w:lang w:val="zh-TW" w:eastAsia="zh-TW" w:bidi="zh-TW"/>
    </w:rPr>
  </w:style>
  <w:style w:type="character" w:customStyle="1" w:styleId="16">
    <w:name w:val="页眉 Char"/>
    <w:basedOn w:val="9"/>
    <w:link w:val="6"/>
    <w:qFormat/>
    <w:uiPriority w:val="99"/>
    <w:rPr>
      <w:color w:val="000000"/>
      <w:sz w:val="18"/>
      <w:szCs w:val="18"/>
      <w:lang w:eastAsia="en-US" w:bidi="en-US"/>
    </w:rPr>
  </w:style>
  <w:style w:type="character" w:customStyle="1" w:styleId="17">
    <w:name w:val="页脚 Char"/>
    <w:basedOn w:val="9"/>
    <w:link w:val="5"/>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7F2B5C-FD44-49D6-AB0E-45C2C12F12E2}">
  <ds:schemaRefs/>
</ds:datastoreItem>
</file>

<file path=docProps/app.xml><?xml version="1.0" encoding="utf-8"?>
<Properties xmlns="http://schemas.openxmlformats.org/officeDocument/2006/extended-properties" xmlns:vt="http://schemas.openxmlformats.org/officeDocument/2006/docPropsVTypes">
  <Template>Normal</Template>
  <Pages>5</Pages>
  <Words>2635</Words>
  <Characters>2733</Characters>
  <Lines>47</Lines>
  <Paragraphs>13</Paragraphs>
  <TotalTime>3</TotalTime>
  <ScaleCrop>false</ScaleCrop>
  <LinksUpToDate>false</LinksUpToDate>
  <CharactersWithSpaces>2876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2023-07-10T07:37:00Z</cp:lastPrinted>
  <dcterms:modified xsi:type="dcterms:W3CDTF">2024-11-07T07:26:27Z</dcterms:modified>
  <dc:title>Administrator</dc:title>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