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E9CC9">
      <w:pPr>
        <w:pStyle w:val="2"/>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default" w:ascii="Times New Roman" w:hAnsi="Times New Roman" w:eastAsia="方正小标宋简体" w:cs="Times New Roman"/>
          <w:color w:val="auto"/>
          <w:sz w:val="44"/>
          <w:szCs w:val="44"/>
          <w:highlight w:val="none"/>
          <w:lang w:eastAsia="zh-CN"/>
        </w:rPr>
      </w:pPr>
    </w:p>
    <w:p w14:paraId="2012352D">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720D9E4">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80</w:t>
      </w:r>
      <w:r>
        <w:rPr>
          <w:rFonts w:hint="eastAsia" w:eastAsia="仿宋_GB2312"/>
          <w:sz w:val="32"/>
          <w:szCs w:val="32"/>
          <w:lang w:eastAsia="zh-CN"/>
        </w:rPr>
        <w:t>号</w:t>
      </w:r>
    </w:p>
    <w:p w14:paraId="2B0F246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p>
    <w:p w14:paraId="7BAC27A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D16E94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于2023年8月10日作出的洛涧市监〔2023〕第05号《举报不予立案告知书》</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C934E6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撤销被申请人于2023年8月10日作出的洛涧市监〔2023〕第05号《举报不予立案告知书》，并责令被申请人限期内依法重作。</w:t>
      </w:r>
    </w:p>
    <w:p w14:paraId="7856EB1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认为某店存在违反相关法律规定的情形。为维护自身的权益，请求行政机关处置加害人法律责任，收集民事权益救济的证据。申请人于2023年7月21日通过邮寄挂号信（XA30288386843）提出投诉举报，被申请人作出不予立案决定，申请人不服，提起复议。被申请人称未发现举报材料中涉嫌违法的情况，只能说被申请人视力不好。《市场监督管理行政处罚程序规定》第十九条规定，经核查，符合下列条件的，应当立案：（一）有证据初步证明存在违反市场监督管理法律、法规、规章的行为。申请人在投诉举报材料中已经提交了明确的证据，证明被举报人存在违反法律法规的情形。涉案产品标签不符合《GB28050—2011食品安全国家标准预包装食品营养标签通则》6.2营养成分表中强制标示和可选择性标示的营养成分的名称和顺序、标示单位、修约间隔、“0”界限值应符合表1的规定。涉案产品钠含量为1mg/100g，标注错误，应当标注为0。申请人是与行政行为有利害关系的公民也是行政告知行为的相对人，所以申请人可以提起行政复议申请。依据《最高人民法院关于举报人对行政机关就举报事项作出的处理或者不作为行为不服是否具有行政复议原告资格问题的答复》【2013】行他字第14号《中华人民共和国行政复议法》第九条第一款、《中华人民共和国行政复议法实施条例》第二十八条第（二）项的规定，举报人为维护自身合法权益而举报相关违法行为人，要求行政机关查处，对行政机关就举报事项作出的处理或者不作为行为不服申请行政复议的，具有行政复议申请人资格。申请人属于与行政行为有利害关系的公民，可以提出行政复议申请。《市场监督管理投诉举报处理暂行办法》第三十一条规定，市场监督管理部门应当按照市场监督管理行政处罚等有关规定处理举报。举报人实名举报的，有处理权限的市场监督管理部门还应当自作出是否立案决定之日起五个工作日内告知举报人。申请人属于行政告知行为的相对人。综上，被申请人调查事实不清，未履行法定职责，请复议机关支持申请人的请求。</w:t>
      </w:r>
    </w:p>
    <w:p w14:paraId="7333106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被申请人于2023年7月25日收到申请人黄某的投诉举报书，反映举报的经营主体为</w:t>
      </w:r>
      <w:bookmarkStart w:id="0" w:name="_GoBack"/>
      <w:bookmarkEnd w:id="0"/>
      <w:r>
        <w:rPr>
          <w:rFonts w:hint="eastAsia" w:ascii="Times New Roman" w:hAnsi="Times New Roman" w:eastAsia="仿宋_GB2312" w:cs="Times New Roman"/>
          <w:sz w:val="32"/>
          <w:szCs w:val="32"/>
          <w:highlight w:val="none"/>
          <w:lang w:val="en-US" w:eastAsia="zh-CN" w:bidi="zh-CN"/>
        </w:rPr>
        <w:t>某店。举报人于2023年7月13日在被举报人的淘宝网店上购买燕麦产品，发现产品标签不符合《GB 28050—2011食品安全国家标准预包装食品营养标签通则》6.2 营养成分表中强制标示和可选择性标示的营养成分的名称和顺序、标示单位、修约间隔“0”界限值应符合表1的规定。投诉举报的诉求为赔偿查处、奖励。对于申请人的投诉举报事项，被申请人进行了调查处理。投诉事项被申请人终止调解，举报事项不予立案，理由如下：在投诉办理中，商家书面明确表示不同意调解，被申请人依据《市场监督管理投诉举报处理暂行办法》的规定，终止调解并向申请人邮寄了《投诉终止调解决定书》。对于被举报商户销售不符合《GB 28050—2011食品安全国家标准预包装食品营养标签通则》6.2规定的食品标签，被申请人执法人员于2023年7月31日对该商户进行了现场检查，未发现申请人所举报材料中涉及的食品。经向商户了解情况，申请人所购买的食品是网店销售，线下不销售，具体为在商户网店下订单，厂家直接发货。被举报的商户在进货同时履行了进货查验手续。商户对申请人提供的购买证据及营养标签证据予以认可，被申请人执法人员对申请人提供的营养标签证据进行检查，发现该营养标签纳的含量标注为1mg/100g不规范，此标注不符合0界值规定（根据表1规定，纳的含量为每100g检出值为&lt; 5mg时应标为0）。根据《食品生产经营监督检查管理办法》第三十七条第二款第四项“认定标签、说明书瑕疵，应当综合考虑标注内容与食品安全的关联性、当事人的主观过错、消费者对食品安全的理解和选择等因素。有下列情形之一的，可以认定为食品安全法第一百二十五条第二款规定的标签、说明书瑕疵：（四）营养成分表、配料表顺序、数值、单位标示不规范，或者营养成分表数值修约间隔、“0”界限值、标示单位不规范的”之规定，该食品标签为标签瑕疵，属不需要立案查处的行为，根据《中华人民共和国食品安全法》第一百二十五条第二款“生产经营的食品、食品添加剂的标签、说明书存在瑕疵但不影响食品安全且不会对消费者造成误导的，由县级以上人民政府食品安全监督管理部门责令改正；拒不改正的，处二千元以下罚款”的规定，被申请人对某店下达责令改正通知书。2023年8月4日，被申请人再次对被举报的商户进行检查，该商户已没有再销售此标签瑕疵的食品。根据《市场监督管理行政处罚程序规定》，决定不予立案。被申请人于2023年8月11日，向举报人邮寄了《举报不予立案告知书》。综上，被申请人根据举报的线索进行核查，做出不予立案的处理决定，行政行为并无不当。请复议机关驳回申请人的复议请求，维持被申请人的处理决定。</w:t>
      </w:r>
    </w:p>
    <w:p w14:paraId="3DA02BB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申请人黄某在被投诉举报人某店网上开办的网店购买燕麦片，共花费23.37元。2023年7月22日，申请人黄某向被投诉举报人邮寄《投诉举报（履职申请）书》，投诉举报诉求为赔偿、查处、奖励。</w:t>
      </w:r>
    </w:p>
    <w:p w14:paraId="7508C73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7月31日，被申请人到被投诉举报人处进行现场检查，并向被投诉举报人下达责令改正通知书。2023年8月4日，被申请人到被投诉举报人现场检查，被投诉举报人已下架标签瑕疵的食品。因被投诉举报人及时改正，被申请人根据《中华人民共和国食品安全法》第一百二十五条第二款“生产经营的食品、食品添加剂的标签、说明书存在瑕疵但不影响食品安全且不会对消费者造成误导的，由县级以上人民政府食品安全监督管理部门责令改正；拒不改正的，处二千元以下罚款”及《市场监督管理行政处罚程序规定》第二十条“经核查，有下列情形之一的，可以不予立案：（一）违法行为轻微并及时改正，没有造成危害后果；（二）初次违法且危害后果轻微并及时改正；（三）当事人有证据足以证明没有主观过错，但法律、行政法规另有规定的除外；（四）依法可以不予立案的其他情形。决定不予立案的，应当填写不予立案审批表”之规定，于2023年8月10日通过内部审批决定对上述举报事项不予立案。当日，被申请人作出洛涧市监〔2023〕第05号《举报不予立案告知书》，并向申请人邮寄。</w:t>
      </w:r>
    </w:p>
    <w:p w14:paraId="22CF9D5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投诉举报（履职申请）书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支付宝交易电子回单</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能量和营养成分名称、顺序、表达单位、修约间隔和“0”界限值表</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现场检查笔录2份；6.责令改正通知书及送达回证；7.某店营业执照副本复印件；8.某店食品经营许可证复印件；9.现场检查照片；10.产品出厂检验报告单、食品生产许可证、出库单、营业执照；12.商品订单查询截图；13.不予立案审批表；14.洛涧市监〔2023〕第05号《举报不予立案告知书》；15.国内挂号信函收据复印件</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07165E13">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接到申请人举报信后，对被投诉举报人进行现场检查，</w:t>
      </w:r>
      <w:r>
        <w:rPr>
          <w:rFonts w:hint="eastAsia" w:ascii="Times New Roman" w:hAnsi="Times New Roman" w:eastAsia="仿宋_GB2312" w:cs="Times New Roman"/>
          <w:color w:val="auto"/>
          <w:sz w:val="32"/>
          <w:szCs w:val="32"/>
          <w:highlight w:val="none"/>
          <w:lang w:val="en-US" w:eastAsia="zh-CN" w:bidi="zh-CN"/>
        </w:rPr>
        <w:t>下达责令改正通知书，并进行复查</w:t>
      </w:r>
      <w:r>
        <w:rPr>
          <w:rFonts w:hint="default" w:ascii="Times New Roman" w:hAnsi="Times New Roman" w:eastAsia="仿宋_GB2312" w:cs="Times New Roman"/>
          <w:color w:val="auto"/>
          <w:sz w:val="32"/>
          <w:szCs w:val="32"/>
          <w:highlight w:val="none"/>
          <w:lang w:eastAsia="zh-CN" w:bidi="zh-CN"/>
        </w:rPr>
        <w:t>，依法履行了核查义务。被申请人于2023年7月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eastAsia="zh-CN" w:bidi="zh-CN"/>
        </w:rPr>
        <w:t>日签收投诉举报信件，于2023年8月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并于当日向申请人邮寄送达，符合法律规定的处理时限</w:t>
      </w:r>
      <w:r>
        <w:rPr>
          <w:rFonts w:hint="default" w:ascii="Times New Roman" w:hAnsi="Times New Roman" w:eastAsia="仿宋_GB2312" w:cs="Times New Roman"/>
          <w:color w:val="auto"/>
          <w:sz w:val="32"/>
          <w:szCs w:val="32"/>
          <w:highlight w:val="none"/>
          <w:lang w:eastAsia="zh-CN" w:bidi="zh-CN"/>
        </w:rPr>
        <w:t>。被申请人针对申请人的举报依法履行了法定职权，处理妥当，程序合法。</w:t>
      </w:r>
    </w:p>
    <w:p w14:paraId="5D50993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28C7E17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维持被申请人洛阳市涧西区市场监督管理局对申请人黄某针对某店的举报作出的处理。</w:t>
      </w:r>
    </w:p>
    <w:p w14:paraId="1453A21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925C04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B542A5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F0DC8D9">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eastAsia="zh-CN" w:bidi="zh-CN"/>
        </w:rPr>
        <w:t xml:space="preserve">日     </w:t>
      </w:r>
    </w:p>
    <w:p w14:paraId="07C967D0">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94206">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449870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9E5628"/>
    <w:rsid w:val="00B1058E"/>
    <w:rsid w:val="00CF2328"/>
    <w:rsid w:val="00F0023A"/>
    <w:rsid w:val="01936B25"/>
    <w:rsid w:val="01B03668"/>
    <w:rsid w:val="023543DC"/>
    <w:rsid w:val="02463B2B"/>
    <w:rsid w:val="028F2F1E"/>
    <w:rsid w:val="03B92C81"/>
    <w:rsid w:val="046C7FC6"/>
    <w:rsid w:val="04C258B7"/>
    <w:rsid w:val="064C3D82"/>
    <w:rsid w:val="07675263"/>
    <w:rsid w:val="09D83256"/>
    <w:rsid w:val="09FB5160"/>
    <w:rsid w:val="0A120248"/>
    <w:rsid w:val="0BFC65EB"/>
    <w:rsid w:val="0C592F5E"/>
    <w:rsid w:val="0C5B418B"/>
    <w:rsid w:val="0C6F4245"/>
    <w:rsid w:val="0D581A7A"/>
    <w:rsid w:val="0F5615D1"/>
    <w:rsid w:val="0FBF372E"/>
    <w:rsid w:val="116C71C0"/>
    <w:rsid w:val="1187006C"/>
    <w:rsid w:val="12102C19"/>
    <w:rsid w:val="139E1E77"/>
    <w:rsid w:val="14B610BD"/>
    <w:rsid w:val="168F1FC7"/>
    <w:rsid w:val="16BB08CC"/>
    <w:rsid w:val="18A447A3"/>
    <w:rsid w:val="18AD78FA"/>
    <w:rsid w:val="19FF101D"/>
    <w:rsid w:val="1A5D7508"/>
    <w:rsid w:val="1CA4041A"/>
    <w:rsid w:val="1DC638CA"/>
    <w:rsid w:val="1DC76541"/>
    <w:rsid w:val="1E5F050A"/>
    <w:rsid w:val="1E6F78F1"/>
    <w:rsid w:val="1F247A76"/>
    <w:rsid w:val="200241E0"/>
    <w:rsid w:val="20530AD5"/>
    <w:rsid w:val="205A2450"/>
    <w:rsid w:val="206D2775"/>
    <w:rsid w:val="208464C8"/>
    <w:rsid w:val="20A22DAD"/>
    <w:rsid w:val="2196102F"/>
    <w:rsid w:val="21E73C49"/>
    <w:rsid w:val="21F415C9"/>
    <w:rsid w:val="22637CE3"/>
    <w:rsid w:val="2397761A"/>
    <w:rsid w:val="25567276"/>
    <w:rsid w:val="26023DD0"/>
    <w:rsid w:val="26E82D43"/>
    <w:rsid w:val="27D13614"/>
    <w:rsid w:val="29DB05E0"/>
    <w:rsid w:val="2A4C285A"/>
    <w:rsid w:val="2AE86452"/>
    <w:rsid w:val="2AF73E8C"/>
    <w:rsid w:val="2B276B82"/>
    <w:rsid w:val="2BBA7BC6"/>
    <w:rsid w:val="2C0143DD"/>
    <w:rsid w:val="2D33789C"/>
    <w:rsid w:val="2E092ECC"/>
    <w:rsid w:val="2E0C5AEE"/>
    <w:rsid w:val="2E19473C"/>
    <w:rsid w:val="2E38124C"/>
    <w:rsid w:val="2F1A772C"/>
    <w:rsid w:val="2F40089A"/>
    <w:rsid w:val="2F5229EB"/>
    <w:rsid w:val="2F7B6D5E"/>
    <w:rsid w:val="2F995907"/>
    <w:rsid w:val="2FC72284"/>
    <w:rsid w:val="305038DF"/>
    <w:rsid w:val="30D56CB1"/>
    <w:rsid w:val="31EB3512"/>
    <w:rsid w:val="3268690D"/>
    <w:rsid w:val="32987720"/>
    <w:rsid w:val="329F21BE"/>
    <w:rsid w:val="332F26E5"/>
    <w:rsid w:val="338B5419"/>
    <w:rsid w:val="34AF4D13"/>
    <w:rsid w:val="35510676"/>
    <w:rsid w:val="358F5533"/>
    <w:rsid w:val="36B82A7F"/>
    <w:rsid w:val="37F005AF"/>
    <w:rsid w:val="393A74C9"/>
    <w:rsid w:val="3A84224D"/>
    <w:rsid w:val="3BBBC973"/>
    <w:rsid w:val="3C3629DD"/>
    <w:rsid w:val="3CD92B74"/>
    <w:rsid w:val="3CFA5A1F"/>
    <w:rsid w:val="3D1141E0"/>
    <w:rsid w:val="3EDE61C9"/>
    <w:rsid w:val="3EE3794E"/>
    <w:rsid w:val="3FF51487"/>
    <w:rsid w:val="40004FD0"/>
    <w:rsid w:val="41385655"/>
    <w:rsid w:val="444A6622"/>
    <w:rsid w:val="44A36F5A"/>
    <w:rsid w:val="44A51827"/>
    <w:rsid w:val="48247755"/>
    <w:rsid w:val="488C73A1"/>
    <w:rsid w:val="49922602"/>
    <w:rsid w:val="4A054521"/>
    <w:rsid w:val="4B382A64"/>
    <w:rsid w:val="4C9F663F"/>
    <w:rsid w:val="4D2F601D"/>
    <w:rsid w:val="4D563D88"/>
    <w:rsid w:val="4DF95B66"/>
    <w:rsid w:val="4E940639"/>
    <w:rsid w:val="4EFB6111"/>
    <w:rsid w:val="50516EF9"/>
    <w:rsid w:val="50C00363"/>
    <w:rsid w:val="53223260"/>
    <w:rsid w:val="53B20651"/>
    <w:rsid w:val="5405790C"/>
    <w:rsid w:val="55910D31"/>
    <w:rsid w:val="55DA612A"/>
    <w:rsid w:val="563134EB"/>
    <w:rsid w:val="56DF4B7B"/>
    <w:rsid w:val="57B63C8A"/>
    <w:rsid w:val="58565030"/>
    <w:rsid w:val="58D83A42"/>
    <w:rsid w:val="5A601E35"/>
    <w:rsid w:val="5A900F23"/>
    <w:rsid w:val="5AA95DAB"/>
    <w:rsid w:val="5BE340D4"/>
    <w:rsid w:val="5D6448EC"/>
    <w:rsid w:val="5D67459D"/>
    <w:rsid w:val="5E094D5D"/>
    <w:rsid w:val="5E632122"/>
    <w:rsid w:val="5F09396D"/>
    <w:rsid w:val="5F2CAEFE"/>
    <w:rsid w:val="5F6B608A"/>
    <w:rsid w:val="5FCE4022"/>
    <w:rsid w:val="5FF70323"/>
    <w:rsid w:val="606D56D8"/>
    <w:rsid w:val="613F3D78"/>
    <w:rsid w:val="619937D4"/>
    <w:rsid w:val="623A7B14"/>
    <w:rsid w:val="64505863"/>
    <w:rsid w:val="64640EA2"/>
    <w:rsid w:val="646870C7"/>
    <w:rsid w:val="67203920"/>
    <w:rsid w:val="67F67B00"/>
    <w:rsid w:val="6814255B"/>
    <w:rsid w:val="682E3AA8"/>
    <w:rsid w:val="69300273"/>
    <w:rsid w:val="699900D4"/>
    <w:rsid w:val="6B114BE3"/>
    <w:rsid w:val="6B4E705F"/>
    <w:rsid w:val="6BB96942"/>
    <w:rsid w:val="6CB058D6"/>
    <w:rsid w:val="6CD00864"/>
    <w:rsid w:val="6CDB7153"/>
    <w:rsid w:val="6DCA6CCE"/>
    <w:rsid w:val="6DD27D61"/>
    <w:rsid w:val="6E3A103C"/>
    <w:rsid w:val="6EB42BD3"/>
    <w:rsid w:val="6FC55CD2"/>
    <w:rsid w:val="6FF31F11"/>
    <w:rsid w:val="71F7460A"/>
    <w:rsid w:val="720D2C72"/>
    <w:rsid w:val="72253984"/>
    <w:rsid w:val="726053A8"/>
    <w:rsid w:val="73A910D6"/>
    <w:rsid w:val="74163797"/>
    <w:rsid w:val="75697A8D"/>
    <w:rsid w:val="775274C5"/>
    <w:rsid w:val="77B44B64"/>
    <w:rsid w:val="77BA5BF8"/>
    <w:rsid w:val="78115138"/>
    <w:rsid w:val="788758AB"/>
    <w:rsid w:val="798E7D96"/>
    <w:rsid w:val="799A2D0C"/>
    <w:rsid w:val="79C92109"/>
    <w:rsid w:val="79F3009A"/>
    <w:rsid w:val="7A4A4DD7"/>
    <w:rsid w:val="7CE262AB"/>
    <w:rsid w:val="7D462A91"/>
    <w:rsid w:val="7D644FF4"/>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3592</Words>
  <Characters>3796</Characters>
  <Lines>0</Lines>
  <Paragraphs>0</Paragraphs>
  <TotalTime>2</TotalTime>
  <ScaleCrop>false</ScaleCrop>
  <LinksUpToDate>false</LinksUpToDate>
  <CharactersWithSpaces>3878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2023-11-24T03:12:00Z</cp:lastPrinted>
  <dcterms:modified xsi:type="dcterms:W3CDTF">2024-11-07T07:38:39Z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