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34DA91">
      <w:pPr>
        <w:pStyle w:val="2"/>
        <w:keepNext w:val="0"/>
        <w:keepLines w:val="0"/>
        <w:pageBreakBefore w:val="0"/>
        <w:widowControl w:val="0"/>
        <w:kinsoku/>
        <w:wordWrap/>
        <w:overflowPunct/>
        <w:topLinePunct w:val="0"/>
        <w:autoSpaceDE/>
        <w:autoSpaceDN/>
        <w:bidi w:val="0"/>
        <w:adjustRightInd/>
        <w:snapToGrid/>
        <w:spacing w:line="720" w:lineRule="exact"/>
        <w:textAlignment w:val="auto"/>
        <w:rPr>
          <w:rFonts w:hint="default" w:ascii="Times New Roman" w:hAnsi="Times New Roman" w:eastAsia="方正小标宋简体" w:cs="Times New Roman"/>
          <w:color w:val="auto"/>
          <w:sz w:val="44"/>
          <w:szCs w:val="44"/>
          <w:highlight w:val="none"/>
          <w:lang w:eastAsia="zh-CN"/>
        </w:rPr>
      </w:pPr>
    </w:p>
    <w:p w14:paraId="612B07CE">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016856F7">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86</w:t>
      </w:r>
      <w:r>
        <w:rPr>
          <w:rFonts w:hint="eastAsia" w:eastAsia="仿宋_GB2312"/>
          <w:sz w:val="32"/>
          <w:szCs w:val="32"/>
          <w:lang w:eastAsia="zh-CN"/>
        </w:rPr>
        <w:t>号</w:t>
      </w:r>
    </w:p>
    <w:p w14:paraId="2C4E554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邓某</w:t>
      </w:r>
      <w:r>
        <w:rPr>
          <w:rFonts w:hint="default" w:ascii="Times New Roman" w:hAnsi="Times New Roman" w:eastAsia="仿宋_GB2312" w:cs="Times New Roman"/>
          <w:sz w:val="32"/>
          <w:szCs w:val="32"/>
          <w:highlight w:val="none"/>
          <w:lang w:eastAsia="zh-CN" w:bidi="zh-CN"/>
        </w:rPr>
        <w:t>。</w:t>
      </w:r>
    </w:p>
    <w:p w14:paraId="26B5FC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80517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eastAsia"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eastAsia="zh-CN" w:bidi="zh-CN"/>
        </w:rPr>
        <w:t>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18</w:t>
      </w:r>
      <w:r>
        <w:rPr>
          <w:rFonts w:hint="default" w:ascii="Times New Roman" w:hAnsi="Times New Roman" w:eastAsia="仿宋_GB2312" w:cs="Times New Roman"/>
          <w:sz w:val="32"/>
          <w:szCs w:val="32"/>
          <w:highlight w:val="none"/>
          <w:lang w:eastAsia="zh-CN" w:bidi="zh-CN"/>
        </w:rPr>
        <w:t>日针对</w:t>
      </w:r>
      <w:r>
        <w:rPr>
          <w:rFonts w:hint="eastAsia" w:ascii="Times New Roman" w:hAnsi="Times New Roman" w:eastAsia="仿宋_GB2312" w:cs="Times New Roman"/>
          <w:sz w:val="32"/>
          <w:szCs w:val="32"/>
          <w:highlight w:val="none"/>
          <w:lang w:val="en-US" w:eastAsia="zh-CN" w:bidi="zh-CN"/>
        </w:rPr>
        <w:t>其对某超市</w:t>
      </w:r>
      <w:r>
        <w:rPr>
          <w:rFonts w:hint="default" w:ascii="Times New Roman" w:hAnsi="Times New Roman" w:eastAsia="仿宋_GB2312" w:cs="Times New Roman"/>
          <w:sz w:val="32"/>
          <w:szCs w:val="32"/>
          <w:highlight w:val="none"/>
          <w:lang w:eastAsia="zh-CN" w:bidi="zh-CN"/>
        </w:rPr>
        <w:t>的</w:t>
      </w:r>
      <w:r>
        <w:rPr>
          <w:rFonts w:hint="eastAsia" w:ascii="Times New Roman" w:hAnsi="Times New Roman" w:eastAsia="仿宋_GB2312" w:cs="Times New Roman"/>
          <w:sz w:val="32"/>
          <w:szCs w:val="32"/>
          <w:highlight w:val="none"/>
          <w:lang w:val="en-US" w:eastAsia="zh-CN" w:bidi="zh-CN"/>
        </w:rPr>
        <w:t>举报作出的答复</w:t>
      </w:r>
      <w:r>
        <w:rPr>
          <w:rFonts w:hint="default" w:ascii="Times New Roman" w:hAnsi="Times New Roman" w:eastAsia="仿宋_GB2312" w:cs="Times New Roman"/>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于2023年10月30日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0AF4173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撤销被</w:t>
      </w:r>
      <w:r>
        <w:rPr>
          <w:rFonts w:hint="eastAsia" w:ascii="Times New Roman" w:hAnsi="Times New Roman" w:eastAsia="仿宋_GB2312" w:cs="Times New Roman"/>
          <w:sz w:val="32"/>
          <w:szCs w:val="32"/>
          <w:highlight w:val="none"/>
          <w:lang w:val="en-US" w:eastAsia="zh-CN" w:bidi="zh-CN"/>
        </w:rPr>
        <w:t>申</w:t>
      </w:r>
      <w:r>
        <w:rPr>
          <w:rFonts w:hint="default" w:ascii="Times New Roman" w:hAnsi="Times New Roman" w:eastAsia="仿宋_GB2312" w:cs="Times New Roman"/>
          <w:sz w:val="32"/>
          <w:szCs w:val="32"/>
          <w:highlight w:val="none"/>
          <w:lang w:val="en-US" w:eastAsia="zh-CN" w:bidi="zh-CN"/>
        </w:rPr>
        <w:t>请人2023年9月18日《答复函》中</w:t>
      </w:r>
      <w:r>
        <w:rPr>
          <w:rFonts w:hint="eastAsia" w:ascii="Times New Roman" w:hAnsi="Times New Roman" w:eastAsia="仿宋_GB2312" w:cs="Times New Roman"/>
          <w:sz w:val="32"/>
          <w:szCs w:val="32"/>
          <w:highlight w:val="none"/>
          <w:lang w:val="en-US" w:eastAsia="zh-CN" w:bidi="zh-CN"/>
        </w:rPr>
        <w:t>“某超市</w:t>
      </w:r>
      <w:r>
        <w:rPr>
          <w:rFonts w:hint="default" w:ascii="Times New Roman" w:hAnsi="Times New Roman" w:eastAsia="仿宋_GB2312" w:cs="Times New Roman"/>
          <w:sz w:val="32"/>
          <w:szCs w:val="32"/>
          <w:highlight w:val="none"/>
          <w:lang w:val="en-US" w:eastAsia="zh-CN" w:bidi="zh-CN"/>
        </w:rPr>
        <w:t>经营火锅</w:t>
      </w:r>
      <w:r>
        <w:rPr>
          <w:rFonts w:hint="eastAsia" w:ascii="Times New Roman" w:hAnsi="Times New Roman" w:eastAsia="仿宋_GB2312" w:cs="Times New Roman"/>
          <w:sz w:val="32"/>
          <w:szCs w:val="32"/>
          <w:highlight w:val="none"/>
          <w:lang w:val="en-US" w:eastAsia="zh-CN" w:bidi="zh-CN"/>
        </w:rPr>
        <w:t>豆筋</w:t>
      </w:r>
      <w:r>
        <w:rPr>
          <w:rFonts w:hint="default" w:ascii="Times New Roman" w:hAnsi="Times New Roman" w:eastAsia="仿宋_GB2312" w:cs="Times New Roman"/>
          <w:sz w:val="32"/>
          <w:szCs w:val="32"/>
          <w:highlight w:val="none"/>
          <w:lang w:val="en-US" w:eastAsia="zh-CN" w:bidi="zh-CN"/>
        </w:rPr>
        <w:t>的举报，我局决定不予立案</w:t>
      </w:r>
      <w:r>
        <w:rPr>
          <w:rFonts w:hint="eastAsia" w:ascii="Times New Roman" w:hAnsi="Times New Roman" w:eastAsia="仿宋_GB2312" w:cs="Times New Roman"/>
          <w:sz w:val="32"/>
          <w:szCs w:val="32"/>
          <w:highlight w:val="none"/>
          <w:lang w:val="en-US" w:eastAsia="zh-CN" w:bidi="zh-CN"/>
        </w:rPr>
        <w:t>”的决定，</w:t>
      </w:r>
      <w:r>
        <w:rPr>
          <w:rFonts w:hint="default" w:ascii="Times New Roman" w:hAnsi="Times New Roman" w:eastAsia="仿宋_GB2312" w:cs="Times New Roman"/>
          <w:sz w:val="32"/>
          <w:szCs w:val="32"/>
          <w:highlight w:val="none"/>
          <w:lang w:val="en-US" w:eastAsia="zh-CN" w:bidi="zh-CN"/>
        </w:rPr>
        <w:t>并责令其重新作出行政行为。</w:t>
      </w:r>
    </w:p>
    <w:p w14:paraId="0D8A70B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被申请人根据《市场监督管理行政处罚程序规定》第20条第3款决定不予立案，但该条共有2款规定，并不存在第3款，构成适用</w:t>
      </w:r>
      <w:r>
        <w:rPr>
          <w:rFonts w:hint="eastAsia" w:ascii="Times New Roman" w:hAnsi="Times New Roman" w:eastAsia="仿宋_GB2312" w:cs="Times New Roman"/>
          <w:sz w:val="32"/>
          <w:szCs w:val="32"/>
          <w:highlight w:val="none"/>
          <w:lang w:val="en-US" w:eastAsia="zh-CN" w:bidi="zh-CN"/>
        </w:rPr>
        <w:t>法律</w:t>
      </w:r>
      <w:r>
        <w:rPr>
          <w:rFonts w:hint="default" w:ascii="Times New Roman" w:hAnsi="Times New Roman" w:eastAsia="仿宋_GB2312" w:cs="Times New Roman"/>
          <w:sz w:val="32"/>
          <w:szCs w:val="32"/>
          <w:highlight w:val="none"/>
          <w:lang w:val="en-US" w:eastAsia="zh-CN" w:bidi="zh-CN"/>
        </w:rPr>
        <w:t>依据错误。被申请人未公开、告知</w:t>
      </w:r>
      <w:r>
        <w:rPr>
          <w:rFonts w:hint="eastAsia" w:ascii="Times New Roman" w:hAnsi="Times New Roman" w:eastAsia="仿宋_GB2312" w:cs="Times New Roman"/>
          <w:sz w:val="32"/>
          <w:szCs w:val="32"/>
          <w:highlight w:val="none"/>
          <w:lang w:val="en-US" w:eastAsia="zh-CN" w:bidi="zh-CN"/>
        </w:rPr>
        <w:t>某超市</w:t>
      </w:r>
      <w:r>
        <w:rPr>
          <w:rFonts w:hint="default" w:ascii="Times New Roman" w:hAnsi="Times New Roman" w:eastAsia="仿宋_GB2312" w:cs="Times New Roman"/>
          <w:sz w:val="32"/>
          <w:szCs w:val="32"/>
          <w:highlight w:val="none"/>
          <w:lang w:val="en-US" w:eastAsia="zh-CN" w:bidi="zh-CN"/>
        </w:rPr>
        <w:t>履行了《中华人民共和国食品安全法》规定的进货查验义务，有证据证明其不知道所采购的食品不符合食品安全标准，并能如实说明其进货来源的证据、依据和其他有关材料，违背公开、公平、公正的正当程序原则，未保障利害关系人即本案申请人的知情权，违反《全面推进依法行政实施纲要》第3条第5项关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程序正当。行政机关实施行政管理，除涉及国家秘密和依法受到保护的商业秘密、个人隐私的外，应当公开，依法保障行政管理相对人、利害关系人的知情权</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规定。申请人购买到不符合食品安全标准的食品，为维护自身合法权益而申请行政机关履行保护财产权的法定职责，被申请人未能依法履行保护申请人财产权的法定职责，不予立案影响申请人的合法权益，未告知申请人申请行政复议的权利、行政复议机关和行政复议申请期限，违反《中华人民共和国行政复议法实施条例》第17条的规定。被申请人对</w:t>
      </w:r>
      <w:r>
        <w:rPr>
          <w:rFonts w:hint="eastAsia" w:ascii="Times New Roman" w:hAnsi="Times New Roman" w:eastAsia="仿宋_GB2312" w:cs="Times New Roman"/>
          <w:sz w:val="32"/>
          <w:szCs w:val="32"/>
          <w:highlight w:val="none"/>
          <w:lang w:val="en-US" w:eastAsia="zh-CN" w:bidi="zh-CN"/>
        </w:rPr>
        <w:t>某超市</w:t>
      </w:r>
      <w:r>
        <w:rPr>
          <w:rFonts w:hint="default" w:ascii="Times New Roman" w:hAnsi="Times New Roman" w:eastAsia="仿宋_GB2312" w:cs="Times New Roman"/>
          <w:sz w:val="32"/>
          <w:szCs w:val="32"/>
          <w:highlight w:val="none"/>
          <w:lang w:val="en-US" w:eastAsia="zh-CN" w:bidi="zh-CN"/>
        </w:rPr>
        <w:t>不予立案，实质不予行政处罚。但根据《国务院关于进一步贯彻实施</w:t>
      </w:r>
      <w:r>
        <w:rPr>
          <w:rFonts w:hint="eastAsia" w:ascii="Times New Roman" w:hAnsi="Times New Roman" w:eastAsia="仿宋_GB2312" w:cs="Times New Roman"/>
          <w:sz w:val="32"/>
          <w:szCs w:val="32"/>
          <w:highlight w:val="none"/>
          <w:lang w:val="en-US" w:eastAsia="zh-CN" w:bidi="zh-CN"/>
        </w:rPr>
        <w:t>&lt;</w:t>
      </w:r>
      <w:r>
        <w:rPr>
          <w:rFonts w:hint="default" w:ascii="Times New Roman" w:hAnsi="Times New Roman" w:eastAsia="仿宋_GB2312" w:cs="Times New Roman"/>
          <w:sz w:val="32"/>
          <w:szCs w:val="32"/>
          <w:highlight w:val="none"/>
          <w:lang w:val="en-US" w:eastAsia="zh-CN" w:bidi="zh-CN"/>
        </w:rPr>
        <w:t>中华人民共和国行政处罚法</w:t>
      </w:r>
      <w:r>
        <w:rPr>
          <w:rFonts w:hint="eastAsia" w:ascii="Times New Roman" w:hAnsi="Times New Roman" w:eastAsia="仿宋_GB2312" w:cs="Times New Roman"/>
          <w:sz w:val="32"/>
          <w:szCs w:val="32"/>
          <w:highlight w:val="none"/>
          <w:lang w:val="en-US" w:eastAsia="zh-CN" w:bidi="zh-CN"/>
        </w:rPr>
        <w:t>&gt;</w:t>
      </w:r>
      <w:r>
        <w:rPr>
          <w:rFonts w:hint="default" w:ascii="Times New Roman" w:hAnsi="Times New Roman" w:eastAsia="仿宋_GB2312" w:cs="Times New Roman"/>
          <w:sz w:val="32"/>
          <w:szCs w:val="32"/>
          <w:highlight w:val="none"/>
          <w:lang w:val="en-US" w:eastAsia="zh-CN" w:bidi="zh-CN"/>
        </w:rPr>
        <w:t>的通知》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国发</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2021</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26号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w:t>
      </w:r>
      <w:r>
        <w:rPr>
          <w:rFonts w:hint="eastAsia" w:ascii="Times New Roman" w:hAnsi="Times New Roman" w:eastAsia="仿宋_GB2312" w:cs="Times New Roman"/>
          <w:sz w:val="32"/>
          <w:szCs w:val="32"/>
          <w:highlight w:val="none"/>
          <w:lang w:val="en-US" w:eastAsia="zh-CN" w:bidi="zh-CN"/>
        </w:rPr>
        <w:t>（十）</w:t>
      </w:r>
      <w:r>
        <w:rPr>
          <w:rFonts w:hint="default" w:ascii="Times New Roman" w:hAnsi="Times New Roman" w:eastAsia="仿宋_GB2312" w:cs="Times New Roman"/>
          <w:sz w:val="32"/>
          <w:szCs w:val="32"/>
          <w:highlight w:val="none"/>
          <w:lang w:val="en-US" w:eastAsia="zh-CN" w:bidi="zh-CN"/>
        </w:rPr>
        <w:t>条关于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当事人主动退赔，消除或者减轻违法行为危害后果的，依法予以从轻或者减轻行政处罚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的规定，当事人如主动退赔</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消除或者减轻违法行为危害后果，保护利害关系人即本案申请人的合法权益，被申请人依法予以从轻或者减轻行政处罚，但当事人至今并未主动退赔，被申请人竟对当事人作出不予行政处罚，明显不符合上述规定。依据《最高人民法院关于举报人对行政机关就举报事项作出的处理或者不作为行为不服是否具有行政复议申请人资格问题的答复》</w:t>
      </w:r>
      <w:r>
        <w:rPr>
          <w:rFonts w:hint="eastAsia" w:ascii="Times New Roman" w:hAnsi="Times New Roman" w:eastAsia="仿宋_GB2312" w:cs="Times New Roman"/>
          <w:sz w:val="32"/>
          <w:szCs w:val="32"/>
          <w:highlight w:val="none"/>
          <w:lang w:val="en-US" w:eastAsia="zh-CN" w:bidi="zh-CN"/>
        </w:rPr>
        <w:t>（</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2013</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行他字第14号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《最高人民法院关于适用&lt;中华人民共和国行政诉讼法&gt;的解释》第12条第5项</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《最高人民法院行政诉讼法司法解释理解与适用</w:t>
      </w:r>
      <w:r>
        <w:rPr>
          <w:rFonts w:hint="eastAsia" w:ascii="Times New Roman" w:hAnsi="Times New Roman" w:eastAsia="仿宋_GB2312" w:cs="Times New Roman"/>
          <w:sz w:val="32"/>
          <w:szCs w:val="32"/>
          <w:highlight w:val="none"/>
          <w:lang w:val="en-US" w:eastAsia="zh-CN" w:bidi="zh-CN"/>
        </w:rPr>
        <w:t>（上册）</w:t>
      </w:r>
      <w:r>
        <w:rPr>
          <w:rFonts w:hint="default" w:ascii="Times New Roman" w:hAnsi="Times New Roman" w:eastAsia="仿宋_GB2312" w:cs="Times New Roman"/>
          <w:sz w:val="32"/>
          <w:szCs w:val="32"/>
          <w:highlight w:val="none"/>
          <w:lang w:val="en-US" w:eastAsia="zh-CN" w:bidi="zh-CN"/>
        </w:rPr>
        <w:t>》第102页第五条关于</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如果申诉人是出于消费目的的购买者，则其原告资格应当得到认可</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和《最高人民法院行政法官专业会议纪要</w:t>
      </w:r>
      <w:r>
        <w:rPr>
          <w:rFonts w:hint="eastAsia" w:ascii="Times New Roman" w:hAnsi="Times New Roman" w:eastAsia="仿宋_GB2312" w:cs="Times New Roman"/>
          <w:sz w:val="32"/>
          <w:szCs w:val="32"/>
          <w:highlight w:val="none"/>
          <w:lang w:val="en-US" w:eastAsia="zh-CN" w:bidi="zh-CN"/>
        </w:rPr>
        <w:t>（六）（</w:t>
      </w:r>
      <w:r>
        <w:rPr>
          <w:rFonts w:hint="default" w:ascii="Times New Roman" w:hAnsi="Times New Roman" w:eastAsia="仿宋_GB2312" w:cs="Times New Roman"/>
          <w:sz w:val="32"/>
          <w:szCs w:val="32"/>
          <w:highlight w:val="none"/>
          <w:lang w:val="en-US" w:eastAsia="zh-CN" w:bidi="zh-CN"/>
        </w:rPr>
        <w:t>投诉领域</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》第1条第1款的规定，特</w:t>
      </w:r>
      <w:r>
        <w:rPr>
          <w:rFonts w:hint="eastAsia" w:ascii="Times New Roman" w:hAnsi="Times New Roman" w:eastAsia="仿宋_GB2312" w:cs="Times New Roman"/>
          <w:sz w:val="32"/>
          <w:szCs w:val="32"/>
          <w:highlight w:val="none"/>
          <w:lang w:val="en-US" w:eastAsia="zh-CN" w:bidi="zh-CN"/>
        </w:rPr>
        <w:t>申请</w:t>
      </w:r>
      <w:r>
        <w:rPr>
          <w:rFonts w:hint="default" w:ascii="Times New Roman" w:hAnsi="Times New Roman" w:eastAsia="仿宋_GB2312" w:cs="Times New Roman"/>
          <w:sz w:val="32"/>
          <w:szCs w:val="32"/>
          <w:highlight w:val="none"/>
          <w:lang w:val="en-US" w:eastAsia="zh-CN" w:bidi="zh-CN"/>
        </w:rPr>
        <w:t>复议。</w:t>
      </w:r>
    </w:p>
    <w:p w14:paraId="4758F0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举报的单位为某超市，被申请人于2023年9月1日接到洛阳市市场监督管理局转办的申请人邓某投诉举报某超市经营的“饺子包子调味料”“火锅豆筋”涉嫌食品标签标注不符合《预包装食品标签通则》有关要求的信件。因申请人邓某在来信中明确表示不接受电话或短信告知且未提供具体通讯地址，按照其信件中提供的法律文书送达邮箱，被申请人于2023年9月5日送达《投诉举报受理决定书》，2023年9月18日送达投诉举报信件《答复函》。告知其经被申请人调查，被投诉举报人某超市履行了《中华人民共和国食品安全法》要求的进货查验义务，有证据证明其不知道所采购的食品不符合食品安全标准，并能如实说明进货来源。依据《市场监督管理行政处罚程序规定》第二十条第一款（三）项，被申请人决定不予立案。另依据《市场监督管理行政处罚程序规定》第十四条的规定，被申请人已将相关问题线索移送生产厂家所在地市场监管部门处理。1.申请人邓某认为被申请人答复函中作出不予立案决定的适用依据错误。被申请人在答复函中表述不予立案依据为“《市场监督管理行政处罚程序规定》第二十条第三款”应更正为“《市场监督管理行政处罚程序规定》第二十条第一款（三）项”此处为被申请人工作人员笔误。2.申请人邓某认为被申请人在答复函中未公开告知某超市履行了《中华人民共和国食品安全法》要求的进货查验义务，有证据证明其不知道所采购的食品不符合食品安全标准，并能如实说明进货来源的证据、依据和其他有关材料，未保障其知情权。同时认为被申请人不予立案的决定影响到其合法权益，答复函中未告知其申请行政复议的权利、行政复议机关和行政复议申请期限，违反了《中华人民共和国行政复议法实施条例》第十七条的规定。依据《中华人民共和国政府信息公开条例》第十六条第二款，被申请人在履职过程中收集固定超市方履行进货查验义务的相关佐证资料属于过程性信息，不予公开，复议申请人的投诉举报信中也未要求公开。被申请人在答复函中已明确告知申请人超市方履行了法定义务，无需向其公开相关证据材料。《最高人民法院关于举报人对行政机关就举报事项作出的处理或者不作为行为不服是否具有行政复议申请人资格问题的答复》规定：举报人为维护自身合法权益而举报相关违法行为人，要求行政机关查处，对行政机关就举报事项作出的处理或者不作为行为不服申请行政复议的，具有行政复议申请人资格”。根据上述规定，举报人是否具有行政复议申请人资格，取决于举报人是否为维护自身合法权益而举报相关违法行为人。只有举报人在为维护其自身合法权益而举报时，行政机关作出的处理行为才有可能侵犯其合法权益。如果举报人仅仅是以公民身份，行使宪法、法律赋予公民的控告检举或投诉举报的权利，而非为了自身合法权益对相关违法行为进行举报，与行政机关就其举报事项作出的处理行为没有利害关系，不具有行政复议申请人资格。申请人向被申请人举报某超市销售的食品涉嫌标签标准不合规，要求监督检查并查处该违法行为，但未提供证据证明其自身合法权益受到被举报事项的实际侵害，因此申请人与被申请人就其举报事项作出的不予立案决定没有利害关系，不具有申请行政复议的主体资格。不符合《中华人民共和国行政复议法实施条例》第二十八条应当受理的情形。3.申请人认为被申请人对某超市作出不予立案的决定实质上不予行政处罚，某超市至今未主动对其予以退赔，不符合《国务院关于进一步贯彻实施&lt;中华人民共和国行政处罚法&gt;的通知》第十条之规定。依据上述规定申请人认为超市方主动退赔方可衔接从轻或者减轻处罚，与被申请人作出不予立案二者之间无关联，认为不予立案失当则于法无据。依据《中华人民共和国食品安全法》第一百四十八条第一款“消费者因不符合食品安全标准的食品受到损害的，可以向经营者要求赔偿损失，也可以向生产者要求赔偿损失。”申请人未能提供证据证明其自身合法权益受到被举报事项的实际侵害，超市方无需主动退赔。申请人反映的食品的标签不符合《预包装食品标签通则》有关要求，经核查应属于不影响食品安全且不会对消费者造成误导的范畴，亦无需追加赔偿。4.申请人邓某此类举报人连续多次举报，呈现三大特征：一是目的趋利性，举报人以获取高额索赔或举报奖金为唯一目的；二是人员专业化，这些人员具有一定的法律知识，实施团伙化、专业化、一条龙的职业索赔，并以此为职业，获取不义之财；三是手段模式化，通常通过“一买、二谈、三举报、四复议、五诉讼”的路径，有针对性购买价格低廉的食品、日用小商品为主，往往是产品标识、标注不规范方面的问题，举报人向执法部门举报企业产品存在质量问题或缺陷，举报后，再向企业索赔，一般数额较大。这些举报带有明显的恶意倾向，造成的负面影响也不容忽视：一是扰乱了企业正常生产秩序。遭遇到举报的企业每次都要花大量的人力和时间来配合相关部门的检查，严重影响正常生产和企业形象。二是败坏了社会风气。举报人借举报的名义，不劳而获。三是浪费了行政资源。行政部门要花大量精力处理恶意举报事件，复议机关也要浪费大量资源应对恶意举报的复议，造成了行政资源的浪费。综上，被申请人在处理该起信件投诉举报中并无妥当，作出决定合适，不存在申请人所诉未履行法定职责情况。行政机关和复议机关更不应该沦为职业举报人的牟利工具，恳请维持被申请人作出的行政行为。</w:t>
      </w:r>
    </w:p>
    <w:p w14:paraId="76A03D8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highlight w:val="none"/>
          <w:lang w:val="en-US" w:eastAsia="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8月9日，申请人邓某在被投诉举报人某超市花费9.4元购买“饺子包子调味料”“火锅豆筋”。2023年8月25日，申请人邓某以所购物品标签不符合《预包装食品标签通则》为由向洛阳市市场监督管理局进行投诉举报。</w:t>
      </w:r>
      <w:bookmarkStart w:id="0" w:name="_GoBack"/>
      <w:bookmarkEnd w:id="0"/>
    </w:p>
    <w:p w14:paraId="54045F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2023年8月30日，洛阳市市场监督管理局作出市场监管</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第180号《举报转办通知书》，将申请人邓某2023年8月29日关于某超市的举报转给被申请人处理。</w:t>
      </w:r>
    </w:p>
    <w:p w14:paraId="10B874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投诉举报邮件。2023年9月5日，被申请人作出受理决定，并向申请人进行邮寄。</w:t>
      </w:r>
    </w:p>
    <w:p w14:paraId="105DCD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eastAsia" w:ascii="Times New Roman" w:hAnsi="Times New Roman" w:eastAsia="仿宋_GB2312" w:cs="Times New Roman"/>
          <w:sz w:val="32"/>
          <w:szCs w:val="32"/>
          <w:highlight w:val="none"/>
          <w:lang w:val="en-US" w:eastAsia="zh-CN" w:bidi="zh-CN"/>
        </w:rPr>
        <w:t>2023年9月11日，被申请人在调查后作出洛涧市监移字</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33</w:t>
      </w:r>
      <w:r>
        <w:rPr>
          <w:rFonts w:hint="eastAsia" w:ascii="仿宋_GB2312" w:hAnsi="仿宋_GB2312" w:eastAsia="仿宋_GB2312" w:cs="仿宋_GB2312"/>
          <w:sz w:val="32"/>
          <w:szCs w:val="32"/>
          <w:highlight w:val="none"/>
          <w:lang w:val="en-US" w:eastAsia="zh-CN" w:bidi="zh-CN"/>
        </w:rPr>
        <w:t>号洛阳市涧西区市场监督管理局线索移送函，将违法线索移送至有管辖权的市场监管部门。</w:t>
      </w:r>
    </w:p>
    <w:p w14:paraId="07A71C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18</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，被申请人通过内部审批决定依据《市场监督管理行政处罚程序规定》第二十条第一款（三）项对上述举报事项不予立案。同日，被申请人作出《洛阳市涧西区市场监督管理局答复函》并向申请人邓某进行告知。</w:t>
      </w:r>
    </w:p>
    <w:p w14:paraId="1D324A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yellow"/>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投诉举报书</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案涉消费订单截图1</w:t>
      </w:r>
      <w:r>
        <w:rPr>
          <w:rFonts w:hint="eastAsia" w:ascii="Times New Roman" w:hAnsi="Times New Roman" w:eastAsia="仿宋_GB2312" w:cs="Times New Roman"/>
          <w:sz w:val="32"/>
          <w:szCs w:val="32"/>
          <w:highlight w:val="none"/>
          <w:lang w:val="en-US" w:eastAsia="zh-CN" w:bidi="zh-CN"/>
        </w:rPr>
        <w:t>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.举报转办通知书；5.投诉受理决定书；6.线索移送函；7.采购收货单；8.检验报告单；9.检验报告；</w:t>
      </w:r>
      <w:r>
        <w:rPr>
          <w:rFonts w:hint="eastAsia" w:ascii="Times New Roman" w:hAnsi="Times New Roman" w:eastAsia="仿宋_GB2312" w:cs="Times New Roman"/>
          <w:bCs/>
          <w:sz w:val="32"/>
          <w:szCs w:val="32"/>
          <w:highlight w:val="none"/>
          <w:lang w:val="en-US" w:eastAsia="zh-CN" w:bidi="zh-CN"/>
        </w:rPr>
        <w:t>10.不予立案审批表；11.</w:t>
      </w:r>
      <w:r>
        <w:rPr>
          <w:rFonts w:hint="eastAsia" w:ascii="Times New Roman" w:hAnsi="Times New Roman" w:eastAsia="仿宋_GB2312" w:cs="Times New Roman"/>
          <w:sz w:val="32"/>
          <w:szCs w:val="32"/>
          <w:highlight w:val="none"/>
          <w:lang w:val="en-US" w:eastAsia="zh-CN" w:bidi="zh-CN"/>
        </w:rPr>
        <w:t>《洛阳市涧西区市场监督管理局答复函》</w:t>
      </w:r>
      <w:r>
        <w:rPr>
          <w:rFonts w:hint="default" w:ascii="Times New Roman" w:hAnsi="Times New Roman" w:eastAsia="仿宋_GB2312" w:cs="Times New Roman"/>
          <w:sz w:val="32"/>
          <w:szCs w:val="32"/>
          <w:highlight w:val="none"/>
          <w:lang w:val="en-US" w:eastAsia="zh-CN" w:bidi="zh-CN"/>
        </w:rPr>
        <w:t>。</w:t>
      </w:r>
    </w:p>
    <w:p w14:paraId="7C7EBF00">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接到申请人举报信后，</w:t>
      </w:r>
      <w:r>
        <w:rPr>
          <w:rFonts w:hint="default" w:ascii="Times New Roman" w:hAnsi="Times New Roman" w:eastAsia="仿宋_GB2312" w:cs="Times New Roman"/>
          <w:color w:val="auto"/>
          <w:sz w:val="32"/>
          <w:szCs w:val="32"/>
          <w:highlight w:val="none"/>
          <w:lang w:eastAsia="zh-CN" w:bidi="zh-CN"/>
        </w:rPr>
        <w:t>对被投诉举报人进行检查</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并调取其进货凭证、检验报告、生产厂家信息等资料，</w:t>
      </w:r>
      <w:r>
        <w:rPr>
          <w:rFonts w:hint="default" w:ascii="Times New Roman" w:hAnsi="Times New Roman" w:eastAsia="仿宋_GB2312" w:cs="Times New Roman"/>
          <w:color w:val="auto"/>
          <w:sz w:val="32"/>
          <w:szCs w:val="32"/>
          <w:highlight w:val="none"/>
          <w:lang w:eastAsia="zh-CN" w:bidi="zh-CN"/>
        </w:rPr>
        <w:t>依法履行了核查义务。被申请人于2023年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收到</w:t>
      </w:r>
      <w:r>
        <w:rPr>
          <w:rFonts w:hint="default" w:ascii="Times New Roman" w:hAnsi="Times New Roman" w:eastAsia="仿宋_GB2312" w:cs="Times New Roman"/>
          <w:color w:val="auto"/>
          <w:sz w:val="32"/>
          <w:szCs w:val="32"/>
          <w:highlight w:val="none"/>
          <w:lang w:eastAsia="zh-CN" w:bidi="zh-CN"/>
        </w:rPr>
        <w:t>投诉举报信件，</w:t>
      </w:r>
      <w:r>
        <w:rPr>
          <w:rFonts w:hint="eastAsia" w:ascii="Times New Roman" w:hAnsi="Times New Roman" w:eastAsia="仿宋_GB2312" w:cs="Times New Roman"/>
          <w:color w:val="auto"/>
          <w:sz w:val="32"/>
          <w:szCs w:val="32"/>
          <w:highlight w:val="none"/>
          <w:lang w:val="en-US" w:eastAsia="zh-CN" w:bidi="zh-CN"/>
        </w:rPr>
        <w:t>在核查后，于</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18</w:t>
      </w:r>
      <w:r>
        <w:rPr>
          <w:rFonts w:hint="default" w:ascii="Times New Roman" w:hAnsi="Times New Roman" w:eastAsia="仿宋_GB2312" w:cs="Times New Roman"/>
          <w:color w:val="auto"/>
          <w:sz w:val="32"/>
          <w:szCs w:val="32"/>
          <w:highlight w:val="none"/>
          <w:lang w:eastAsia="zh-CN" w:bidi="zh-CN"/>
        </w:rPr>
        <w:t>日通过内部审批决定对上述举报事项不予立案。被申请人针对申请人的</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6E1D01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综上，依据《中华人民共和国行政复议法》第二十八条第一款第</w:t>
      </w:r>
      <w:r>
        <w:rPr>
          <w:rFonts w:hint="eastAsia" w:ascii="Times New Roman" w:hAnsi="Times New Roman" w:eastAsia="仿宋_GB2312" w:cs="Times New Roman"/>
          <w:color w:val="auto"/>
          <w:sz w:val="32"/>
          <w:szCs w:val="32"/>
          <w:highlight w:val="none"/>
          <w:lang w:val="en-US" w:eastAsia="zh-CN" w:bidi="zh-CN"/>
        </w:rPr>
        <w:t>一</w:t>
      </w:r>
      <w:r>
        <w:rPr>
          <w:rFonts w:hint="default" w:ascii="Times New Roman" w:hAnsi="Times New Roman" w:eastAsia="仿宋_GB2312" w:cs="Times New Roman"/>
          <w:color w:val="auto"/>
          <w:sz w:val="32"/>
          <w:szCs w:val="32"/>
          <w:highlight w:val="none"/>
          <w:lang w:val="en-US" w:eastAsia="zh-CN" w:bidi="zh-CN"/>
        </w:rPr>
        <w:t>项之规定，本机关决定如下：</w:t>
      </w:r>
    </w:p>
    <w:p w14:paraId="42581F5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w:t>
      </w:r>
      <w:r>
        <w:rPr>
          <w:rFonts w:hint="default" w:ascii="Times New Roman" w:hAnsi="Times New Roman" w:eastAsia="仿宋_GB2312" w:cs="Times New Roman"/>
          <w:color w:val="auto"/>
          <w:sz w:val="32"/>
          <w:szCs w:val="32"/>
          <w:highlight w:val="none"/>
          <w:lang w:val="en-US" w:eastAsia="zh-CN" w:bidi="zh-CN"/>
        </w:rPr>
        <w:t>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邓某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sz w:val="32"/>
          <w:szCs w:val="32"/>
          <w:highlight w:val="none"/>
          <w:lang w:val="en-US" w:eastAsia="zh-CN" w:bidi="zh-CN"/>
        </w:rPr>
        <w:t>某超市的</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val="en-US" w:eastAsia="zh-CN" w:bidi="zh-CN"/>
        </w:rPr>
        <w:t>作出的处理。</w:t>
      </w:r>
    </w:p>
    <w:p w14:paraId="49912F5E">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743C7328">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657425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89F356C">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12</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DEDD8">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F59A7F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AF76E0"/>
    <w:rsid w:val="00B1058E"/>
    <w:rsid w:val="00F0023A"/>
    <w:rsid w:val="01AB71A3"/>
    <w:rsid w:val="02463B2B"/>
    <w:rsid w:val="04C258B7"/>
    <w:rsid w:val="05F35C4C"/>
    <w:rsid w:val="0683788A"/>
    <w:rsid w:val="06E670D4"/>
    <w:rsid w:val="07676E55"/>
    <w:rsid w:val="0AEE412E"/>
    <w:rsid w:val="0B0F3846"/>
    <w:rsid w:val="0C592F5E"/>
    <w:rsid w:val="0D5658CA"/>
    <w:rsid w:val="0D581A7A"/>
    <w:rsid w:val="0EFD435B"/>
    <w:rsid w:val="0F12248E"/>
    <w:rsid w:val="0F5615D1"/>
    <w:rsid w:val="0F6E7396"/>
    <w:rsid w:val="0FBF372E"/>
    <w:rsid w:val="12677A45"/>
    <w:rsid w:val="14824112"/>
    <w:rsid w:val="15107D0B"/>
    <w:rsid w:val="168F1FC7"/>
    <w:rsid w:val="169E2EA4"/>
    <w:rsid w:val="16BB08CC"/>
    <w:rsid w:val="16F83DC9"/>
    <w:rsid w:val="194D5E34"/>
    <w:rsid w:val="1A5E5AF6"/>
    <w:rsid w:val="1B341A3A"/>
    <w:rsid w:val="1C7C5772"/>
    <w:rsid w:val="1CA4041A"/>
    <w:rsid w:val="1CA64FBD"/>
    <w:rsid w:val="1DD0667F"/>
    <w:rsid w:val="1E5F050A"/>
    <w:rsid w:val="1E72138E"/>
    <w:rsid w:val="1EAE0C12"/>
    <w:rsid w:val="1EF31B6A"/>
    <w:rsid w:val="20B15A4F"/>
    <w:rsid w:val="21E73C49"/>
    <w:rsid w:val="22514FF4"/>
    <w:rsid w:val="247E525A"/>
    <w:rsid w:val="249013D3"/>
    <w:rsid w:val="25687383"/>
    <w:rsid w:val="25B73126"/>
    <w:rsid w:val="26926393"/>
    <w:rsid w:val="26E82D43"/>
    <w:rsid w:val="28112338"/>
    <w:rsid w:val="28AF60CB"/>
    <w:rsid w:val="29A67FF1"/>
    <w:rsid w:val="29DB05E0"/>
    <w:rsid w:val="2A6169CE"/>
    <w:rsid w:val="2AA702DB"/>
    <w:rsid w:val="2AE86452"/>
    <w:rsid w:val="2AF73E8C"/>
    <w:rsid w:val="2B3301B0"/>
    <w:rsid w:val="2BE7258F"/>
    <w:rsid w:val="2C0143DD"/>
    <w:rsid w:val="2D00431D"/>
    <w:rsid w:val="2DBF665F"/>
    <w:rsid w:val="2E19473C"/>
    <w:rsid w:val="2F1A772C"/>
    <w:rsid w:val="2F995907"/>
    <w:rsid w:val="305038DF"/>
    <w:rsid w:val="30692E9B"/>
    <w:rsid w:val="332F26E5"/>
    <w:rsid w:val="338B5419"/>
    <w:rsid w:val="347327FA"/>
    <w:rsid w:val="35023358"/>
    <w:rsid w:val="35CF524D"/>
    <w:rsid w:val="36B82A7F"/>
    <w:rsid w:val="37083929"/>
    <w:rsid w:val="371862A9"/>
    <w:rsid w:val="37D0718F"/>
    <w:rsid w:val="37E83366"/>
    <w:rsid w:val="37F005AF"/>
    <w:rsid w:val="387E6AA8"/>
    <w:rsid w:val="39EB533B"/>
    <w:rsid w:val="3A9F0679"/>
    <w:rsid w:val="3BBBC973"/>
    <w:rsid w:val="3C3629DD"/>
    <w:rsid w:val="3D1141E0"/>
    <w:rsid w:val="3D3C3730"/>
    <w:rsid w:val="3EDE61C9"/>
    <w:rsid w:val="40670B29"/>
    <w:rsid w:val="41C64449"/>
    <w:rsid w:val="42AD50EE"/>
    <w:rsid w:val="44A51827"/>
    <w:rsid w:val="48513B2C"/>
    <w:rsid w:val="4A976065"/>
    <w:rsid w:val="4BB44AB8"/>
    <w:rsid w:val="4C9F663F"/>
    <w:rsid w:val="4CAB079A"/>
    <w:rsid w:val="4E153175"/>
    <w:rsid w:val="4E892B8E"/>
    <w:rsid w:val="4EFB6111"/>
    <w:rsid w:val="4FA80DCA"/>
    <w:rsid w:val="50F30189"/>
    <w:rsid w:val="531C495C"/>
    <w:rsid w:val="53223260"/>
    <w:rsid w:val="53830F02"/>
    <w:rsid w:val="5410495A"/>
    <w:rsid w:val="56CE500E"/>
    <w:rsid w:val="57B63C8A"/>
    <w:rsid w:val="5A314D99"/>
    <w:rsid w:val="5A414AD7"/>
    <w:rsid w:val="5A791156"/>
    <w:rsid w:val="5A900F23"/>
    <w:rsid w:val="5BE340D4"/>
    <w:rsid w:val="5BF424F5"/>
    <w:rsid w:val="5CB337F7"/>
    <w:rsid w:val="5D6448EC"/>
    <w:rsid w:val="5D67459D"/>
    <w:rsid w:val="5D801B4F"/>
    <w:rsid w:val="5F2CAEFE"/>
    <w:rsid w:val="5F6B608A"/>
    <w:rsid w:val="60FE457C"/>
    <w:rsid w:val="619937D4"/>
    <w:rsid w:val="64080EB3"/>
    <w:rsid w:val="641A55BD"/>
    <w:rsid w:val="64505863"/>
    <w:rsid w:val="64640EA2"/>
    <w:rsid w:val="64A758F9"/>
    <w:rsid w:val="66BF060A"/>
    <w:rsid w:val="68260326"/>
    <w:rsid w:val="684461C6"/>
    <w:rsid w:val="6A6478B3"/>
    <w:rsid w:val="6A7271DF"/>
    <w:rsid w:val="6A906E2F"/>
    <w:rsid w:val="6BB96942"/>
    <w:rsid w:val="6BE93C0D"/>
    <w:rsid w:val="6CBB719C"/>
    <w:rsid w:val="6CCF1940"/>
    <w:rsid w:val="6CD06EA8"/>
    <w:rsid w:val="6D805AC5"/>
    <w:rsid w:val="6E1663CE"/>
    <w:rsid w:val="6FC55CD2"/>
    <w:rsid w:val="6FE43798"/>
    <w:rsid w:val="703C78C3"/>
    <w:rsid w:val="703D56B5"/>
    <w:rsid w:val="713E0C0B"/>
    <w:rsid w:val="71F7460A"/>
    <w:rsid w:val="724F13FB"/>
    <w:rsid w:val="725D1936"/>
    <w:rsid w:val="766D7B9D"/>
    <w:rsid w:val="779F2A68"/>
    <w:rsid w:val="78115138"/>
    <w:rsid w:val="788758AB"/>
    <w:rsid w:val="798E7D96"/>
    <w:rsid w:val="7990031C"/>
    <w:rsid w:val="7A2A0354"/>
    <w:rsid w:val="7A9207BD"/>
    <w:rsid w:val="7AB11DB7"/>
    <w:rsid w:val="7B24244A"/>
    <w:rsid w:val="7BEF44F0"/>
    <w:rsid w:val="7CED3B5F"/>
    <w:rsid w:val="7DBEC43C"/>
    <w:rsid w:val="7EA2308E"/>
    <w:rsid w:val="7EAE5A01"/>
    <w:rsid w:val="7FDF16C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4527</Words>
  <Characters>4677</Characters>
  <Lines>0</Lines>
  <Paragraphs>0</Paragraphs>
  <TotalTime>2</TotalTime>
  <ScaleCrop>false</ScaleCrop>
  <LinksUpToDate>false</LinksUpToDate>
  <CharactersWithSpaces>4770</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2023-12-19T08:01:00Z</cp:lastPrinted>
  <dcterms:modified xsi:type="dcterms:W3CDTF">2024-11-07T07:11:19Z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