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color w:val="auto"/>
          <w:sz w:val="36"/>
          <w:szCs w:val="36"/>
        </w:rPr>
      </w:pPr>
    </w:p>
    <w:p>
      <w:pPr>
        <w:spacing w:line="360" w:lineRule="auto"/>
        <w:jc w:val="right"/>
        <w:rPr>
          <w:rFonts w:ascii="宋体" w:hAnsi="宋体" w:eastAsia="黑体"/>
          <w:b/>
          <w:color w:val="auto"/>
          <w:spacing w:val="-20"/>
          <w:sz w:val="48"/>
          <w:szCs w:val="36"/>
        </w:rPr>
      </w:pPr>
    </w:p>
    <w:p>
      <w:pPr>
        <w:spacing w:line="360" w:lineRule="auto"/>
        <w:jc w:val="center"/>
        <w:rPr>
          <w:rFonts w:hint="eastAsia" w:ascii="宋体" w:hAnsi="宋体" w:eastAsia="黑体"/>
          <w:b/>
          <w:color w:val="auto"/>
          <w:spacing w:val="-20"/>
          <w:sz w:val="44"/>
          <w:szCs w:val="32"/>
          <w:lang w:eastAsia="zh-CN"/>
        </w:rPr>
      </w:pPr>
      <w:r>
        <w:rPr>
          <w:rFonts w:hint="eastAsia" w:ascii="宋体" w:hAnsi="宋体" w:eastAsia="黑体"/>
          <w:b/>
          <w:color w:val="auto"/>
          <w:spacing w:val="-20"/>
          <w:sz w:val="52"/>
          <w:szCs w:val="40"/>
          <w:lang w:eastAsia="zh-CN"/>
        </w:rPr>
        <w:t>涧西区太原路建筑立面改造工程项目</w:t>
      </w:r>
    </w:p>
    <w:p>
      <w:pPr>
        <w:spacing w:line="360" w:lineRule="auto"/>
        <w:jc w:val="center"/>
        <w:rPr>
          <w:rFonts w:ascii="黑体" w:hAnsi="黑体" w:eastAsia="黑体"/>
          <w:color w:val="auto"/>
          <w:sz w:val="84"/>
          <w:szCs w:val="84"/>
        </w:rPr>
      </w:pPr>
    </w:p>
    <w:p>
      <w:pPr>
        <w:spacing w:line="360" w:lineRule="auto"/>
        <w:jc w:val="center"/>
        <w:rPr>
          <w:rFonts w:ascii="黑体" w:hAnsi="黑体" w:eastAsia="黑体"/>
          <w:color w:val="auto"/>
          <w:sz w:val="84"/>
          <w:szCs w:val="84"/>
        </w:rPr>
      </w:pPr>
      <w:r>
        <w:rPr>
          <w:rFonts w:hint="eastAsia" w:ascii="黑体" w:hAnsi="黑体" w:eastAsia="黑体"/>
          <w:color w:val="auto"/>
          <w:sz w:val="84"/>
          <w:szCs w:val="84"/>
        </w:rPr>
        <w:t>招 标 文 件</w:t>
      </w:r>
    </w:p>
    <w:p>
      <w:pPr>
        <w:jc w:val="center"/>
        <w:rPr>
          <w:rFonts w:hint="default" w:ascii="宋体" w:hAnsi="宋体" w:eastAsia="宋体"/>
          <w:b/>
          <w:color w:val="auto"/>
          <w:sz w:val="28"/>
          <w:szCs w:val="32"/>
          <w:lang w:val="en-US" w:eastAsia="zh-CN"/>
        </w:rPr>
      </w:pPr>
      <w:r>
        <w:rPr>
          <w:rFonts w:hint="eastAsia" w:ascii="宋体" w:hAnsi="宋体"/>
          <w:b/>
          <w:color w:val="auto"/>
          <w:sz w:val="28"/>
          <w:szCs w:val="32"/>
        </w:rPr>
        <w:t>财政部门批复编号：</w:t>
      </w:r>
      <w:r>
        <w:rPr>
          <w:rFonts w:hint="eastAsia" w:ascii="宋体" w:hAnsi="宋体"/>
          <w:b/>
          <w:color w:val="auto"/>
          <w:sz w:val="28"/>
          <w:szCs w:val="32"/>
          <w:lang w:eastAsia="zh-CN"/>
        </w:rPr>
        <w:t>洛涧公开-2022-10</w:t>
      </w:r>
    </w:p>
    <w:p>
      <w:pPr>
        <w:jc w:val="center"/>
        <w:rPr>
          <w:rFonts w:hint="eastAsia" w:ascii="宋体" w:hAnsi="宋体" w:eastAsia="宋体"/>
          <w:b/>
          <w:color w:val="auto"/>
          <w:sz w:val="28"/>
          <w:szCs w:val="32"/>
          <w:lang w:eastAsia="zh-CN"/>
        </w:rPr>
      </w:pPr>
      <w:r>
        <w:rPr>
          <w:rFonts w:hint="eastAsia" w:ascii="宋体" w:hAnsi="宋体"/>
          <w:b/>
          <w:color w:val="auto"/>
          <w:sz w:val="28"/>
          <w:szCs w:val="32"/>
        </w:rPr>
        <w:t>招标编号：</w:t>
      </w:r>
      <w:r>
        <w:rPr>
          <w:rFonts w:hint="eastAsia" w:ascii="宋体" w:hAnsi="宋体"/>
          <w:b/>
          <w:color w:val="auto"/>
          <w:sz w:val="28"/>
          <w:szCs w:val="32"/>
          <w:lang w:eastAsia="zh-CN"/>
        </w:rPr>
        <w:t>涧西工施招标(2022)0023号</w:t>
      </w:r>
    </w:p>
    <w:p>
      <w:pPr>
        <w:spacing w:line="360" w:lineRule="auto"/>
        <w:jc w:val="center"/>
        <w:rPr>
          <w:rFonts w:ascii="黑体" w:hAnsi="黑体" w:eastAsia="黑体"/>
          <w:color w:val="auto"/>
          <w:sz w:val="84"/>
          <w:szCs w:val="84"/>
        </w:rPr>
      </w:pPr>
    </w:p>
    <w:p>
      <w:pPr>
        <w:jc w:val="center"/>
        <w:rPr>
          <w:rFonts w:ascii="宋体" w:hAnsi="宋体"/>
          <w:b/>
          <w:color w:val="auto"/>
          <w:sz w:val="28"/>
          <w:szCs w:val="28"/>
        </w:rPr>
      </w:pPr>
    </w:p>
    <w:p>
      <w:pPr>
        <w:spacing w:line="360" w:lineRule="auto"/>
        <w:ind w:firstLine="1680" w:firstLineChars="800"/>
        <w:rPr>
          <w:color w:val="auto"/>
        </w:rPr>
      </w:pPr>
    </w:p>
    <w:p>
      <w:pPr>
        <w:spacing w:line="400" w:lineRule="exact"/>
        <w:rPr>
          <w:color w:val="auto"/>
        </w:rPr>
      </w:pPr>
    </w:p>
    <w:p>
      <w:pPr>
        <w:spacing w:line="400" w:lineRule="exact"/>
        <w:rPr>
          <w:color w:val="auto"/>
        </w:rPr>
      </w:pPr>
    </w:p>
    <w:p>
      <w:pPr>
        <w:spacing w:line="400" w:lineRule="exact"/>
        <w:rPr>
          <w:color w:val="auto"/>
        </w:rPr>
      </w:pPr>
    </w:p>
    <w:p>
      <w:pPr>
        <w:spacing w:line="400" w:lineRule="exact"/>
        <w:rPr>
          <w:color w:val="auto"/>
        </w:rPr>
      </w:pPr>
    </w:p>
    <w:p>
      <w:pPr>
        <w:ind w:firstLine="1124" w:firstLineChars="400"/>
        <w:rPr>
          <w:rFonts w:ascii="宋体" w:hAnsi="宋体"/>
          <w:b/>
          <w:color w:val="auto"/>
          <w:sz w:val="28"/>
          <w:szCs w:val="32"/>
        </w:rPr>
      </w:pPr>
      <w:r>
        <w:rPr>
          <w:rFonts w:hint="eastAsia" w:ascii="宋体" w:hAnsi="宋体"/>
          <w:b/>
          <w:color w:val="auto"/>
          <w:sz w:val="28"/>
          <w:szCs w:val="32"/>
        </w:rPr>
        <w:t>招   标   人：洛阳市涧西区住房和城乡建设局</w:t>
      </w:r>
    </w:p>
    <w:p>
      <w:pPr>
        <w:ind w:firstLine="1124" w:firstLineChars="400"/>
        <w:rPr>
          <w:rFonts w:hint="eastAsia" w:ascii="宋体" w:hAnsi="宋体" w:eastAsia="宋体"/>
          <w:b/>
          <w:color w:val="auto"/>
          <w:sz w:val="28"/>
          <w:szCs w:val="32"/>
          <w:lang w:eastAsia="zh-CN"/>
        </w:rPr>
      </w:pPr>
      <w:r>
        <w:rPr>
          <w:rFonts w:hint="eastAsia" w:ascii="宋体" w:hAnsi="宋体"/>
          <w:b/>
          <w:color w:val="auto"/>
          <w:sz w:val="28"/>
          <w:szCs w:val="32"/>
        </w:rPr>
        <w:t>招标代理</w:t>
      </w:r>
      <w:r>
        <w:rPr>
          <w:rFonts w:hint="eastAsia" w:ascii="宋体" w:hAnsi="宋体"/>
          <w:b/>
          <w:color w:val="auto"/>
          <w:sz w:val="28"/>
          <w:szCs w:val="32"/>
          <w:lang w:val="en-US" w:eastAsia="zh-CN"/>
        </w:rPr>
        <w:t>机构</w:t>
      </w:r>
      <w:r>
        <w:rPr>
          <w:rFonts w:hint="eastAsia" w:ascii="宋体" w:hAnsi="宋体"/>
          <w:b/>
          <w:color w:val="auto"/>
          <w:sz w:val="28"/>
          <w:szCs w:val="32"/>
        </w:rPr>
        <w:t>：</w:t>
      </w:r>
      <w:r>
        <w:rPr>
          <w:rFonts w:hint="eastAsia" w:ascii="宋体" w:hAnsi="宋体"/>
          <w:b/>
          <w:color w:val="auto"/>
          <w:sz w:val="28"/>
          <w:szCs w:val="32"/>
          <w:lang w:eastAsia="zh-CN"/>
        </w:rPr>
        <w:t>河南恒强工程管理咨询有限公司</w:t>
      </w:r>
    </w:p>
    <w:p>
      <w:pPr>
        <w:jc w:val="center"/>
        <w:rPr>
          <w:rFonts w:ascii="宋体" w:hAnsi="宋体"/>
          <w:b/>
          <w:color w:val="auto"/>
          <w:sz w:val="28"/>
          <w:szCs w:val="32"/>
        </w:rPr>
        <w:sectPr>
          <w:headerReference r:id="rId3" w:type="default"/>
          <w:pgSz w:w="11906" w:h="16838"/>
          <w:pgMar w:top="1440" w:right="1800" w:bottom="1440" w:left="1800" w:header="851" w:footer="992" w:gutter="0"/>
          <w:pgNumType w:fmt="decimal" w:start="1"/>
          <w:cols w:space="720" w:num="1"/>
          <w:docGrid w:type="lines" w:linePitch="312" w:charSpace="0"/>
        </w:sectPr>
      </w:pPr>
      <w:r>
        <w:rPr>
          <w:rFonts w:hint="eastAsia" w:ascii="宋体" w:hAnsi="宋体"/>
          <w:b/>
          <w:color w:val="auto"/>
          <w:sz w:val="28"/>
          <w:szCs w:val="32"/>
        </w:rPr>
        <w:t>二〇二</w:t>
      </w:r>
      <w:r>
        <w:rPr>
          <w:rFonts w:hint="eastAsia" w:ascii="宋体" w:hAnsi="宋体"/>
          <w:b/>
          <w:color w:val="auto"/>
          <w:sz w:val="28"/>
          <w:szCs w:val="32"/>
          <w:lang w:val="en-US" w:eastAsia="zh-CN"/>
        </w:rPr>
        <w:t>二</w:t>
      </w:r>
      <w:r>
        <w:rPr>
          <w:rFonts w:hint="eastAsia" w:ascii="宋体" w:hAnsi="宋体"/>
          <w:b/>
          <w:color w:val="auto"/>
          <w:sz w:val="28"/>
          <w:szCs w:val="32"/>
        </w:rPr>
        <w:t>年</w:t>
      </w:r>
      <w:r>
        <w:rPr>
          <w:rFonts w:hint="eastAsia" w:ascii="宋体" w:hAnsi="宋体"/>
          <w:b/>
          <w:color w:val="auto"/>
          <w:sz w:val="28"/>
          <w:szCs w:val="32"/>
          <w:lang w:val="en-US" w:eastAsia="zh-CN"/>
        </w:rPr>
        <w:t>二</w:t>
      </w:r>
      <w:r>
        <w:rPr>
          <w:rFonts w:hint="eastAsia" w:ascii="宋体" w:hAnsi="宋体"/>
          <w:b/>
          <w:color w:val="auto"/>
          <w:sz w:val="28"/>
          <w:szCs w:val="32"/>
        </w:rPr>
        <w:t>月</w:t>
      </w:r>
    </w:p>
    <w:p>
      <w:pPr>
        <w:jc w:val="center"/>
        <w:rPr>
          <w:rFonts w:ascii="宋体" w:hAnsi="宋体" w:cs="宋体"/>
          <w:b/>
          <w:color w:val="auto"/>
          <w:kern w:val="0"/>
          <w:sz w:val="24"/>
        </w:rPr>
      </w:pPr>
      <w:r>
        <w:rPr>
          <w:rFonts w:hint="eastAsia" w:ascii="宋体" w:hAnsi="宋体" w:cs="宋体"/>
          <w:b/>
          <w:color w:val="auto"/>
          <w:kern w:val="0"/>
          <w:sz w:val="24"/>
        </w:rPr>
        <w:t>特 别 提 示</w:t>
      </w:r>
    </w:p>
    <w:p>
      <w:pPr>
        <w:autoSpaceDE w:val="0"/>
        <w:autoSpaceDN w:val="0"/>
        <w:adjustRightInd w:val="0"/>
        <w:spacing w:line="500" w:lineRule="exact"/>
        <w:jc w:val="left"/>
        <w:rPr>
          <w:rFonts w:ascii="宋体" w:hAnsi="宋体" w:cs="宋体"/>
          <w:b/>
          <w:color w:val="auto"/>
          <w:kern w:val="0"/>
          <w:sz w:val="24"/>
        </w:rPr>
      </w:pPr>
      <w:bookmarkStart w:id="0" w:name="_Toc144974478"/>
      <w:bookmarkStart w:id="1" w:name="_Toc152042286"/>
      <w:r>
        <w:rPr>
          <w:rFonts w:ascii="宋体" w:hAnsi="宋体" w:cs="宋体"/>
          <w:b/>
          <w:color w:val="auto"/>
          <w:kern w:val="0"/>
          <w:sz w:val="24"/>
        </w:rPr>
        <w:t>1</w:t>
      </w:r>
      <w:r>
        <w:rPr>
          <w:rFonts w:hint="eastAsia" w:ascii="宋体" w:hAnsi="宋体" w:cs="宋体"/>
          <w:b/>
          <w:color w:val="auto"/>
          <w:kern w:val="0"/>
          <w:sz w:val="24"/>
        </w:rPr>
        <w:t>、投标文件制作</w:t>
      </w:r>
      <w:r>
        <w:rPr>
          <w:rFonts w:ascii="宋体" w:hAnsi="宋体" w:cs="宋体"/>
          <w:b/>
          <w:color w:val="auto"/>
          <w:kern w:val="0"/>
          <w:sz w:val="24"/>
        </w:rPr>
        <w:t xml:space="preserve"> </w:t>
      </w:r>
    </w:p>
    <w:p>
      <w:pPr>
        <w:autoSpaceDE w:val="0"/>
        <w:autoSpaceDN w:val="0"/>
        <w:adjustRightInd w:val="0"/>
        <w:spacing w:line="500" w:lineRule="exact"/>
        <w:ind w:firstLine="480" w:firstLineChars="200"/>
        <w:jc w:val="left"/>
        <w:rPr>
          <w:rFonts w:ascii="宋体" w:hAnsi="宋体" w:cs="宋体"/>
          <w:color w:val="auto"/>
          <w:kern w:val="0"/>
          <w:sz w:val="24"/>
        </w:rPr>
      </w:pPr>
      <w:r>
        <w:rPr>
          <w:rFonts w:ascii="宋体" w:hAnsi="宋体" w:cs="宋体"/>
          <w:color w:val="auto"/>
          <w:kern w:val="0"/>
          <w:sz w:val="24"/>
        </w:rPr>
        <w:t xml:space="preserve">1.1 </w:t>
      </w:r>
      <w:r>
        <w:rPr>
          <w:rFonts w:hint="eastAsia" w:ascii="宋体" w:hAnsi="宋体" w:cs="宋体"/>
          <w:color w:val="auto"/>
          <w:kern w:val="0"/>
          <w:sz w:val="24"/>
        </w:rPr>
        <w:t>投标人登录</w:t>
      </w:r>
      <w:r>
        <w:rPr>
          <w:rFonts w:ascii="宋体" w:hAnsi="宋体"/>
          <w:color w:val="auto"/>
          <w:kern w:val="0"/>
          <w:sz w:val="24"/>
        </w:rPr>
        <w:t>“</w:t>
      </w:r>
      <w:r>
        <w:rPr>
          <w:rFonts w:hint="eastAsia" w:ascii="宋体" w:hAnsi="宋体" w:cs="宋体"/>
          <w:color w:val="auto"/>
          <w:kern w:val="0"/>
          <w:sz w:val="24"/>
        </w:rPr>
        <w:t>洛阳市公共资源交易中心</w:t>
      </w:r>
      <w:r>
        <w:rPr>
          <w:rFonts w:ascii="宋体" w:hAnsi="宋体"/>
          <w:color w:val="auto"/>
          <w:kern w:val="0"/>
          <w:sz w:val="24"/>
        </w:rPr>
        <w:t>”</w:t>
      </w:r>
      <w:r>
        <w:rPr>
          <w:rFonts w:hint="eastAsia" w:ascii="宋体" w:hAnsi="宋体" w:cs="宋体"/>
          <w:color w:val="auto"/>
          <w:kern w:val="0"/>
          <w:sz w:val="24"/>
        </w:rPr>
        <w:t>网站，进入【办事指南】</w:t>
      </w:r>
      <w:r>
        <w:rPr>
          <w:rFonts w:ascii="宋体" w:hAnsi="宋体" w:cs="宋体"/>
          <w:color w:val="auto"/>
          <w:kern w:val="0"/>
          <w:sz w:val="24"/>
        </w:rPr>
        <w:t>-</w:t>
      </w:r>
      <w:r>
        <w:rPr>
          <w:rFonts w:hint="eastAsia" w:ascii="宋体" w:hAnsi="宋体" w:cs="宋体"/>
          <w:color w:val="auto"/>
          <w:kern w:val="0"/>
          <w:sz w:val="24"/>
        </w:rPr>
        <w:t>【下载中心】</w:t>
      </w:r>
      <w:r>
        <w:rPr>
          <w:rFonts w:ascii="宋体" w:hAnsi="宋体" w:cs="宋体"/>
          <w:color w:val="auto"/>
          <w:kern w:val="0"/>
          <w:sz w:val="24"/>
        </w:rPr>
        <w:t>-</w:t>
      </w:r>
      <w:r>
        <w:rPr>
          <w:rFonts w:hint="eastAsia" w:ascii="宋体" w:hAnsi="宋体" w:cs="宋体"/>
          <w:color w:val="auto"/>
          <w:kern w:val="0"/>
          <w:sz w:val="24"/>
        </w:rPr>
        <w:t>【操作手册】下载</w:t>
      </w:r>
      <w:r>
        <w:rPr>
          <w:rFonts w:ascii="宋体" w:hAnsi="宋体"/>
          <w:color w:val="auto"/>
          <w:kern w:val="0"/>
          <w:sz w:val="24"/>
        </w:rPr>
        <w:t>“</w:t>
      </w:r>
      <w:r>
        <w:rPr>
          <w:rFonts w:hint="eastAsia" w:ascii="宋体" w:hAnsi="宋体" w:cs="宋体"/>
          <w:color w:val="auto"/>
          <w:kern w:val="0"/>
          <w:sz w:val="24"/>
        </w:rPr>
        <w:t>新点投标文件制作软件</w:t>
      </w:r>
      <w:r>
        <w:rPr>
          <w:rFonts w:ascii="宋体" w:hAnsi="宋体"/>
          <w:color w:val="auto"/>
          <w:kern w:val="0"/>
          <w:sz w:val="24"/>
        </w:rPr>
        <w:t>”</w:t>
      </w:r>
      <w:r>
        <w:rPr>
          <w:rFonts w:hint="eastAsia" w:ascii="宋体" w:hAnsi="宋体" w:cs="宋体"/>
          <w:color w:val="auto"/>
          <w:kern w:val="0"/>
          <w:sz w:val="24"/>
        </w:rPr>
        <w:t>。</w:t>
      </w:r>
    </w:p>
    <w:p>
      <w:pPr>
        <w:autoSpaceDE w:val="0"/>
        <w:autoSpaceDN w:val="0"/>
        <w:adjustRightInd w:val="0"/>
        <w:spacing w:line="500" w:lineRule="exact"/>
        <w:ind w:firstLine="480" w:firstLineChars="200"/>
        <w:jc w:val="left"/>
        <w:rPr>
          <w:rFonts w:ascii="宋体" w:hAnsi="宋体" w:cs="宋体"/>
          <w:color w:val="auto"/>
          <w:kern w:val="0"/>
          <w:sz w:val="24"/>
        </w:rPr>
      </w:pPr>
      <w:r>
        <w:rPr>
          <w:rFonts w:ascii="宋体" w:hAnsi="宋体" w:cs="宋体"/>
          <w:color w:val="auto"/>
          <w:kern w:val="0"/>
          <w:sz w:val="24"/>
        </w:rPr>
        <w:t xml:space="preserve">1.2 </w:t>
      </w:r>
      <w:r>
        <w:rPr>
          <w:rFonts w:hint="eastAsia" w:ascii="宋体" w:hAnsi="宋体" w:cs="宋体"/>
          <w:color w:val="auto"/>
          <w:kern w:val="0"/>
          <w:sz w:val="24"/>
        </w:rPr>
        <w:t>投标人凭</w:t>
      </w:r>
      <w:r>
        <w:rPr>
          <w:rFonts w:ascii="宋体" w:hAnsi="宋体" w:cs="宋体"/>
          <w:color w:val="auto"/>
          <w:kern w:val="0"/>
          <w:sz w:val="24"/>
        </w:rPr>
        <w:t xml:space="preserve"> CA </w:t>
      </w:r>
      <w:r>
        <w:rPr>
          <w:rFonts w:hint="eastAsia" w:ascii="宋体" w:hAnsi="宋体" w:cs="宋体"/>
          <w:color w:val="auto"/>
          <w:kern w:val="0"/>
          <w:sz w:val="24"/>
        </w:rPr>
        <w:t>锁登录，并按网上提示自行下载招标文件。使用</w:t>
      </w:r>
      <w:r>
        <w:rPr>
          <w:rFonts w:ascii="宋体" w:hAnsi="宋体" w:cs="宋体"/>
          <w:color w:val="auto"/>
          <w:kern w:val="0"/>
          <w:sz w:val="24"/>
        </w:rPr>
        <w:t>“</w:t>
      </w:r>
      <w:r>
        <w:rPr>
          <w:rFonts w:hint="eastAsia" w:ascii="宋体" w:hAnsi="宋体" w:cs="宋体"/>
          <w:color w:val="auto"/>
          <w:kern w:val="0"/>
          <w:sz w:val="24"/>
        </w:rPr>
        <w:t>新点投标文件制作软件</w:t>
      </w:r>
      <w:r>
        <w:rPr>
          <w:rFonts w:ascii="宋体" w:hAnsi="宋体" w:cs="宋体"/>
          <w:color w:val="auto"/>
          <w:kern w:val="0"/>
          <w:sz w:val="24"/>
        </w:rPr>
        <w:t>”</w:t>
      </w:r>
      <w:r>
        <w:rPr>
          <w:rFonts w:hint="eastAsia" w:ascii="宋体" w:hAnsi="宋体" w:cs="宋体"/>
          <w:color w:val="auto"/>
          <w:kern w:val="0"/>
          <w:sz w:val="24"/>
        </w:rPr>
        <w:t>按要求制作电子投标文件。投标人在制作电子投标文件时，应按要求进行电子签章。投标人编辑电子投标文件时，根据招标文件要求用法定代表人</w:t>
      </w:r>
      <w:r>
        <w:rPr>
          <w:rFonts w:ascii="宋体" w:hAnsi="宋体" w:cs="宋体"/>
          <w:color w:val="auto"/>
          <w:kern w:val="0"/>
          <w:sz w:val="24"/>
        </w:rPr>
        <w:t>CA</w:t>
      </w:r>
      <w:r>
        <w:rPr>
          <w:rFonts w:hint="eastAsia" w:ascii="宋体" w:hAnsi="宋体" w:cs="宋体"/>
          <w:color w:val="auto"/>
          <w:kern w:val="0"/>
          <w:sz w:val="24"/>
        </w:rPr>
        <w:t>锁和企业</w:t>
      </w:r>
      <w:r>
        <w:rPr>
          <w:rFonts w:ascii="宋体" w:hAnsi="宋体" w:cs="宋体"/>
          <w:color w:val="auto"/>
          <w:kern w:val="0"/>
          <w:sz w:val="24"/>
        </w:rPr>
        <w:t>CA</w:t>
      </w:r>
      <w:r>
        <w:rPr>
          <w:rFonts w:hint="eastAsia" w:ascii="宋体" w:hAnsi="宋体" w:cs="宋体"/>
          <w:color w:val="auto"/>
          <w:kern w:val="0"/>
          <w:sz w:val="24"/>
        </w:rPr>
        <w:t>锁进行签章制作；最后一步生成电子投标文件（</w:t>
      </w:r>
      <w:r>
        <w:rPr>
          <w:rFonts w:ascii="宋体" w:hAnsi="宋体" w:cs="宋体"/>
          <w:color w:val="auto"/>
          <w:kern w:val="0"/>
          <w:sz w:val="24"/>
        </w:rPr>
        <w:t>*.lytf</w:t>
      </w:r>
      <w:r>
        <w:rPr>
          <w:rFonts w:hint="eastAsia" w:ascii="宋体" w:hAnsi="宋体" w:cs="宋体"/>
          <w:color w:val="auto"/>
          <w:kern w:val="0"/>
          <w:sz w:val="24"/>
        </w:rPr>
        <w:t>格式）时，只能用本单位的企业</w:t>
      </w:r>
      <w:r>
        <w:rPr>
          <w:rFonts w:ascii="宋体" w:hAnsi="宋体" w:cs="宋体"/>
          <w:color w:val="auto"/>
          <w:kern w:val="0"/>
          <w:sz w:val="24"/>
        </w:rPr>
        <w:t xml:space="preserve"> CA </w:t>
      </w:r>
      <w:r>
        <w:rPr>
          <w:rFonts w:hint="eastAsia" w:ascii="宋体" w:hAnsi="宋体" w:cs="宋体"/>
          <w:color w:val="auto"/>
          <w:kern w:val="0"/>
          <w:sz w:val="24"/>
        </w:rPr>
        <w:t>锁。联合体投标的，投标文件由联合体牵头人按上述规定进行签章。</w:t>
      </w:r>
      <w:r>
        <w:rPr>
          <w:rFonts w:ascii="宋体" w:hAnsi="宋体" w:cs="宋体"/>
          <w:color w:val="auto"/>
          <w:kern w:val="0"/>
          <w:sz w:val="24"/>
        </w:rPr>
        <w:t xml:space="preserve"> </w:t>
      </w:r>
    </w:p>
    <w:p>
      <w:pPr>
        <w:autoSpaceDE w:val="0"/>
        <w:autoSpaceDN w:val="0"/>
        <w:adjustRightInd w:val="0"/>
        <w:spacing w:line="500" w:lineRule="exact"/>
        <w:ind w:firstLine="480" w:firstLineChars="200"/>
        <w:jc w:val="left"/>
        <w:rPr>
          <w:rFonts w:ascii="宋体" w:hAnsi="宋体" w:cs="宋体"/>
          <w:color w:val="auto"/>
          <w:kern w:val="0"/>
          <w:sz w:val="24"/>
        </w:rPr>
      </w:pPr>
      <w:r>
        <w:rPr>
          <w:rFonts w:ascii="宋体" w:hAnsi="宋体" w:cs="宋体"/>
          <w:color w:val="auto"/>
          <w:kern w:val="0"/>
          <w:sz w:val="24"/>
        </w:rPr>
        <w:t xml:space="preserve">1.3 </w:t>
      </w:r>
      <w:r>
        <w:rPr>
          <w:rFonts w:hint="eastAsia" w:ascii="宋体" w:hAnsi="宋体" w:cs="宋体"/>
          <w:color w:val="auto"/>
          <w:kern w:val="0"/>
          <w:sz w:val="24"/>
        </w:rPr>
        <w:t>加密的电子投标文件为</w:t>
      </w:r>
      <w:r>
        <w:rPr>
          <w:rFonts w:ascii="宋体" w:hAnsi="宋体" w:cs="宋体"/>
          <w:color w:val="auto"/>
          <w:kern w:val="0"/>
          <w:sz w:val="24"/>
        </w:rPr>
        <w:t>“</w:t>
      </w:r>
      <w:r>
        <w:rPr>
          <w:rFonts w:hint="eastAsia" w:ascii="宋体" w:hAnsi="宋体" w:cs="宋体"/>
          <w:color w:val="auto"/>
          <w:kern w:val="0"/>
          <w:sz w:val="24"/>
        </w:rPr>
        <w:t>洛阳市公共资源交易中心</w:t>
      </w:r>
      <w:r>
        <w:rPr>
          <w:rFonts w:ascii="宋体" w:hAnsi="宋体" w:cs="宋体"/>
          <w:color w:val="auto"/>
          <w:kern w:val="0"/>
          <w:sz w:val="24"/>
        </w:rPr>
        <w:t>”</w:t>
      </w:r>
      <w:r>
        <w:rPr>
          <w:rFonts w:hint="eastAsia" w:ascii="宋体" w:hAnsi="宋体" w:cs="宋体"/>
          <w:color w:val="auto"/>
          <w:kern w:val="0"/>
          <w:sz w:val="24"/>
        </w:rPr>
        <w:t>网站提供的</w:t>
      </w:r>
      <w:r>
        <w:rPr>
          <w:rFonts w:ascii="宋体" w:hAnsi="宋体" w:cs="宋体"/>
          <w:color w:val="auto"/>
          <w:kern w:val="0"/>
          <w:sz w:val="24"/>
        </w:rPr>
        <w:t>“</w:t>
      </w:r>
      <w:r>
        <w:rPr>
          <w:rFonts w:hint="eastAsia" w:ascii="宋体" w:hAnsi="宋体" w:cs="宋体"/>
          <w:color w:val="auto"/>
          <w:kern w:val="0"/>
          <w:sz w:val="24"/>
        </w:rPr>
        <w:t>新点投标文件制作软件</w:t>
      </w:r>
      <w:r>
        <w:rPr>
          <w:rFonts w:ascii="宋体" w:hAnsi="宋体" w:cs="宋体"/>
          <w:color w:val="auto"/>
          <w:kern w:val="0"/>
          <w:sz w:val="24"/>
        </w:rPr>
        <w:t>”</w:t>
      </w:r>
      <w:r>
        <w:rPr>
          <w:rFonts w:hint="eastAsia" w:ascii="宋体" w:hAnsi="宋体" w:cs="宋体"/>
          <w:color w:val="auto"/>
          <w:kern w:val="0"/>
          <w:sz w:val="24"/>
        </w:rPr>
        <w:t>制作生成的加密版投标文件。</w:t>
      </w:r>
    </w:p>
    <w:p>
      <w:pPr>
        <w:autoSpaceDE w:val="0"/>
        <w:autoSpaceDN w:val="0"/>
        <w:adjustRightInd w:val="0"/>
        <w:spacing w:line="500" w:lineRule="exact"/>
        <w:ind w:firstLine="480" w:firstLineChars="200"/>
        <w:jc w:val="left"/>
        <w:rPr>
          <w:rFonts w:ascii="宋体" w:hAnsi="宋体" w:cs="宋体"/>
          <w:color w:val="auto"/>
          <w:kern w:val="0"/>
          <w:sz w:val="24"/>
        </w:rPr>
      </w:pPr>
      <w:r>
        <w:rPr>
          <w:rFonts w:ascii="宋体" w:hAnsi="宋体" w:cs="宋体"/>
          <w:color w:val="auto"/>
          <w:kern w:val="0"/>
          <w:sz w:val="24"/>
        </w:rPr>
        <w:t xml:space="preserve">1.4 </w:t>
      </w:r>
      <w:r>
        <w:rPr>
          <w:rFonts w:hint="eastAsia" w:ascii="宋体" w:hAnsi="宋体" w:cs="宋体"/>
          <w:color w:val="auto"/>
          <w:kern w:val="0"/>
          <w:sz w:val="24"/>
        </w:rPr>
        <w:t>招标文件格式所要求包含的全部资料应全部制作在投标文件内，严格按照本项目招标文件所有格式如实填写（不涉及的内容除外），不应存在漏项或缺项，否则将存在投标被否决的风险。</w:t>
      </w:r>
      <w:r>
        <w:rPr>
          <w:rFonts w:ascii="宋体" w:hAnsi="宋体" w:cs="宋体"/>
          <w:color w:val="auto"/>
          <w:kern w:val="0"/>
          <w:sz w:val="24"/>
        </w:rPr>
        <w:t xml:space="preserve"> </w:t>
      </w:r>
    </w:p>
    <w:p>
      <w:pPr>
        <w:autoSpaceDE w:val="0"/>
        <w:autoSpaceDN w:val="0"/>
        <w:adjustRightInd w:val="0"/>
        <w:spacing w:line="500" w:lineRule="exact"/>
        <w:ind w:firstLine="480" w:firstLineChars="200"/>
        <w:jc w:val="left"/>
        <w:rPr>
          <w:rFonts w:ascii="宋体" w:hAnsi="宋体" w:cs="宋体"/>
          <w:color w:val="auto"/>
          <w:kern w:val="0"/>
          <w:sz w:val="24"/>
        </w:rPr>
      </w:pPr>
      <w:r>
        <w:rPr>
          <w:rFonts w:ascii="宋体" w:hAnsi="宋体" w:cs="宋体"/>
          <w:color w:val="auto"/>
          <w:kern w:val="0"/>
          <w:sz w:val="24"/>
        </w:rPr>
        <w:t xml:space="preserve">1.5 </w:t>
      </w:r>
      <w:r>
        <w:rPr>
          <w:rFonts w:hint="eastAsia" w:ascii="宋体" w:hAnsi="宋体" w:cs="宋体"/>
          <w:color w:val="auto"/>
          <w:kern w:val="0"/>
          <w:sz w:val="24"/>
        </w:rPr>
        <w:t>投标文件所附证明材料均为原件的扫描件，尺寸和清晰度应该能够在电脑上被阅读、识别和判断；若投标人未按要求提供证明材料或提供不清晰的扫描件的，评标委员会有权认定其投标文件未对招标文件有关要求进行响应。</w:t>
      </w:r>
      <w:r>
        <w:rPr>
          <w:rFonts w:ascii="宋体" w:hAnsi="宋体" w:cs="宋体"/>
          <w:color w:val="auto"/>
          <w:kern w:val="0"/>
          <w:sz w:val="24"/>
        </w:rPr>
        <w:t xml:space="preserve"> </w:t>
      </w:r>
    </w:p>
    <w:p>
      <w:pPr>
        <w:autoSpaceDE w:val="0"/>
        <w:autoSpaceDN w:val="0"/>
        <w:adjustRightInd w:val="0"/>
        <w:spacing w:line="500" w:lineRule="exact"/>
        <w:jc w:val="left"/>
        <w:rPr>
          <w:rFonts w:ascii="宋体" w:hAnsi="宋体" w:cs="宋体"/>
          <w:b/>
          <w:color w:val="auto"/>
          <w:kern w:val="0"/>
          <w:sz w:val="24"/>
        </w:rPr>
      </w:pPr>
      <w:r>
        <w:rPr>
          <w:rFonts w:ascii="宋体" w:hAnsi="宋体" w:cs="宋体"/>
          <w:b/>
          <w:color w:val="auto"/>
          <w:kern w:val="0"/>
          <w:sz w:val="24"/>
        </w:rPr>
        <w:t>2</w:t>
      </w:r>
      <w:r>
        <w:rPr>
          <w:rFonts w:hint="eastAsia" w:ascii="宋体" w:hAnsi="宋体" w:cs="宋体"/>
          <w:b/>
          <w:color w:val="auto"/>
          <w:kern w:val="0"/>
          <w:sz w:val="24"/>
        </w:rPr>
        <w:t>、投标文件的提交</w:t>
      </w:r>
      <w:r>
        <w:rPr>
          <w:rFonts w:ascii="宋体" w:hAnsi="宋体" w:cs="宋体"/>
          <w:b/>
          <w:color w:val="auto"/>
          <w:kern w:val="0"/>
          <w:sz w:val="24"/>
        </w:rPr>
        <w:t xml:space="preserve"> </w:t>
      </w:r>
    </w:p>
    <w:p>
      <w:pPr>
        <w:autoSpaceDE w:val="0"/>
        <w:autoSpaceDN w:val="0"/>
        <w:adjustRightInd w:val="0"/>
        <w:spacing w:line="500" w:lineRule="exact"/>
        <w:ind w:firstLine="480" w:firstLineChars="200"/>
        <w:jc w:val="left"/>
        <w:rPr>
          <w:rFonts w:ascii="宋体" w:hAnsi="宋体" w:cs="宋体"/>
          <w:color w:val="auto"/>
          <w:kern w:val="0"/>
          <w:sz w:val="24"/>
        </w:rPr>
      </w:pPr>
      <w:r>
        <w:rPr>
          <w:rFonts w:hint="eastAsia" w:ascii="宋体" w:hAnsi="宋体" w:cs="宋体"/>
          <w:color w:val="auto"/>
          <w:kern w:val="0"/>
          <w:sz w:val="24"/>
        </w:rPr>
        <w:t>2.1 除电子投标文件外，投标时不再接受任何纸质文件、资料等。</w:t>
      </w:r>
    </w:p>
    <w:p>
      <w:pPr>
        <w:autoSpaceDE w:val="0"/>
        <w:autoSpaceDN w:val="0"/>
        <w:adjustRightInd w:val="0"/>
        <w:spacing w:line="500" w:lineRule="exact"/>
        <w:ind w:firstLine="480" w:firstLineChars="200"/>
        <w:jc w:val="left"/>
        <w:rPr>
          <w:rFonts w:ascii="宋体" w:hAnsi="宋体" w:cs="宋体"/>
          <w:color w:val="auto"/>
          <w:kern w:val="0"/>
          <w:sz w:val="24"/>
        </w:rPr>
      </w:pPr>
      <w:r>
        <w:rPr>
          <w:rFonts w:ascii="宋体" w:hAnsi="宋体" w:cs="宋体"/>
          <w:color w:val="auto"/>
          <w:kern w:val="0"/>
          <w:sz w:val="24"/>
        </w:rPr>
        <w:t>2.</w:t>
      </w:r>
      <w:r>
        <w:rPr>
          <w:rFonts w:hint="eastAsia" w:ascii="宋体" w:hAnsi="宋体" w:cs="宋体"/>
          <w:color w:val="auto"/>
          <w:kern w:val="0"/>
          <w:sz w:val="24"/>
        </w:rPr>
        <w:t>2</w:t>
      </w:r>
      <w:r>
        <w:rPr>
          <w:rFonts w:ascii="宋体" w:hAnsi="宋体" w:cs="宋体"/>
          <w:color w:val="auto"/>
          <w:kern w:val="0"/>
          <w:sz w:val="24"/>
        </w:rPr>
        <w:t xml:space="preserve"> </w:t>
      </w:r>
      <w:r>
        <w:rPr>
          <w:rFonts w:hint="eastAsia" w:ascii="宋体" w:hAnsi="宋体" w:cs="宋体"/>
          <w:color w:val="auto"/>
          <w:kern w:val="0"/>
          <w:sz w:val="24"/>
        </w:rPr>
        <w:t>投标人应在投标截止时间前上传加密的电子投标文件（</w:t>
      </w:r>
      <w:r>
        <w:rPr>
          <w:rFonts w:ascii="宋体" w:hAnsi="宋体" w:cs="宋体"/>
          <w:color w:val="auto"/>
          <w:kern w:val="0"/>
          <w:sz w:val="24"/>
        </w:rPr>
        <w:t>*.lytf</w:t>
      </w:r>
      <w:r>
        <w:rPr>
          <w:rFonts w:hint="eastAsia" w:ascii="宋体" w:hAnsi="宋体" w:cs="宋体"/>
          <w:color w:val="auto"/>
          <w:kern w:val="0"/>
          <w:sz w:val="24"/>
        </w:rPr>
        <w:t>）到洛阳市电子招投标交易平台指定位置。上传时投标人须使用制作该投标文件的同一</w:t>
      </w:r>
      <w:r>
        <w:rPr>
          <w:rFonts w:ascii="宋体" w:hAnsi="宋体" w:cs="宋体"/>
          <w:color w:val="auto"/>
          <w:kern w:val="0"/>
          <w:sz w:val="24"/>
        </w:rPr>
        <w:t xml:space="preserve">CA </w:t>
      </w:r>
      <w:r>
        <w:rPr>
          <w:rFonts w:hint="eastAsia" w:ascii="宋体" w:hAnsi="宋体" w:cs="宋体"/>
          <w:color w:val="auto"/>
          <w:kern w:val="0"/>
          <w:sz w:val="24"/>
        </w:rPr>
        <w:t>锁进行上传操作。请投标人在上传时认真检查上传投标文件是否完整、正确。投标人应充分考虑上传文件时的不可预见因素，未在投标截止时间前完成上传的，视为逾期送达，洛阳市电子招投标交易平台将拒绝接收。上传成功后将得到上传成功的确认。</w:t>
      </w:r>
      <w:r>
        <w:rPr>
          <w:rFonts w:ascii="宋体" w:hAnsi="宋体" w:cs="宋体"/>
          <w:color w:val="auto"/>
          <w:kern w:val="0"/>
          <w:sz w:val="24"/>
        </w:rPr>
        <w:t xml:space="preserve"> </w:t>
      </w:r>
    </w:p>
    <w:p>
      <w:pPr>
        <w:autoSpaceDE w:val="0"/>
        <w:autoSpaceDN w:val="0"/>
        <w:adjustRightInd w:val="0"/>
        <w:spacing w:line="500" w:lineRule="exact"/>
        <w:ind w:firstLine="480" w:firstLineChars="200"/>
        <w:jc w:val="left"/>
        <w:rPr>
          <w:rFonts w:ascii="宋体" w:hAnsi="宋体" w:cs="宋体"/>
          <w:color w:val="auto"/>
          <w:kern w:val="0"/>
          <w:sz w:val="24"/>
        </w:rPr>
      </w:pPr>
      <w:r>
        <w:rPr>
          <w:rFonts w:ascii="宋体" w:hAnsi="宋体" w:cs="宋体"/>
          <w:color w:val="auto"/>
          <w:kern w:val="0"/>
          <w:sz w:val="24"/>
        </w:rPr>
        <w:t>2.</w:t>
      </w:r>
      <w:r>
        <w:rPr>
          <w:rFonts w:hint="eastAsia" w:ascii="宋体" w:hAnsi="宋体" w:cs="宋体"/>
          <w:color w:val="auto"/>
          <w:kern w:val="0"/>
          <w:sz w:val="24"/>
        </w:rPr>
        <w:t>3</w:t>
      </w:r>
      <w:r>
        <w:rPr>
          <w:rFonts w:ascii="宋体" w:hAnsi="宋体" w:cs="宋体"/>
          <w:color w:val="auto"/>
          <w:kern w:val="0"/>
          <w:sz w:val="24"/>
        </w:rPr>
        <w:t xml:space="preserve"> </w:t>
      </w:r>
      <w:r>
        <w:rPr>
          <w:rFonts w:hint="eastAsia" w:ascii="宋体" w:hAnsi="宋体" w:cs="宋体"/>
          <w:color w:val="auto"/>
          <w:kern w:val="0"/>
          <w:sz w:val="24"/>
        </w:rPr>
        <w:t>投标人因洛阳市电子招投标交易平台问题无法上传电子投标文件时，请在工作时间与交易中心联系。</w:t>
      </w:r>
    </w:p>
    <w:p>
      <w:pPr>
        <w:autoSpaceDE w:val="0"/>
        <w:autoSpaceDN w:val="0"/>
        <w:adjustRightInd w:val="0"/>
        <w:spacing w:line="500" w:lineRule="exact"/>
        <w:jc w:val="left"/>
        <w:rPr>
          <w:rFonts w:ascii="宋体" w:hAnsi="宋体" w:cs="宋体"/>
          <w:b/>
          <w:color w:val="auto"/>
          <w:kern w:val="0"/>
          <w:sz w:val="24"/>
        </w:rPr>
        <w:sectPr>
          <w:headerReference r:id="rId4" w:type="default"/>
          <w:footerReference r:id="rId5" w:type="default"/>
          <w:pgSz w:w="11906" w:h="16838"/>
          <w:pgMar w:top="1440" w:right="1800" w:bottom="1440" w:left="1800" w:header="851" w:footer="992" w:gutter="0"/>
          <w:pgNumType w:fmt="decimal" w:start="1"/>
          <w:cols w:space="720" w:num="1"/>
          <w:docGrid w:type="lines" w:linePitch="312" w:charSpace="0"/>
        </w:sectPr>
      </w:pPr>
    </w:p>
    <w:p>
      <w:pPr>
        <w:autoSpaceDE w:val="0"/>
        <w:autoSpaceDN w:val="0"/>
        <w:adjustRightInd w:val="0"/>
        <w:spacing w:line="500" w:lineRule="exact"/>
        <w:jc w:val="left"/>
        <w:rPr>
          <w:rFonts w:ascii="宋体" w:hAnsi="宋体" w:cs="宋体"/>
          <w:b/>
          <w:color w:val="auto"/>
          <w:kern w:val="0"/>
          <w:sz w:val="24"/>
        </w:rPr>
      </w:pPr>
      <w:r>
        <w:rPr>
          <w:rFonts w:ascii="宋体" w:hAnsi="宋体" w:cs="宋体"/>
          <w:b/>
          <w:color w:val="auto"/>
          <w:kern w:val="0"/>
          <w:sz w:val="24"/>
        </w:rPr>
        <w:t>3</w:t>
      </w:r>
      <w:r>
        <w:rPr>
          <w:rFonts w:hint="eastAsia" w:ascii="宋体" w:hAnsi="宋体" w:cs="宋体"/>
          <w:b/>
          <w:color w:val="auto"/>
          <w:kern w:val="0"/>
          <w:sz w:val="24"/>
        </w:rPr>
        <w:t>、招标文件的澄清、修改</w:t>
      </w:r>
      <w:r>
        <w:rPr>
          <w:rFonts w:ascii="宋体" w:hAnsi="宋体" w:cs="宋体"/>
          <w:b/>
          <w:color w:val="auto"/>
          <w:kern w:val="0"/>
          <w:sz w:val="24"/>
        </w:rPr>
        <w:t xml:space="preserve"> </w:t>
      </w:r>
    </w:p>
    <w:p>
      <w:pPr>
        <w:autoSpaceDE w:val="0"/>
        <w:autoSpaceDN w:val="0"/>
        <w:adjustRightInd w:val="0"/>
        <w:spacing w:line="500" w:lineRule="exact"/>
        <w:ind w:firstLine="480" w:firstLineChars="200"/>
        <w:jc w:val="left"/>
        <w:rPr>
          <w:rFonts w:ascii="宋体" w:hAnsi="宋体" w:cs="宋体"/>
          <w:color w:val="auto"/>
          <w:kern w:val="0"/>
          <w:sz w:val="24"/>
        </w:rPr>
      </w:pPr>
      <w:r>
        <w:rPr>
          <w:rFonts w:ascii="宋体" w:hAnsi="宋体" w:cs="宋体"/>
          <w:color w:val="auto"/>
          <w:kern w:val="0"/>
          <w:sz w:val="24"/>
        </w:rPr>
        <w:t>3.1</w:t>
      </w:r>
      <w:r>
        <w:rPr>
          <w:rFonts w:hint="eastAsia" w:ascii="宋体" w:hAnsi="宋体" w:cs="宋体"/>
          <w:color w:val="auto"/>
          <w:kern w:val="0"/>
          <w:sz w:val="24"/>
        </w:rPr>
        <w:t>招标文件的澄清、修改将在招标公告</w:t>
      </w:r>
      <w:r>
        <w:rPr>
          <w:rFonts w:ascii="宋体" w:hAnsi="宋体" w:cs="宋体"/>
          <w:color w:val="auto"/>
          <w:kern w:val="0"/>
          <w:sz w:val="24"/>
        </w:rPr>
        <w:t>发布公告的媒介</w:t>
      </w:r>
      <w:r>
        <w:rPr>
          <w:rFonts w:hint="eastAsia" w:ascii="宋体" w:hAnsi="宋体" w:cs="宋体"/>
          <w:color w:val="auto"/>
          <w:kern w:val="0"/>
          <w:sz w:val="24"/>
        </w:rPr>
        <w:t>上发布</w:t>
      </w:r>
      <w:r>
        <w:rPr>
          <w:rFonts w:ascii="宋体" w:hAnsi="宋体" w:cs="宋体"/>
          <w:color w:val="auto"/>
          <w:kern w:val="0"/>
          <w:sz w:val="24"/>
        </w:rPr>
        <w:t>“</w:t>
      </w:r>
      <w:r>
        <w:rPr>
          <w:rFonts w:hint="eastAsia" w:ascii="宋体" w:hAnsi="宋体" w:cs="宋体"/>
          <w:color w:val="auto"/>
          <w:kern w:val="0"/>
          <w:sz w:val="24"/>
        </w:rPr>
        <w:t>变更公告</w:t>
      </w:r>
      <w:r>
        <w:rPr>
          <w:rFonts w:ascii="宋体" w:hAnsi="宋体" w:cs="宋体"/>
          <w:color w:val="auto"/>
          <w:kern w:val="0"/>
          <w:sz w:val="24"/>
        </w:rPr>
        <w:t>”</w:t>
      </w:r>
      <w:r>
        <w:rPr>
          <w:rFonts w:hint="eastAsia" w:ascii="宋体" w:hAnsi="宋体" w:cs="宋体"/>
          <w:color w:val="auto"/>
          <w:kern w:val="0"/>
          <w:sz w:val="24"/>
        </w:rPr>
        <w:t>，如需修改招标文件，则同时在洛阳市电子招投标交易平台发布</w:t>
      </w:r>
      <w:r>
        <w:rPr>
          <w:rFonts w:ascii="宋体" w:hAnsi="宋体" w:cs="宋体"/>
          <w:color w:val="auto"/>
          <w:kern w:val="0"/>
          <w:sz w:val="24"/>
        </w:rPr>
        <w:t>“</w:t>
      </w:r>
      <w:r>
        <w:rPr>
          <w:rFonts w:hint="eastAsia" w:ascii="宋体" w:hAnsi="宋体" w:cs="宋体"/>
          <w:color w:val="auto"/>
          <w:kern w:val="0"/>
          <w:sz w:val="24"/>
        </w:rPr>
        <w:t>答疑文件</w:t>
      </w:r>
      <w:r>
        <w:rPr>
          <w:rFonts w:ascii="宋体" w:hAnsi="宋体" w:cs="宋体"/>
          <w:color w:val="auto"/>
          <w:kern w:val="0"/>
          <w:sz w:val="24"/>
        </w:rPr>
        <w:t>”</w:t>
      </w:r>
      <w:r>
        <w:rPr>
          <w:rFonts w:hint="eastAsia" w:ascii="宋体" w:hAnsi="宋体" w:cs="宋体"/>
          <w:color w:val="auto"/>
          <w:kern w:val="0"/>
          <w:sz w:val="24"/>
        </w:rPr>
        <w:t>（答疑文件指修改后最新的招标文件）。对于各项目中已经成功下载招标文件的投标人，将通过第三方短信群发方式提醒投标人进行查询。各投标人须重新下载最新的</w:t>
      </w:r>
      <w:r>
        <w:rPr>
          <w:rFonts w:ascii="宋体" w:hAnsi="宋体" w:cs="宋体"/>
          <w:color w:val="auto"/>
          <w:kern w:val="0"/>
          <w:sz w:val="24"/>
        </w:rPr>
        <w:t>“</w:t>
      </w:r>
      <w:r>
        <w:rPr>
          <w:rFonts w:hint="eastAsia" w:ascii="宋体" w:hAnsi="宋体" w:cs="宋体"/>
          <w:color w:val="auto"/>
          <w:kern w:val="0"/>
          <w:sz w:val="24"/>
        </w:rPr>
        <w:t>答疑文件</w:t>
      </w:r>
      <w:r>
        <w:rPr>
          <w:rFonts w:ascii="宋体" w:hAnsi="宋体" w:cs="宋体"/>
          <w:color w:val="auto"/>
          <w:kern w:val="0"/>
          <w:sz w:val="24"/>
        </w:rPr>
        <w:t>”</w:t>
      </w:r>
      <w:r>
        <w:rPr>
          <w:rFonts w:hint="eastAsia" w:ascii="宋体" w:hAnsi="宋体" w:cs="宋体"/>
          <w:color w:val="auto"/>
          <w:kern w:val="0"/>
          <w:sz w:val="24"/>
        </w:rPr>
        <w:t>，并以此编制投标文件。如不以最新发布的</w:t>
      </w:r>
      <w:r>
        <w:rPr>
          <w:rFonts w:ascii="宋体" w:hAnsi="宋体" w:cs="宋体"/>
          <w:color w:val="auto"/>
          <w:kern w:val="0"/>
          <w:sz w:val="24"/>
        </w:rPr>
        <w:t>“</w:t>
      </w:r>
      <w:r>
        <w:rPr>
          <w:rFonts w:hint="eastAsia" w:ascii="宋体" w:hAnsi="宋体" w:cs="宋体"/>
          <w:color w:val="auto"/>
          <w:kern w:val="0"/>
          <w:sz w:val="24"/>
        </w:rPr>
        <w:t>答疑文件</w:t>
      </w:r>
      <w:r>
        <w:rPr>
          <w:rFonts w:ascii="宋体" w:hAnsi="宋体" w:cs="宋体"/>
          <w:color w:val="auto"/>
          <w:kern w:val="0"/>
          <w:sz w:val="24"/>
        </w:rPr>
        <w:t>”</w:t>
      </w:r>
      <w:r>
        <w:rPr>
          <w:rFonts w:hint="eastAsia" w:ascii="宋体" w:hAnsi="宋体" w:cs="宋体"/>
          <w:color w:val="auto"/>
          <w:kern w:val="0"/>
          <w:sz w:val="24"/>
        </w:rPr>
        <w:t>编制投标文件，造成投标无效的后果由投标人自己承担。</w:t>
      </w:r>
      <w:r>
        <w:rPr>
          <w:rFonts w:ascii="宋体" w:hAnsi="宋体" w:cs="宋体"/>
          <w:color w:val="auto"/>
          <w:kern w:val="0"/>
          <w:sz w:val="24"/>
        </w:rPr>
        <w:t xml:space="preserve"> </w:t>
      </w:r>
    </w:p>
    <w:p>
      <w:pPr>
        <w:autoSpaceDE w:val="0"/>
        <w:autoSpaceDN w:val="0"/>
        <w:adjustRightInd w:val="0"/>
        <w:spacing w:line="500" w:lineRule="exact"/>
        <w:ind w:firstLine="480" w:firstLineChars="200"/>
        <w:jc w:val="left"/>
        <w:rPr>
          <w:rFonts w:ascii="宋体" w:hAnsi="宋体" w:cs="宋体"/>
          <w:color w:val="auto"/>
          <w:kern w:val="0"/>
          <w:sz w:val="24"/>
        </w:rPr>
      </w:pPr>
      <w:r>
        <w:rPr>
          <w:rFonts w:ascii="宋体" w:hAnsi="宋体" w:cs="宋体"/>
          <w:color w:val="auto"/>
          <w:kern w:val="0"/>
          <w:sz w:val="24"/>
        </w:rPr>
        <w:t xml:space="preserve">3.2 </w:t>
      </w:r>
      <w:r>
        <w:rPr>
          <w:rFonts w:hint="eastAsia" w:ascii="宋体" w:hAnsi="宋体" w:cs="宋体"/>
          <w:color w:val="auto"/>
          <w:kern w:val="0"/>
          <w:sz w:val="24"/>
        </w:rPr>
        <w:t>因洛阳市电子招投标交易平台在开标前具有保密性，投标人在投标文件递交截止时间前须自行查看项目进展、变更通知、澄清及回复，因投标人未及时查看而造成的后果自负。</w:t>
      </w:r>
      <w:r>
        <w:rPr>
          <w:rFonts w:ascii="宋体" w:hAnsi="宋体" w:cs="宋体"/>
          <w:color w:val="auto"/>
          <w:kern w:val="0"/>
          <w:sz w:val="24"/>
        </w:rPr>
        <w:t xml:space="preserve"> </w:t>
      </w:r>
    </w:p>
    <w:p>
      <w:pPr>
        <w:autoSpaceDE w:val="0"/>
        <w:autoSpaceDN w:val="0"/>
        <w:adjustRightInd w:val="0"/>
        <w:spacing w:line="500" w:lineRule="exact"/>
        <w:jc w:val="left"/>
        <w:rPr>
          <w:rFonts w:ascii="宋体" w:hAnsi="宋体" w:cs="宋体"/>
          <w:b/>
          <w:color w:val="auto"/>
          <w:kern w:val="0"/>
          <w:sz w:val="24"/>
        </w:rPr>
      </w:pPr>
      <w:r>
        <w:rPr>
          <w:rFonts w:ascii="宋体" w:hAnsi="宋体" w:cs="宋体"/>
          <w:b/>
          <w:color w:val="auto"/>
          <w:kern w:val="0"/>
          <w:sz w:val="24"/>
        </w:rPr>
        <w:t>4</w:t>
      </w:r>
      <w:r>
        <w:rPr>
          <w:rFonts w:hint="eastAsia" w:ascii="宋体" w:hAnsi="宋体" w:cs="宋体"/>
          <w:b/>
          <w:color w:val="auto"/>
          <w:kern w:val="0"/>
          <w:sz w:val="24"/>
        </w:rPr>
        <w:t>、开标</w:t>
      </w:r>
      <w:r>
        <w:rPr>
          <w:rFonts w:ascii="宋体" w:hAnsi="宋体" w:cs="宋体"/>
          <w:b/>
          <w:color w:val="auto"/>
          <w:kern w:val="0"/>
          <w:sz w:val="24"/>
        </w:rPr>
        <w:t xml:space="preserve"> </w:t>
      </w:r>
    </w:p>
    <w:p>
      <w:pPr>
        <w:autoSpaceDE w:val="0"/>
        <w:autoSpaceDN w:val="0"/>
        <w:adjustRightInd w:val="0"/>
        <w:spacing w:line="500" w:lineRule="exact"/>
        <w:ind w:firstLine="480" w:firstLineChars="200"/>
        <w:jc w:val="left"/>
        <w:rPr>
          <w:rFonts w:ascii="宋体" w:hAnsi="宋体" w:cs="宋体"/>
          <w:color w:val="auto"/>
          <w:kern w:val="0"/>
          <w:sz w:val="24"/>
        </w:rPr>
      </w:pPr>
      <w:r>
        <w:rPr>
          <w:rFonts w:hint="eastAsia" w:ascii="宋体" w:hAnsi="宋体" w:cs="宋体"/>
          <w:color w:val="auto"/>
          <w:kern w:val="0"/>
          <w:sz w:val="24"/>
        </w:rPr>
        <w:t>本项目采用远程不见面交易的模式。开标当日，投标人无需到开标现场参加开标会议，投标人应当在投标截止时间前，登录远程开标大厅选择洛阳市公共资源电子招投标系统进行登录（网址为http://t.cn/A6huPROa），在线准时参加开标活动并进行投标文件解密等。因投标人原因未能解密、解密失败或解密超时的将被拒绝。</w:t>
      </w:r>
    </w:p>
    <w:p>
      <w:pPr>
        <w:autoSpaceDE w:val="0"/>
        <w:autoSpaceDN w:val="0"/>
        <w:adjustRightInd w:val="0"/>
        <w:spacing w:line="500" w:lineRule="exact"/>
        <w:jc w:val="left"/>
        <w:rPr>
          <w:rFonts w:ascii="宋体" w:hAnsi="宋体" w:cs="宋体"/>
          <w:b/>
          <w:color w:val="auto"/>
          <w:kern w:val="0"/>
          <w:sz w:val="24"/>
        </w:rPr>
      </w:pPr>
      <w:r>
        <w:rPr>
          <w:rFonts w:hint="eastAsia" w:ascii="宋体" w:hAnsi="宋体" w:cs="宋体"/>
          <w:b/>
          <w:color w:val="auto"/>
          <w:kern w:val="0"/>
          <w:sz w:val="24"/>
        </w:rPr>
        <w:t>5、开标异常处理</w:t>
      </w:r>
    </w:p>
    <w:p>
      <w:pPr>
        <w:autoSpaceDE w:val="0"/>
        <w:autoSpaceDN w:val="0"/>
        <w:adjustRightInd w:val="0"/>
        <w:spacing w:line="500" w:lineRule="exact"/>
        <w:ind w:firstLine="480" w:firstLineChars="200"/>
        <w:jc w:val="left"/>
        <w:rPr>
          <w:rFonts w:ascii="宋体" w:hAnsi="宋体" w:cs="宋体"/>
          <w:color w:val="auto"/>
          <w:kern w:val="0"/>
          <w:sz w:val="24"/>
        </w:rPr>
      </w:pPr>
      <w:r>
        <w:rPr>
          <w:rFonts w:hint="eastAsia" w:ascii="宋体" w:hAnsi="宋体" w:cs="宋体"/>
          <w:color w:val="auto"/>
          <w:kern w:val="0"/>
          <w:sz w:val="24"/>
        </w:rPr>
        <w:t>当出现以下情况时，应对未开标的中止电子开标，对原有资料及信息作出妥善保密处理，并在恢复正常后及时安排时间开标：</w:t>
      </w:r>
    </w:p>
    <w:p>
      <w:pPr>
        <w:autoSpaceDE w:val="0"/>
        <w:autoSpaceDN w:val="0"/>
        <w:adjustRightInd w:val="0"/>
        <w:spacing w:line="500" w:lineRule="exact"/>
        <w:ind w:firstLine="480" w:firstLineChars="200"/>
        <w:jc w:val="left"/>
        <w:rPr>
          <w:rFonts w:ascii="宋体" w:hAnsi="宋体" w:cs="宋体"/>
          <w:color w:val="auto"/>
          <w:kern w:val="0"/>
          <w:sz w:val="24"/>
        </w:rPr>
      </w:pPr>
      <w:r>
        <w:rPr>
          <w:rFonts w:hint="eastAsia" w:ascii="宋体" w:hAnsi="宋体" w:cs="宋体"/>
          <w:color w:val="auto"/>
          <w:kern w:val="0"/>
          <w:sz w:val="24"/>
        </w:rPr>
        <w:t>（1）系统服务器发生故障，无法访问或无法使用系统；</w:t>
      </w:r>
    </w:p>
    <w:p>
      <w:pPr>
        <w:autoSpaceDE w:val="0"/>
        <w:autoSpaceDN w:val="0"/>
        <w:adjustRightInd w:val="0"/>
        <w:spacing w:line="500" w:lineRule="exact"/>
        <w:ind w:firstLine="480" w:firstLineChars="200"/>
        <w:jc w:val="left"/>
        <w:rPr>
          <w:rFonts w:ascii="宋体" w:hAnsi="宋体" w:cs="宋体"/>
          <w:color w:val="auto"/>
          <w:kern w:val="0"/>
          <w:sz w:val="24"/>
        </w:rPr>
      </w:pPr>
      <w:r>
        <w:rPr>
          <w:rFonts w:hint="eastAsia" w:ascii="宋体" w:hAnsi="宋体" w:cs="宋体"/>
          <w:color w:val="auto"/>
          <w:kern w:val="0"/>
          <w:sz w:val="24"/>
        </w:rPr>
        <w:t>（2）系统的软件或数据库出现错误，不能进行正常操作；</w:t>
      </w:r>
    </w:p>
    <w:p>
      <w:pPr>
        <w:autoSpaceDE w:val="0"/>
        <w:autoSpaceDN w:val="0"/>
        <w:adjustRightInd w:val="0"/>
        <w:spacing w:line="500" w:lineRule="exact"/>
        <w:ind w:firstLine="480" w:firstLineChars="200"/>
        <w:jc w:val="left"/>
        <w:rPr>
          <w:rFonts w:ascii="宋体" w:hAnsi="宋体" w:cs="宋体"/>
          <w:color w:val="auto"/>
          <w:kern w:val="0"/>
          <w:sz w:val="24"/>
        </w:rPr>
      </w:pPr>
      <w:r>
        <w:rPr>
          <w:rFonts w:hint="eastAsia" w:ascii="宋体" w:hAnsi="宋体" w:cs="宋体"/>
          <w:color w:val="auto"/>
          <w:kern w:val="0"/>
          <w:sz w:val="24"/>
        </w:rPr>
        <w:t>（3）系统发现有安全漏洞，有潜在的泄密危险；</w:t>
      </w:r>
    </w:p>
    <w:p>
      <w:pPr>
        <w:autoSpaceDE w:val="0"/>
        <w:autoSpaceDN w:val="0"/>
        <w:adjustRightInd w:val="0"/>
        <w:spacing w:line="500" w:lineRule="exact"/>
        <w:ind w:firstLine="480" w:firstLineChars="200"/>
        <w:jc w:val="left"/>
        <w:rPr>
          <w:rFonts w:ascii="宋体" w:hAnsi="宋体" w:cs="宋体"/>
          <w:color w:val="auto"/>
          <w:kern w:val="0"/>
          <w:sz w:val="24"/>
        </w:rPr>
      </w:pPr>
      <w:r>
        <w:rPr>
          <w:rFonts w:hint="eastAsia" w:ascii="宋体" w:hAnsi="宋体" w:cs="宋体"/>
          <w:color w:val="auto"/>
          <w:kern w:val="0"/>
          <w:sz w:val="24"/>
        </w:rPr>
        <w:t>（4）出现断电事故且短时间内无法恢复供电；</w:t>
      </w:r>
    </w:p>
    <w:p>
      <w:pPr>
        <w:autoSpaceDE w:val="0"/>
        <w:autoSpaceDN w:val="0"/>
        <w:adjustRightInd w:val="0"/>
        <w:spacing w:line="500" w:lineRule="exact"/>
        <w:ind w:firstLine="480" w:firstLineChars="200"/>
        <w:jc w:val="left"/>
        <w:rPr>
          <w:rFonts w:ascii="宋体" w:hAnsi="宋体" w:cs="宋体"/>
          <w:color w:val="auto"/>
          <w:kern w:val="0"/>
          <w:sz w:val="24"/>
        </w:rPr>
      </w:pPr>
      <w:r>
        <w:rPr>
          <w:rFonts w:hint="eastAsia" w:ascii="宋体" w:hAnsi="宋体" w:cs="宋体"/>
          <w:color w:val="auto"/>
          <w:kern w:val="0"/>
          <w:sz w:val="24"/>
        </w:rPr>
        <w:t>（5）其他无法保证招投标过程正常进行的情形。</w:t>
      </w:r>
    </w:p>
    <w:p>
      <w:pPr>
        <w:autoSpaceDE w:val="0"/>
        <w:autoSpaceDN w:val="0"/>
        <w:adjustRightInd w:val="0"/>
        <w:spacing w:line="500" w:lineRule="exact"/>
        <w:ind w:firstLine="480" w:firstLineChars="200"/>
        <w:jc w:val="left"/>
        <w:rPr>
          <w:rFonts w:ascii="宋体" w:hAnsi="宋体" w:cs="宋体"/>
          <w:color w:val="auto"/>
          <w:kern w:val="0"/>
          <w:sz w:val="24"/>
        </w:rPr>
      </w:pPr>
    </w:p>
    <w:p>
      <w:pPr>
        <w:autoSpaceDE w:val="0"/>
        <w:autoSpaceDN w:val="0"/>
        <w:adjustRightInd w:val="0"/>
        <w:spacing w:line="500" w:lineRule="exact"/>
        <w:ind w:firstLine="480" w:firstLineChars="200"/>
        <w:jc w:val="left"/>
        <w:rPr>
          <w:rFonts w:hint="eastAsia" w:ascii="宋体" w:hAnsi="宋体" w:eastAsia="宋体" w:cs="宋体"/>
          <w:color w:val="auto"/>
          <w:kern w:val="0"/>
          <w:sz w:val="24"/>
          <w:lang w:eastAsia="zh-CN"/>
        </w:rPr>
      </w:pPr>
      <w:r>
        <w:rPr>
          <w:rFonts w:hint="eastAsia" w:ascii="宋体" w:hAnsi="宋体" w:cs="宋体"/>
          <w:color w:val="auto"/>
          <w:kern w:val="0"/>
          <w:sz w:val="24"/>
        </w:rPr>
        <w:t>注：以上提示性内容与招标文件正文不符的，以招标文件正文为准</w:t>
      </w:r>
      <w:r>
        <w:rPr>
          <w:rFonts w:hint="eastAsia" w:ascii="宋体" w:hAnsi="宋体" w:cs="宋体"/>
          <w:color w:val="auto"/>
          <w:kern w:val="0"/>
          <w:sz w:val="24"/>
          <w:lang w:eastAsia="zh-CN"/>
        </w:rPr>
        <w:t>。</w:t>
      </w:r>
    </w:p>
    <w:p>
      <w:pPr>
        <w:spacing w:line="400" w:lineRule="exact"/>
        <w:jc w:val="center"/>
        <w:rPr>
          <w:rFonts w:hint="eastAsia" w:ascii="黑体" w:hAnsi="黑体" w:eastAsia="黑体"/>
          <w:b/>
          <w:bCs/>
          <w:color w:val="auto"/>
          <w:sz w:val="32"/>
        </w:rPr>
        <w:sectPr>
          <w:footerReference r:id="rId6" w:type="default"/>
          <w:pgSz w:w="11906" w:h="16838"/>
          <w:pgMar w:top="1440" w:right="1800" w:bottom="1440" w:left="1800" w:header="851" w:footer="992" w:gutter="0"/>
          <w:pgNumType w:fmt="decimal" w:start="1"/>
          <w:cols w:space="720" w:num="1"/>
          <w:docGrid w:type="lines" w:linePitch="312" w:charSpace="0"/>
        </w:sectPr>
      </w:pPr>
    </w:p>
    <w:bookmarkEnd w:id="0"/>
    <w:bookmarkEnd w:id="1"/>
    <w:sdt>
      <w:sdtPr>
        <w:rPr>
          <w:rFonts w:ascii="宋体" w:hAnsi="宋体" w:eastAsia="宋体" w:cs="Times New Roman"/>
          <w:color w:val="auto"/>
          <w:kern w:val="2"/>
          <w:sz w:val="24"/>
          <w:szCs w:val="32"/>
          <w:lang w:val="en-US" w:eastAsia="zh-CN" w:bidi="ar-SA"/>
        </w:rPr>
        <w:id w:val="147472060"/>
        <w15:color w:val="DBDBDB"/>
        <w:docPartObj>
          <w:docPartGallery w:val="Table of Contents"/>
          <w:docPartUnique/>
        </w:docPartObj>
      </w:sdtPr>
      <w:sdtEndPr>
        <w:rPr>
          <w:rFonts w:ascii="宋体" w:hAnsi="宋体" w:eastAsia="宋体" w:cs="Times New Roman"/>
          <w:color w:val="auto"/>
          <w:kern w:val="2"/>
          <w:sz w:val="24"/>
          <w:szCs w:val="32"/>
          <w:lang w:val="en-US" w:eastAsia="zh-CN" w:bidi="ar-SA"/>
        </w:rPr>
      </w:sdtEndPr>
      <w:sdtContent>
        <w:p>
          <w:pPr>
            <w:keepNext w:val="0"/>
            <w:keepLines w:val="0"/>
            <w:pageBreakBefore w:val="0"/>
            <w:kinsoku/>
            <w:wordWrap/>
            <w:overflowPunct/>
            <w:topLinePunct w:val="0"/>
            <w:autoSpaceDE/>
            <w:autoSpaceDN/>
            <w:bidi w:val="0"/>
            <w:adjustRightInd/>
            <w:snapToGrid/>
            <w:spacing w:before="0" w:beforeLines="0" w:after="0" w:afterLines="0" w:line="480" w:lineRule="auto"/>
            <w:ind w:left="0" w:leftChars="0" w:right="0" w:rightChars="0" w:firstLine="0" w:firstLineChars="0"/>
            <w:jc w:val="center"/>
            <w:textAlignment w:val="auto"/>
            <w:rPr>
              <w:color w:val="auto"/>
              <w:sz w:val="24"/>
              <w:szCs w:val="32"/>
            </w:rPr>
          </w:pPr>
          <w:bookmarkStart w:id="2" w:name="_Toc152042303"/>
          <w:bookmarkStart w:id="3" w:name="_Toc152045527"/>
          <w:bookmarkStart w:id="4" w:name="_Toc144974495"/>
          <w:bookmarkStart w:id="5" w:name="_Toc8423527"/>
          <w:r>
            <w:rPr>
              <w:rFonts w:ascii="宋体" w:hAnsi="宋体" w:eastAsia="宋体"/>
              <w:color w:val="auto"/>
              <w:sz w:val="24"/>
              <w:szCs w:val="32"/>
            </w:rPr>
            <w:t>目录</w:t>
          </w:r>
        </w:p>
        <w:p>
          <w:pPr>
            <w:pStyle w:val="26"/>
            <w:tabs>
              <w:tab w:val="right" w:leader="dot" w:pos="9746"/>
              <w:tab w:val="clear" w:pos="8296"/>
            </w:tabs>
            <w:rPr>
              <w:color w:val="auto"/>
            </w:rPr>
          </w:pPr>
          <w:r>
            <w:rPr>
              <w:color w:val="auto"/>
              <w:sz w:val="22"/>
              <w:szCs w:val="22"/>
            </w:rPr>
            <w:fldChar w:fldCharType="begin"/>
          </w:r>
          <w:r>
            <w:rPr>
              <w:color w:val="auto"/>
              <w:sz w:val="22"/>
              <w:szCs w:val="22"/>
            </w:rPr>
            <w:instrText xml:space="preserve">TOC \o "1-1" \h \u </w:instrText>
          </w:r>
          <w:r>
            <w:rPr>
              <w:color w:val="auto"/>
              <w:sz w:val="22"/>
              <w:szCs w:val="22"/>
            </w:rPr>
            <w:fldChar w:fldCharType="separate"/>
          </w:r>
          <w:r>
            <w:rPr>
              <w:color w:val="auto"/>
              <w:szCs w:val="22"/>
            </w:rPr>
            <w:fldChar w:fldCharType="begin"/>
          </w:r>
          <w:r>
            <w:rPr>
              <w:color w:val="auto"/>
              <w:szCs w:val="22"/>
            </w:rPr>
            <w:instrText xml:space="preserve"> HYPERLINK \l _Toc17846 </w:instrText>
          </w:r>
          <w:r>
            <w:rPr>
              <w:color w:val="auto"/>
              <w:szCs w:val="22"/>
            </w:rPr>
            <w:fldChar w:fldCharType="separate"/>
          </w:r>
          <w:r>
            <w:rPr>
              <w:rFonts w:hint="eastAsia" w:ascii="黑体" w:hAnsi="黑体" w:eastAsia="黑体"/>
              <w:bCs/>
              <w:color w:val="auto"/>
              <w:kern w:val="44"/>
              <w:szCs w:val="32"/>
            </w:rPr>
            <w:t>第一章  招标公告</w:t>
          </w:r>
          <w:r>
            <w:rPr>
              <w:color w:val="auto"/>
            </w:rPr>
            <w:tab/>
          </w:r>
          <w:r>
            <w:rPr>
              <w:color w:val="auto"/>
            </w:rPr>
            <w:fldChar w:fldCharType="begin"/>
          </w:r>
          <w:r>
            <w:rPr>
              <w:color w:val="auto"/>
            </w:rPr>
            <w:instrText xml:space="preserve"> PAGEREF _Toc17846 \h </w:instrText>
          </w:r>
          <w:r>
            <w:rPr>
              <w:color w:val="auto"/>
            </w:rPr>
            <w:fldChar w:fldCharType="separate"/>
          </w:r>
          <w:r>
            <w:rPr>
              <w:color w:val="auto"/>
            </w:rPr>
            <w:t>1</w:t>
          </w:r>
          <w:r>
            <w:rPr>
              <w:color w:val="auto"/>
            </w:rPr>
            <w:fldChar w:fldCharType="end"/>
          </w:r>
          <w:r>
            <w:rPr>
              <w:color w:val="auto"/>
              <w:szCs w:val="22"/>
            </w:rPr>
            <w:fldChar w:fldCharType="end"/>
          </w:r>
        </w:p>
        <w:p>
          <w:pPr>
            <w:pStyle w:val="26"/>
            <w:tabs>
              <w:tab w:val="right" w:leader="dot" w:pos="9746"/>
              <w:tab w:val="clear" w:pos="8296"/>
            </w:tabs>
            <w:rPr>
              <w:color w:val="auto"/>
            </w:rPr>
          </w:pPr>
          <w:r>
            <w:rPr>
              <w:color w:val="auto"/>
              <w:szCs w:val="22"/>
            </w:rPr>
            <w:fldChar w:fldCharType="begin"/>
          </w:r>
          <w:r>
            <w:rPr>
              <w:color w:val="auto"/>
              <w:szCs w:val="22"/>
            </w:rPr>
            <w:instrText xml:space="preserve"> HYPERLINK \l _Toc5489 </w:instrText>
          </w:r>
          <w:r>
            <w:rPr>
              <w:color w:val="auto"/>
              <w:szCs w:val="22"/>
            </w:rPr>
            <w:fldChar w:fldCharType="separate"/>
          </w:r>
          <w:r>
            <w:rPr>
              <w:rFonts w:hint="eastAsia" w:ascii="黑体" w:hAnsi="黑体" w:eastAsia="黑体"/>
              <w:color w:val="auto"/>
              <w:szCs w:val="32"/>
            </w:rPr>
            <w:t xml:space="preserve">第二章 </w:t>
          </w:r>
          <w:r>
            <w:rPr>
              <w:rFonts w:hint="eastAsia" w:ascii="黑体" w:hAnsi="黑体" w:eastAsia="黑体"/>
              <w:color w:val="auto"/>
              <w:szCs w:val="32"/>
              <w:lang w:val="en-US" w:eastAsia="zh-CN"/>
            </w:rPr>
            <w:t xml:space="preserve"> </w:t>
          </w:r>
          <w:r>
            <w:rPr>
              <w:rFonts w:hint="eastAsia" w:ascii="黑体" w:hAnsi="黑体" w:eastAsia="黑体"/>
              <w:color w:val="auto"/>
              <w:szCs w:val="32"/>
            </w:rPr>
            <w:t>投标人须知</w:t>
          </w:r>
          <w:r>
            <w:rPr>
              <w:color w:val="auto"/>
            </w:rPr>
            <w:tab/>
          </w:r>
          <w:r>
            <w:rPr>
              <w:color w:val="auto"/>
            </w:rPr>
            <w:fldChar w:fldCharType="begin"/>
          </w:r>
          <w:r>
            <w:rPr>
              <w:color w:val="auto"/>
            </w:rPr>
            <w:instrText xml:space="preserve"> PAGEREF _Toc5489 \h </w:instrText>
          </w:r>
          <w:r>
            <w:rPr>
              <w:color w:val="auto"/>
            </w:rPr>
            <w:fldChar w:fldCharType="separate"/>
          </w:r>
          <w:r>
            <w:rPr>
              <w:color w:val="auto"/>
            </w:rPr>
            <w:t>5</w:t>
          </w:r>
          <w:r>
            <w:rPr>
              <w:color w:val="auto"/>
            </w:rPr>
            <w:fldChar w:fldCharType="end"/>
          </w:r>
          <w:r>
            <w:rPr>
              <w:color w:val="auto"/>
              <w:szCs w:val="22"/>
            </w:rPr>
            <w:fldChar w:fldCharType="end"/>
          </w:r>
        </w:p>
        <w:p>
          <w:pPr>
            <w:pStyle w:val="26"/>
            <w:tabs>
              <w:tab w:val="right" w:leader="dot" w:pos="9746"/>
              <w:tab w:val="clear" w:pos="8296"/>
            </w:tabs>
            <w:rPr>
              <w:color w:val="auto"/>
            </w:rPr>
          </w:pPr>
          <w:r>
            <w:rPr>
              <w:color w:val="auto"/>
              <w:szCs w:val="22"/>
            </w:rPr>
            <w:fldChar w:fldCharType="begin"/>
          </w:r>
          <w:r>
            <w:rPr>
              <w:color w:val="auto"/>
              <w:szCs w:val="22"/>
            </w:rPr>
            <w:instrText xml:space="preserve"> HYPERLINK \l _Toc32685 </w:instrText>
          </w:r>
          <w:r>
            <w:rPr>
              <w:color w:val="auto"/>
              <w:szCs w:val="22"/>
            </w:rPr>
            <w:fldChar w:fldCharType="separate"/>
          </w:r>
          <w:r>
            <w:rPr>
              <w:rFonts w:hint="eastAsia" w:ascii="黑体" w:hAnsi="黑体" w:eastAsia="黑体"/>
              <w:bCs w:val="0"/>
              <w:color w:val="auto"/>
            </w:rPr>
            <w:t xml:space="preserve">第三章 </w:t>
          </w:r>
          <w:r>
            <w:rPr>
              <w:rFonts w:hint="eastAsia" w:ascii="黑体" w:hAnsi="黑体" w:eastAsia="黑体"/>
              <w:bCs w:val="0"/>
              <w:color w:val="auto"/>
              <w:lang w:val="en-US" w:eastAsia="zh-CN"/>
            </w:rPr>
            <w:t xml:space="preserve"> </w:t>
          </w:r>
          <w:r>
            <w:rPr>
              <w:rFonts w:hint="eastAsia" w:ascii="黑体" w:hAnsi="黑体" w:eastAsia="黑体"/>
              <w:bCs w:val="0"/>
              <w:color w:val="auto"/>
            </w:rPr>
            <w:t>评标办法（综合评估法）</w:t>
          </w:r>
          <w:r>
            <w:rPr>
              <w:color w:val="auto"/>
            </w:rPr>
            <w:tab/>
          </w:r>
          <w:r>
            <w:rPr>
              <w:color w:val="auto"/>
            </w:rPr>
            <w:fldChar w:fldCharType="begin"/>
          </w:r>
          <w:r>
            <w:rPr>
              <w:color w:val="auto"/>
            </w:rPr>
            <w:instrText xml:space="preserve"> PAGEREF _Toc32685 \h </w:instrText>
          </w:r>
          <w:r>
            <w:rPr>
              <w:color w:val="auto"/>
            </w:rPr>
            <w:fldChar w:fldCharType="separate"/>
          </w:r>
          <w:r>
            <w:rPr>
              <w:color w:val="auto"/>
            </w:rPr>
            <w:t>29</w:t>
          </w:r>
          <w:r>
            <w:rPr>
              <w:color w:val="auto"/>
            </w:rPr>
            <w:fldChar w:fldCharType="end"/>
          </w:r>
          <w:r>
            <w:rPr>
              <w:color w:val="auto"/>
              <w:szCs w:val="22"/>
            </w:rPr>
            <w:fldChar w:fldCharType="end"/>
          </w:r>
        </w:p>
        <w:p>
          <w:pPr>
            <w:pStyle w:val="26"/>
            <w:tabs>
              <w:tab w:val="right" w:leader="dot" w:pos="9746"/>
              <w:tab w:val="clear" w:pos="8296"/>
            </w:tabs>
            <w:rPr>
              <w:color w:val="auto"/>
            </w:rPr>
          </w:pPr>
          <w:r>
            <w:rPr>
              <w:color w:val="auto"/>
              <w:szCs w:val="22"/>
            </w:rPr>
            <w:fldChar w:fldCharType="begin"/>
          </w:r>
          <w:r>
            <w:rPr>
              <w:color w:val="auto"/>
              <w:szCs w:val="22"/>
            </w:rPr>
            <w:instrText xml:space="preserve"> HYPERLINK \l _Toc3102 </w:instrText>
          </w:r>
          <w:r>
            <w:rPr>
              <w:color w:val="auto"/>
              <w:szCs w:val="22"/>
            </w:rPr>
            <w:fldChar w:fldCharType="separate"/>
          </w:r>
          <w:r>
            <w:rPr>
              <w:rFonts w:hint="eastAsia" w:ascii="黑体" w:hAnsi="黑体" w:eastAsia="黑体"/>
              <w:bCs w:val="0"/>
              <w:color w:val="auto"/>
            </w:rPr>
            <w:t xml:space="preserve">第四章 </w:t>
          </w:r>
          <w:r>
            <w:rPr>
              <w:rFonts w:hint="eastAsia" w:ascii="黑体" w:hAnsi="黑体" w:eastAsia="黑体"/>
              <w:bCs w:val="0"/>
              <w:color w:val="auto"/>
              <w:lang w:val="en-US" w:eastAsia="zh-CN"/>
            </w:rPr>
            <w:t xml:space="preserve"> </w:t>
          </w:r>
          <w:r>
            <w:rPr>
              <w:rFonts w:hint="eastAsia" w:ascii="黑体" w:hAnsi="黑体" w:eastAsia="黑体"/>
              <w:bCs w:val="0"/>
              <w:color w:val="auto"/>
            </w:rPr>
            <w:t>合同条款及格式</w:t>
          </w:r>
          <w:r>
            <w:rPr>
              <w:color w:val="auto"/>
            </w:rPr>
            <w:tab/>
          </w:r>
          <w:r>
            <w:rPr>
              <w:color w:val="auto"/>
            </w:rPr>
            <w:fldChar w:fldCharType="begin"/>
          </w:r>
          <w:r>
            <w:rPr>
              <w:color w:val="auto"/>
            </w:rPr>
            <w:instrText xml:space="preserve"> PAGEREF _Toc3102 \h </w:instrText>
          </w:r>
          <w:r>
            <w:rPr>
              <w:color w:val="auto"/>
            </w:rPr>
            <w:fldChar w:fldCharType="separate"/>
          </w:r>
          <w:r>
            <w:rPr>
              <w:color w:val="auto"/>
            </w:rPr>
            <w:t>42</w:t>
          </w:r>
          <w:r>
            <w:rPr>
              <w:color w:val="auto"/>
            </w:rPr>
            <w:fldChar w:fldCharType="end"/>
          </w:r>
          <w:r>
            <w:rPr>
              <w:color w:val="auto"/>
              <w:szCs w:val="22"/>
            </w:rPr>
            <w:fldChar w:fldCharType="end"/>
          </w:r>
        </w:p>
        <w:p>
          <w:pPr>
            <w:pStyle w:val="26"/>
            <w:tabs>
              <w:tab w:val="right" w:leader="dot" w:pos="9746"/>
              <w:tab w:val="clear" w:pos="8296"/>
            </w:tabs>
            <w:rPr>
              <w:color w:val="auto"/>
            </w:rPr>
          </w:pPr>
          <w:r>
            <w:rPr>
              <w:color w:val="auto"/>
              <w:szCs w:val="22"/>
            </w:rPr>
            <w:fldChar w:fldCharType="begin"/>
          </w:r>
          <w:r>
            <w:rPr>
              <w:color w:val="auto"/>
              <w:szCs w:val="22"/>
            </w:rPr>
            <w:instrText xml:space="preserve"> HYPERLINK \l _Toc16146 </w:instrText>
          </w:r>
          <w:r>
            <w:rPr>
              <w:color w:val="auto"/>
              <w:szCs w:val="22"/>
            </w:rPr>
            <w:fldChar w:fldCharType="separate"/>
          </w:r>
          <w:r>
            <w:rPr>
              <w:rFonts w:hint="eastAsia" w:ascii="黑体" w:hAnsi="黑体" w:eastAsia="黑体"/>
              <w:bCs w:val="0"/>
              <w:color w:val="auto"/>
            </w:rPr>
            <w:t>第五章  工程量清单</w:t>
          </w:r>
          <w:r>
            <w:rPr>
              <w:color w:val="auto"/>
            </w:rPr>
            <w:tab/>
          </w:r>
          <w:r>
            <w:rPr>
              <w:color w:val="auto"/>
            </w:rPr>
            <w:fldChar w:fldCharType="begin"/>
          </w:r>
          <w:r>
            <w:rPr>
              <w:color w:val="auto"/>
            </w:rPr>
            <w:instrText xml:space="preserve"> PAGEREF _Toc16146 \h </w:instrText>
          </w:r>
          <w:r>
            <w:rPr>
              <w:color w:val="auto"/>
            </w:rPr>
            <w:fldChar w:fldCharType="separate"/>
          </w:r>
          <w:r>
            <w:rPr>
              <w:color w:val="auto"/>
            </w:rPr>
            <w:t>43</w:t>
          </w:r>
          <w:r>
            <w:rPr>
              <w:color w:val="auto"/>
            </w:rPr>
            <w:fldChar w:fldCharType="end"/>
          </w:r>
          <w:r>
            <w:rPr>
              <w:color w:val="auto"/>
              <w:szCs w:val="22"/>
            </w:rPr>
            <w:fldChar w:fldCharType="end"/>
          </w:r>
        </w:p>
        <w:p>
          <w:pPr>
            <w:pStyle w:val="26"/>
            <w:tabs>
              <w:tab w:val="right" w:leader="dot" w:pos="9746"/>
              <w:tab w:val="clear" w:pos="8296"/>
            </w:tabs>
            <w:rPr>
              <w:color w:val="auto"/>
            </w:rPr>
          </w:pPr>
          <w:r>
            <w:rPr>
              <w:color w:val="auto"/>
              <w:szCs w:val="22"/>
            </w:rPr>
            <w:fldChar w:fldCharType="begin"/>
          </w:r>
          <w:r>
            <w:rPr>
              <w:color w:val="auto"/>
              <w:szCs w:val="22"/>
            </w:rPr>
            <w:instrText xml:space="preserve"> HYPERLINK \l _Toc12364 </w:instrText>
          </w:r>
          <w:r>
            <w:rPr>
              <w:color w:val="auto"/>
              <w:szCs w:val="22"/>
            </w:rPr>
            <w:fldChar w:fldCharType="separate"/>
          </w:r>
          <w:r>
            <w:rPr>
              <w:rFonts w:hint="eastAsia" w:ascii="黑体" w:hAnsi="黑体" w:eastAsia="黑体"/>
              <w:bCs w:val="0"/>
              <w:color w:val="auto"/>
            </w:rPr>
            <w:t>第六章  图  纸</w:t>
          </w:r>
          <w:r>
            <w:rPr>
              <w:color w:val="auto"/>
            </w:rPr>
            <w:tab/>
          </w:r>
          <w:r>
            <w:rPr>
              <w:color w:val="auto"/>
            </w:rPr>
            <w:fldChar w:fldCharType="begin"/>
          </w:r>
          <w:r>
            <w:rPr>
              <w:color w:val="auto"/>
            </w:rPr>
            <w:instrText xml:space="preserve"> PAGEREF _Toc12364 \h </w:instrText>
          </w:r>
          <w:r>
            <w:rPr>
              <w:color w:val="auto"/>
            </w:rPr>
            <w:fldChar w:fldCharType="separate"/>
          </w:r>
          <w:r>
            <w:rPr>
              <w:color w:val="auto"/>
            </w:rPr>
            <w:t>44</w:t>
          </w:r>
          <w:r>
            <w:rPr>
              <w:color w:val="auto"/>
            </w:rPr>
            <w:fldChar w:fldCharType="end"/>
          </w:r>
          <w:r>
            <w:rPr>
              <w:color w:val="auto"/>
              <w:szCs w:val="22"/>
            </w:rPr>
            <w:fldChar w:fldCharType="end"/>
          </w:r>
        </w:p>
        <w:p>
          <w:pPr>
            <w:pStyle w:val="26"/>
            <w:tabs>
              <w:tab w:val="right" w:leader="dot" w:pos="9746"/>
              <w:tab w:val="clear" w:pos="8296"/>
            </w:tabs>
            <w:rPr>
              <w:color w:val="auto"/>
            </w:rPr>
          </w:pPr>
          <w:r>
            <w:rPr>
              <w:color w:val="auto"/>
              <w:szCs w:val="22"/>
            </w:rPr>
            <w:fldChar w:fldCharType="begin"/>
          </w:r>
          <w:r>
            <w:rPr>
              <w:color w:val="auto"/>
              <w:szCs w:val="22"/>
            </w:rPr>
            <w:instrText xml:space="preserve"> HYPERLINK \l _Toc17798 </w:instrText>
          </w:r>
          <w:r>
            <w:rPr>
              <w:color w:val="auto"/>
              <w:szCs w:val="22"/>
            </w:rPr>
            <w:fldChar w:fldCharType="separate"/>
          </w:r>
          <w:r>
            <w:rPr>
              <w:rFonts w:hint="eastAsia" w:ascii="黑体" w:hAnsi="黑体" w:eastAsia="黑体"/>
              <w:bCs w:val="0"/>
              <w:color w:val="auto"/>
            </w:rPr>
            <w:t>第七章  技术标准和要求</w:t>
          </w:r>
          <w:r>
            <w:rPr>
              <w:color w:val="auto"/>
            </w:rPr>
            <w:tab/>
          </w:r>
          <w:r>
            <w:rPr>
              <w:color w:val="auto"/>
            </w:rPr>
            <w:fldChar w:fldCharType="begin"/>
          </w:r>
          <w:r>
            <w:rPr>
              <w:color w:val="auto"/>
            </w:rPr>
            <w:instrText xml:space="preserve"> PAGEREF _Toc17798 \h </w:instrText>
          </w:r>
          <w:r>
            <w:rPr>
              <w:color w:val="auto"/>
            </w:rPr>
            <w:fldChar w:fldCharType="separate"/>
          </w:r>
          <w:r>
            <w:rPr>
              <w:color w:val="auto"/>
            </w:rPr>
            <w:t>45</w:t>
          </w:r>
          <w:r>
            <w:rPr>
              <w:color w:val="auto"/>
            </w:rPr>
            <w:fldChar w:fldCharType="end"/>
          </w:r>
          <w:r>
            <w:rPr>
              <w:color w:val="auto"/>
              <w:szCs w:val="22"/>
            </w:rPr>
            <w:fldChar w:fldCharType="end"/>
          </w:r>
        </w:p>
        <w:p>
          <w:pPr>
            <w:pStyle w:val="26"/>
            <w:tabs>
              <w:tab w:val="right" w:leader="dot" w:pos="9746"/>
              <w:tab w:val="clear" w:pos="8296"/>
            </w:tabs>
            <w:rPr>
              <w:color w:val="auto"/>
            </w:rPr>
          </w:pPr>
          <w:r>
            <w:rPr>
              <w:color w:val="auto"/>
              <w:szCs w:val="22"/>
            </w:rPr>
            <w:fldChar w:fldCharType="begin"/>
          </w:r>
          <w:r>
            <w:rPr>
              <w:color w:val="auto"/>
              <w:szCs w:val="22"/>
            </w:rPr>
            <w:instrText xml:space="preserve"> HYPERLINK \l _Toc30097 </w:instrText>
          </w:r>
          <w:r>
            <w:rPr>
              <w:color w:val="auto"/>
              <w:szCs w:val="22"/>
            </w:rPr>
            <w:fldChar w:fldCharType="separate"/>
          </w:r>
          <w:r>
            <w:rPr>
              <w:rFonts w:hint="eastAsia" w:ascii="黑体" w:hAnsi="黑体" w:eastAsia="黑体"/>
              <w:bCs w:val="0"/>
              <w:color w:val="auto"/>
            </w:rPr>
            <w:t>第八章  投标文件格式</w:t>
          </w:r>
          <w:r>
            <w:rPr>
              <w:color w:val="auto"/>
            </w:rPr>
            <w:tab/>
          </w:r>
          <w:r>
            <w:rPr>
              <w:color w:val="auto"/>
            </w:rPr>
            <w:fldChar w:fldCharType="begin"/>
          </w:r>
          <w:r>
            <w:rPr>
              <w:color w:val="auto"/>
            </w:rPr>
            <w:instrText xml:space="preserve"> PAGEREF _Toc30097 \h </w:instrText>
          </w:r>
          <w:r>
            <w:rPr>
              <w:color w:val="auto"/>
            </w:rPr>
            <w:fldChar w:fldCharType="separate"/>
          </w:r>
          <w:r>
            <w:rPr>
              <w:color w:val="auto"/>
            </w:rPr>
            <w:t>46</w:t>
          </w:r>
          <w:r>
            <w:rPr>
              <w:color w:val="auto"/>
            </w:rPr>
            <w:fldChar w:fldCharType="end"/>
          </w:r>
          <w:r>
            <w:rPr>
              <w:color w:val="auto"/>
              <w:szCs w:val="22"/>
            </w:rPr>
            <w:fldChar w:fldCharType="end"/>
          </w:r>
        </w:p>
        <w:p>
          <w:pPr>
            <w:pStyle w:val="26"/>
            <w:tabs>
              <w:tab w:val="right" w:leader="dot" w:pos="9746"/>
              <w:tab w:val="clear" w:pos="8296"/>
            </w:tabs>
            <w:rPr>
              <w:color w:val="auto"/>
            </w:rPr>
          </w:pPr>
          <w:r>
            <w:rPr>
              <w:color w:val="auto"/>
              <w:szCs w:val="22"/>
            </w:rPr>
            <w:fldChar w:fldCharType="begin"/>
          </w:r>
          <w:r>
            <w:rPr>
              <w:color w:val="auto"/>
              <w:szCs w:val="22"/>
            </w:rPr>
            <w:instrText xml:space="preserve"> HYPERLINK \l _Toc22263 </w:instrText>
          </w:r>
          <w:r>
            <w:rPr>
              <w:color w:val="auto"/>
              <w:szCs w:val="22"/>
            </w:rPr>
            <w:fldChar w:fldCharType="separate"/>
          </w:r>
          <w:r>
            <w:rPr>
              <w:rFonts w:hint="eastAsia" w:ascii="仿宋" w:hAnsi="仿宋" w:eastAsia="仿宋" w:cs="仿宋"/>
              <w:bCs/>
              <w:color w:val="auto"/>
              <w:kern w:val="28"/>
              <w:szCs w:val="30"/>
              <w:highlight w:val="none"/>
              <w:lang w:val="en-US" w:eastAsia="zh-CN" w:bidi="en-US"/>
            </w:rPr>
            <w:t>附1：洛阳市政府采购合同融资政策告知函</w:t>
          </w:r>
          <w:r>
            <w:rPr>
              <w:color w:val="auto"/>
            </w:rPr>
            <w:tab/>
          </w:r>
          <w:r>
            <w:rPr>
              <w:color w:val="auto"/>
            </w:rPr>
            <w:fldChar w:fldCharType="begin"/>
          </w:r>
          <w:r>
            <w:rPr>
              <w:color w:val="auto"/>
            </w:rPr>
            <w:instrText xml:space="preserve"> PAGEREF _Toc22263 \h </w:instrText>
          </w:r>
          <w:r>
            <w:rPr>
              <w:color w:val="auto"/>
            </w:rPr>
            <w:fldChar w:fldCharType="separate"/>
          </w:r>
          <w:r>
            <w:rPr>
              <w:color w:val="auto"/>
            </w:rPr>
            <w:t>71</w:t>
          </w:r>
          <w:r>
            <w:rPr>
              <w:color w:val="auto"/>
            </w:rPr>
            <w:fldChar w:fldCharType="end"/>
          </w:r>
          <w:r>
            <w:rPr>
              <w:color w:val="auto"/>
              <w:szCs w:val="22"/>
            </w:rPr>
            <w:fldChar w:fldCharType="end"/>
          </w:r>
        </w:p>
        <w:p>
          <w:pPr>
            <w:pStyle w:val="26"/>
            <w:tabs>
              <w:tab w:val="right" w:leader="dot" w:pos="9746"/>
              <w:tab w:val="clear" w:pos="8296"/>
            </w:tabs>
            <w:rPr>
              <w:color w:val="auto"/>
            </w:rPr>
          </w:pPr>
          <w:r>
            <w:rPr>
              <w:color w:val="auto"/>
              <w:szCs w:val="22"/>
            </w:rPr>
            <w:fldChar w:fldCharType="begin"/>
          </w:r>
          <w:r>
            <w:rPr>
              <w:color w:val="auto"/>
              <w:szCs w:val="22"/>
            </w:rPr>
            <w:instrText xml:space="preserve"> HYPERLINK \l _Toc23585 </w:instrText>
          </w:r>
          <w:r>
            <w:rPr>
              <w:color w:val="auto"/>
              <w:szCs w:val="22"/>
            </w:rPr>
            <w:fldChar w:fldCharType="separate"/>
          </w:r>
          <w:r>
            <w:rPr>
              <w:rFonts w:hint="eastAsia" w:ascii="仿宋" w:hAnsi="仿宋" w:eastAsia="仿宋" w:cs="仿宋"/>
              <w:bCs/>
              <w:color w:val="auto"/>
              <w:kern w:val="28"/>
              <w:szCs w:val="30"/>
              <w:highlight w:val="none"/>
              <w:lang w:val="en-US" w:eastAsia="zh-CN" w:bidi="en-US"/>
            </w:rPr>
            <w:t>附2：洛阳市政府采购融资贷联系方式及融资产品介绍</w:t>
          </w:r>
          <w:r>
            <w:rPr>
              <w:color w:val="auto"/>
            </w:rPr>
            <w:tab/>
          </w:r>
          <w:r>
            <w:rPr>
              <w:color w:val="auto"/>
            </w:rPr>
            <w:fldChar w:fldCharType="begin"/>
          </w:r>
          <w:r>
            <w:rPr>
              <w:color w:val="auto"/>
            </w:rPr>
            <w:instrText xml:space="preserve"> PAGEREF _Toc23585 \h </w:instrText>
          </w:r>
          <w:r>
            <w:rPr>
              <w:color w:val="auto"/>
            </w:rPr>
            <w:fldChar w:fldCharType="separate"/>
          </w:r>
          <w:r>
            <w:rPr>
              <w:color w:val="auto"/>
            </w:rPr>
            <w:t>72</w:t>
          </w:r>
          <w:r>
            <w:rPr>
              <w:color w:val="auto"/>
            </w:rPr>
            <w:fldChar w:fldCharType="end"/>
          </w:r>
          <w:r>
            <w:rPr>
              <w:color w:val="auto"/>
              <w:szCs w:val="22"/>
            </w:rPr>
            <w:fldChar w:fldCharType="end"/>
          </w:r>
        </w:p>
        <w:p>
          <w:pPr>
            <w:keepNext w:val="0"/>
            <w:keepLines w:val="0"/>
            <w:pageBreakBefore w:val="0"/>
            <w:kinsoku/>
            <w:wordWrap/>
            <w:overflowPunct/>
            <w:topLinePunct w:val="0"/>
            <w:autoSpaceDE/>
            <w:autoSpaceDN/>
            <w:bidi w:val="0"/>
            <w:adjustRightInd/>
            <w:snapToGrid/>
            <w:spacing w:line="480" w:lineRule="auto"/>
            <w:textAlignment w:val="auto"/>
            <w:rPr>
              <w:color w:val="auto"/>
            </w:rPr>
          </w:pPr>
          <w:r>
            <w:rPr>
              <w:color w:val="auto"/>
              <w:szCs w:val="22"/>
            </w:rPr>
            <w:fldChar w:fldCharType="end"/>
          </w:r>
        </w:p>
      </w:sdtContent>
    </w:sdt>
    <w:p>
      <w:pPr>
        <w:pStyle w:val="34"/>
        <w:rPr>
          <w:rFonts w:hint="eastAsia" w:ascii="黑体" w:hAnsi="黑体" w:eastAsia="黑体"/>
          <w:b w:val="0"/>
          <w:bCs/>
          <w:color w:val="auto"/>
          <w:kern w:val="44"/>
          <w:szCs w:val="32"/>
        </w:rPr>
      </w:pPr>
    </w:p>
    <w:p>
      <w:pPr>
        <w:pStyle w:val="34"/>
        <w:rPr>
          <w:rFonts w:hint="eastAsia" w:ascii="黑体" w:hAnsi="黑体" w:eastAsia="黑体"/>
          <w:b w:val="0"/>
          <w:bCs/>
          <w:color w:val="auto"/>
          <w:kern w:val="44"/>
          <w:szCs w:val="32"/>
        </w:rPr>
      </w:pPr>
    </w:p>
    <w:p>
      <w:pPr>
        <w:pStyle w:val="34"/>
        <w:rPr>
          <w:rFonts w:hint="eastAsia" w:ascii="黑体" w:hAnsi="黑体" w:eastAsia="黑体"/>
          <w:b w:val="0"/>
          <w:bCs/>
          <w:color w:val="auto"/>
          <w:kern w:val="44"/>
          <w:szCs w:val="32"/>
        </w:rPr>
      </w:pPr>
    </w:p>
    <w:p>
      <w:pPr>
        <w:pStyle w:val="34"/>
        <w:rPr>
          <w:rFonts w:hint="eastAsia" w:ascii="黑体" w:hAnsi="黑体" w:eastAsia="黑体"/>
          <w:b w:val="0"/>
          <w:bCs/>
          <w:color w:val="auto"/>
          <w:kern w:val="44"/>
          <w:szCs w:val="32"/>
        </w:rPr>
      </w:pPr>
    </w:p>
    <w:p>
      <w:pPr>
        <w:pStyle w:val="34"/>
        <w:rPr>
          <w:rFonts w:hint="eastAsia" w:ascii="黑体" w:hAnsi="黑体" w:eastAsia="黑体"/>
          <w:b w:val="0"/>
          <w:bCs/>
          <w:color w:val="auto"/>
          <w:kern w:val="44"/>
          <w:szCs w:val="32"/>
        </w:rPr>
      </w:pPr>
    </w:p>
    <w:p>
      <w:pPr>
        <w:pStyle w:val="34"/>
        <w:rPr>
          <w:rFonts w:hint="eastAsia" w:ascii="黑体" w:hAnsi="黑体" w:eastAsia="黑体"/>
          <w:b w:val="0"/>
          <w:bCs/>
          <w:color w:val="auto"/>
          <w:kern w:val="44"/>
          <w:szCs w:val="32"/>
        </w:rPr>
      </w:pPr>
    </w:p>
    <w:p>
      <w:pPr>
        <w:pStyle w:val="34"/>
        <w:rPr>
          <w:rFonts w:hint="eastAsia" w:ascii="黑体" w:hAnsi="黑体" w:eastAsia="黑体"/>
          <w:b w:val="0"/>
          <w:bCs/>
          <w:color w:val="auto"/>
          <w:kern w:val="44"/>
          <w:szCs w:val="32"/>
        </w:rPr>
      </w:pPr>
    </w:p>
    <w:p>
      <w:pPr>
        <w:pStyle w:val="34"/>
        <w:rPr>
          <w:rFonts w:hint="eastAsia" w:ascii="黑体" w:hAnsi="黑体" w:eastAsia="黑体"/>
          <w:b w:val="0"/>
          <w:bCs/>
          <w:color w:val="auto"/>
          <w:kern w:val="44"/>
          <w:szCs w:val="32"/>
        </w:rPr>
      </w:pPr>
    </w:p>
    <w:p>
      <w:pPr>
        <w:pStyle w:val="34"/>
        <w:rPr>
          <w:rFonts w:hint="eastAsia" w:ascii="黑体" w:hAnsi="黑体" w:eastAsia="黑体"/>
          <w:b w:val="0"/>
          <w:bCs/>
          <w:color w:val="auto"/>
          <w:kern w:val="44"/>
          <w:szCs w:val="32"/>
        </w:rPr>
      </w:pPr>
    </w:p>
    <w:p>
      <w:pPr>
        <w:pStyle w:val="34"/>
        <w:rPr>
          <w:rFonts w:hint="eastAsia" w:ascii="黑体" w:hAnsi="黑体" w:eastAsia="黑体"/>
          <w:b w:val="0"/>
          <w:bCs/>
          <w:color w:val="auto"/>
          <w:kern w:val="44"/>
          <w:szCs w:val="32"/>
        </w:rPr>
        <w:sectPr>
          <w:headerReference r:id="rId7" w:type="default"/>
          <w:footerReference r:id="rId8" w:type="default"/>
          <w:pgSz w:w="11906" w:h="16838"/>
          <w:pgMar w:top="1440" w:right="1080" w:bottom="1440" w:left="1080" w:header="851" w:footer="992" w:gutter="0"/>
          <w:pgNumType w:fmt="decimal"/>
          <w:cols w:space="720" w:num="1"/>
          <w:docGrid w:type="lines" w:linePitch="312" w:charSpace="0"/>
        </w:sectPr>
      </w:pPr>
    </w:p>
    <w:p>
      <w:pPr>
        <w:pStyle w:val="34"/>
        <w:rPr>
          <w:rFonts w:ascii="黑体" w:hAnsi="黑体" w:eastAsia="黑体"/>
          <w:b w:val="0"/>
          <w:bCs/>
          <w:color w:val="auto"/>
          <w:kern w:val="44"/>
          <w:szCs w:val="32"/>
        </w:rPr>
      </w:pPr>
      <w:bookmarkStart w:id="6" w:name="_Toc17846"/>
      <w:r>
        <w:rPr>
          <w:rFonts w:hint="eastAsia" w:ascii="黑体" w:hAnsi="黑体" w:eastAsia="黑体"/>
          <w:b w:val="0"/>
          <w:bCs/>
          <w:color w:val="auto"/>
          <w:kern w:val="44"/>
          <w:szCs w:val="32"/>
        </w:rPr>
        <w:t>第一章  招标公告</w:t>
      </w:r>
      <w:bookmarkEnd w:id="6"/>
    </w:p>
    <w:p>
      <w:pPr>
        <w:pStyle w:val="32"/>
        <w:widowControl/>
        <w:spacing w:line="360" w:lineRule="auto"/>
        <w:ind w:firstLine="561"/>
        <w:jc w:val="both"/>
        <w:rPr>
          <w:rFonts w:asciiTheme="minorEastAsia" w:hAnsiTheme="minorEastAsia" w:eastAsiaTheme="minorEastAsia" w:cstheme="minorEastAsia"/>
          <w:b/>
          <w:color w:val="auto"/>
          <w:szCs w:val="24"/>
          <w:lang w:val="en-US"/>
        </w:rPr>
      </w:pPr>
      <w:r>
        <w:rPr>
          <w:rFonts w:hint="eastAsia" w:asciiTheme="minorEastAsia" w:hAnsiTheme="minorEastAsia" w:eastAsiaTheme="minorEastAsia" w:cstheme="minorEastAsia"/>
          <w:b/>
          <w:color w:val="auto"/>
          <w:szCs w:val="24"/>
          <w:lang w:val="en-US"/>
        </w:rPr>
        <w:t>一、招标条件</w:t>
      </w:r>
    </w:p>
    <w:p>
      <w:pPr>
        <w:pStyle w:val="32"/>
        <w:widowControl/>
        <w:spacing w:line="360" w:lineRule="auto"/>
        <w:ind w:firstLine="561"/>
        <w:jc w:val="both"/>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本项目为</w:t>
      </w:r>
      <w:r>
        <w:rPr>
          <w:rFonts w:hint="eastAsia" w:asciiTheme="minorEastAsia" w:hAnsiTheme="minorEastAsia" w:eastAsiaTheme="minorEastAsia" w:cstheme="minorEastAsia"/>
          <w:color w:val="auto"/>
          <w:spacing w:val="14"/>
          <w:sz w:val="21"/>
          <w:szCs w:val="21"/>
          <w:lang w:val="en-US" w:eastAsia="zh-CN" w:bidi="ar-SA"/>
        </w:rPr>
        <w:t>涧西区太原路建筑立面改造工程项目</w:t>
      </w:r>
      <w:r>
        <w:rPr>
          <w:rFonts w:hint="eastAsia" w:asciiTheme="minorEastAsia" w:hAnsiTheme="minorEastAsia" w:eastAsiaTheme="minorEastAsia" w:cstheme="minorEastAsia"/>
          <w:color w:val="auto"/>
          <w:spacing w:val="14"/>
          <w:sz w:val="21"/>
          <w:szCs w:val="21"/>
          <w:lang w:val="en-US" w:bidi="ar-SA"/>
        </w:rPr>
        <w:t>，已由相关部门批准，项目业主为洛阳市涧西区住房和城乡建设局，建设资金来自财政资金，出资比例为100%，招标代理机构为</w:t>
      </w:r>
      <w:r>
        <w:rPr>
          <w:rFonts w:hint="eastAsia" w:asciiTheme="minorEastAsia" w:hAnsiTheme="minorEastAsia" w:eastAsiaTheme="minorEastAsia" w:cstheme="minorEastAsia"/>
          <w:color w:val="auto"/>
          <w:spacing w:val="14"/>
          <w:sz w:val="21"/>
          <w:szCs w:val="21"/>
          <w:lang w:val="en-US" w:eastAsia="zh-CN" w:bidi="ar-SA"/>
        </w:rPr>
        <w:t>河南恒强工程管理咨询有限公司</w:t>
      </w:r>
      <w:r>
        <w:rPr>
          <w:rFonts w:hint="eastAsia" w:asciiTheme="minorEastAsia" w:hAnsiTheme="minorEastAsia" w:eastAsiaTheme="minorEastAsia" w:cstheme="minorEastAsia"/>
          <w:color w:val="auto"/>
          <w:spacing w:val="14"/>
          <w:sz w:val="21"/>
          <w:szCs w:val="21"/>
          <w:lang w:val="en-US" w:bidi="ar-SA"/>
        </w:rPr>
        <w:t>。项目已具备招标条件，现对该项目</w:t>
      </w:r>
      <w:r>
        <w:rPr>
          <w:rFonts w:hint="eastAsia" w:asciiTheme="minorEastAsia" w:hAnsiTheme="minorEastAsia" w:eastAsiaTheme="minorEastAsia" w:cstheme="minorEastAsia"/>
          <w:color w:val="auto"/>
          <w:spacing w:val="14"/>
          <w:sz w:val="21"/>
          <w:szCs w:val="21"/>
          <w:lang w:val="en-US" w:eastAsia="zh-CN" w:bidi="ar-SA"/>
        </w:rPr>
        <w:t>施工</w:t>
      </w:r>
      <w:r>
        <w:rPr>
          <w:rFonts w:hint="eastAsia" w:asciiTheme="minorEastAsia" w:hAnsiTheme="minorEastAsia" w:eastAsiaTheme="minorEastAsia" w:cstheme="minorEastAsia"/>
          <w:color w:val="auto"/>
          <w:spacing w:val="14"/>
          <w:sz w:val="21"/>
          <w:szCs w:val="21"/>
          <w:lang w:val="en-US" w:bidi="ar-SA"/>
        </w:rPr>
        <w:t>进行公开招标。</w:t>
      </w:r>
    </w:p>
    <w:p>
      <w:pPr>
        <w:pStyle w:val="32"/>
        <w:widowControl/>
        <w:spacing w:line="360" w:lineRule="auto"/>
        <w:ind w:firstLine="561"/>
        <w:jc w:val="both"/>
        <w:rPr>
          <w:rFonts w:asciiTheme="minorEastAsia" w:hAnsiTheme="minorEastAsia" w:eastAsiaTheme="minorEastAsia" w:cstheme="minorEastAsia"/>
          <w:b/>
          <w:color w:val="auto"/>
          <w:szCs w:val="24"/>
          <w:lang w:val="en-US"/>
        </w:rPr>
      </w:pPr>
      <w:r>
        <w:rPr>
          <w:rFonts w:hint="eastAsia" w:asciiTheme="minorEastAsia" w:hAnsiTheme="minorEastAsia" w:eastAsiaTheme="minorEastAsia" w:cstheme="minorEastAsia"/>
          <w:b/>
          <w:color w:val="auto"/>
          <w:szCs w:val="24"/>
          <w:lang w:val="en-US"/>
        </w:rPr>
        <w:t>二、项目概况与招标范围</w:t>
      </w:r>
    </w:p>
    <w:p>
      <w:pPr>
        <w:pStyle w:val="32"/>
        <w:widowControl/>
        <w:spacing w:line="360" w:lineRule="auto"/>
        <w:ind w:firstLine="561"/>
        <w:jc w:val="both"/>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1、项目名称：</w:t>
      </w:r>
      <w:r>
        <w:rPr>
          <w:rFonts w:hint="eastAsia" w:asciiTheme="minorEastAsia" w:hAnsiTheme="minorEastAsia" w:eastAsiaTheme="minorEastAsia" w:cstheme="minorEastAsia"/>
          <w:color w:val="auto"/>
          <w:spacing w:val="14"/>
          <w:sz w:val="21"/>
          <w:szCs w:val="21"/>
          <w:lang w:val="en-US" w:eastAsia="zh-CN" w:bidi="ar-SA"/>
        </w:rPr>
        <w:t>涧西区太原路建筑立面改造工程项目</w:t>
      </w:r>
    </w:p>
    <w:p>
      <w:pPr>
        <w:pStyle w:val="32"/>
        <w:widowControl/>
        <w:spacing w:line="360" w:lineRule="auto"/>
        <w:ind w:firstLine="561"/>
        <w:jc w:val="both"/>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2、财政部门批复编号：</w:t>
      </w:r>
      <w:r>
        <w:rPr>
          <w:rFonts w:hint="eastAsia" w:asciiTheme="minorEastAsia" w:hAnsiTheme="minorEastAsia" w:eastAsiaTheme="minorEastAsia" w:cstheme="minorEastAsia"/>
          <w:color w:val="auto"/>
          <w:spacing w:val="14"/>
          <w:sz w:val="21"/>
          <w:szCs w:val="21"/>
          <w:lang w:val="en-US" w:eastAsia="zh-CN" w:bidi="ar-SA"/>
        </w:rPr>
        <w:t>洛涧公开-2022-10</w:t>
      </w:r>
    </w:p>
    <w:p>
      <w:pPr>
        <w:pStyle w:val="32"/>
        <w:widowControl/>
        <w:spacing w:line="360" w:lineRule="auto"/>
        <w:ind w:firstLine="873" w:firstLineChars="367"/>
        <w:jc w:val="both"/>
        <w:rPr>
          <w:rFonts w:hint="eastAsia" w:asciiTheme="minorEastAsia" w:hAnsiTheme="minorEastAsia" w:eastAsiaTheme="minorEastAsia" w:cstheme="minorEastAsia"/>
          <w:color w:val="auto"/>
          <w:spacing w:val="14"/>
          <w:sz w:val="21"/>
          <w:szCs w:val="21"/>
          <w:highlight w:val="none"/>
          <w:lang w:val="en-US" w:eastAsia="zh-CN" w:bidi="ar-SA"/>
        </w:rPr>
      </w:pPr>
      <w:r>
        <w:rPr>
          <w:rFonts w:hint="eastAsia" w:asciiTheme="minorEastAsia" w:hAnsiTheme="minorEastAsia" w:eastAsiaTheme="minorEastAsia" w:cstheme="minorEastAsia"/>
          <w:color w:val="auto"/>
          <w:spacing w:val="14"/>
          <w:sz w:val="21"/>
          <w:szCs w:val="21"/>
          <w:highlight w:val="none"/>
          <w:lang w:val="en-US" w:bidi="ar-SA"/>
        </w:rPr>
        <w:t>招标编号：</w:t>
      </w:r>
      <w:r>
        <w:rPr>
          <w:rFonts w:hint="eastAsia" w:asciiTheme="minorEastAsia" w:hAnsiTheme="minorEastAsia" w:eastAsiaTheme="minorEastAsia" w:cstheme="minorEastAsia"/>
          <w:color w:val="auto"/>
          <w:spacing w:val="14"/>
          <w:sz w:val="21"/>
          <w:szCs w:val="21"/>
          <w:highlight w:val="none"/>
          <w:lang w:val="en-US" w:eastAsia="zh-CN" w:bidi="ar-SA"/>
        </w:rPr>
        <w:t>涧西工施招标(2022)0023号</w:t>
      </w:r>
    </w:p>
    <w:p>
      <w:pPr>
        <w:pStyle w:val="32"/>
        <w:widowControl/>
        <w:spacing w:line="360" w:lineRule="auto"/>
        <w:ind w:firstLine="561"/>
        <w:jc w:val="both"/>
        <w:rPr>
          <w:rFonts w:hint="eastAsia" w:asciiTheme="minorEastAsia" w:hAnsiTheme="minorEastAsia" w:eastAsiaTheme="minorEastAsia" w:cstheme="minorEastAsia"/>
          <w:color w:val="auto"/>
          <w:spacing w:val="14"/>
          <w:sz w:val="21"/>
          <w:szCs w:val="21"/>
          <w:lang w:val="en-US" w:eastAsia="zh-CN" w:bidi="ar-SA"/>
        </w:rPr>
      </w:pPr>
      <w:r>
        <w:rPr>
          <w:rFonts w:hint="eastAsia" w:asciiTheme="minorEastAsia" w:hAnsiTheme="minorEastAsia" w:eastAsiaTheme="minorEastAsia" w:cstheme="minorEastAsia"/>
          <w:color w:val="auto"/>
          <w:spacing w:val="14"/>
          <w:sz w:val="21"/>
          <w:szCs w:val="21"/>
          <w:lang w:val="en-US" w:bidi="ar-SA"/>
        </w:rPr>
        <w:t>3、资金来源及出资比例：财政资金，100%</w:t>
      </w:r>
      <w:r>
        <w:rPr>
          <w:rFonts w:hint="eastAsia" w:asciiTheme="minorEastAsia" w:hAnsiTheme="minorEastAsia" w:eastAsiaTheme="minorEastAsia" w:cstheme="minorEastAsia"/>
          <w:color w:val="auto"/>
          <w:spacing w:val="14"/>
          <w:sz w:val="21"/>
          <w:szCs w:val="21"/>
          <w:lang w:val="en-US" w:eastAsia="zh-CN" w:bidi="ar-SA"/>
        </w:rPr>
        <w:t>；</w:t>
      </w:r>
    </w:p>
    <w:p>
      <w:pPr>
        <w:pStyle w:val="32"/>
        <w:widowControl/>
        <w:spacing w:line="360" w:lineRule="auto"/>
        <w:ind w:firstLine="561"/>
        <w:jc w:val="both"/>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4、建设地点：洛阳市涧西区</w:t>
      </w:r>
      <w:r>
        <w:rPr>
          <w:rFonts w:hint="eastAsia" w:asciiTheme="minorEastAsia" w:hAnsiTheme="minorEastAsia" w:eastAsiaTheme="minorEastAsia" w:cstheme="minorEastAsia"/>
          <w:color w:val="auto"/>
          <w:spacing w:val="14"/>
          <w:sz w:val="21"/>
          <w:szCs w:val="21"/>
          <w:lang w:val="en-US" w:eastAsia="zh-CN" w:bidi="ar-SA"/>
        </w:rPr>
        <w:t>太原路；</w:t>
      </w:r>
    </w:p>
    <w:p>
      <w:pPr>
        <w:pStyle w:val="32"/>
        <w:widowControl/>
        <w:spacing w:line="360" w:lineRule="auto"/>
        <w:ind w:firstLine="561"/>
        <w:jc w:val="both"/>
        <w:rPr>
          <w:rFonts w:asciiTheme="minorEastAsia" w:hAnsiTheme="minorEastAsia" w:eastAsiaTheme="minorEastAsia" w:cstheme="minorEastAsia"/>
          <w:color w:val="auto"/>
          <w:spacing w:val="14"/>
          <w:sz w:val="21"/>
          <w:szCs w:val="21"/>
          <w:highlight w:val="none"/>
          <w:lang w:val="en-US" w:bidi="ar-SA"/>
        </w:rPr>
      </w:pPr>
      <w:r>
        <w:rPr>
          <w:rFonts w:hint="eastAsia" w:asciiTheme="minorEastAsia" w:hAnsiTheme="minorEastAsia" w:eastAsiaTheme="minorEastAsia" w:cstheme="minorEastAsia"/>
          <w:color w:val="auto"/>
          <w:spacing w:val="14"/>
          <w:sz w:val="21"/>
          <w:szCs w:val="21"/>
          <w:highlight w:val="none"/>
          <w:lang w:val="en-US" w:bidi="ar-SA"/>
        </w:rPr>
        <w:t>5、</w:t>
      </w:r>
      <w:r>
        <w:rPr>
          <w:rFonts w:hint="eastAsia" w:asciiTheme="minorEastAsia" w:hAnsiTheme="minorEastAsia" w:eastAsiaTheme="minorEastAsia" w:cstheme="minorEastAsia"/>
          <w:color w:val="auto"/>
          <w:spacing w:val="14"/>
          <w:sz w:val="21"/>
          <w:szCs w:val="21"/>
          <w:highlight w:val="none"/>
          <w:lang w:val="en-US" w:eastAsia="zh-CN" w:bidi="ar-SA"/>
        </w:rPr>
        <w:t>项目</w:t>
      </w:r>
      <w:r>
        <w:rPr>
          <w:rFonts w:hint="eastAsia" w:asciiTheme="minorEastAsia" w:hAnsiTheme="minorEastAsia" w:eastAsiaTheme="minorEastAsia" w:cstheme="minorEastAsia"/>
          <w:color w:val="auto"/>
          <w:spacing w:val="14"/>
          <w:sz w:val="21"/>
          <w:szCs w:val="21"/>
          <w:highlight w:val="none"/>
          <w:lang w:val="en-US" w:bidi="ar-SA"/>
        </w:rPr>
        <w:t>概况：</w:t>
      </w:r>
      <w:r>
        <w:rPr>
          <w:rFonts w:hint="eastAsia" w:asciiTheme="minorEastAsia" w:hAnsiTheme="minorEastAsia" w:eastAsiaTheme="minorEastAsia" w:cstheme="minorEastAsia"/>
          <w:color w:val="auto"/>
          <w:spacing w:val="14"/>
          <w:sz w:val="21"/>
          <w:szCs w:val="21"/>
          <w:highlight w:val="none"/>
          <w:lang w:val="en-US" w:eastAsia="zh-CN" w:bidi="ar-SA"/>
        </w:rPr>
        <w:t>对原有建筑沿街外立面进行提升改造（详见图纸）；</w:t>
      </w:r>
    </w:p>
    <w:p>
      <w:pPr>
        <w:pStyle w:val="32"/>
        <w:widowControl/>
        <w:spacing w:line="360" w:lineRule="auto"/>
        <w:ind w:firstLine="561"/>
        <w:jc w:val="both"/>
        <w:rPr>
          <w:rFonts w:hint="eastAsia" w:asciiTheme="minorEastAsia" w:hAnsiTheme="minorEastAsia" w:eastAsiaTheme="minorEastAsia" w:cstheme="minorEastAsia"/>
          <w:color w:val="auto"/>
          <w:spacing w:val="14"/>
          <w:sz w:val="21"/>
          <w:szCs w:val="21"/>
          <w:lang w:val="en-US" w:eastAsia="zh-CN" w:bidi="ar-SA"/>
        </w:rPr>
      </w:pPr>
      <w:r>
        <w:rPr>
          <w:rFonts w:hint="eastAsia" w:asciiTheme="minorEastAsia" w:hAnsiTheme="minorEastAsia" w:eastAsiaTheme="minorEastAsia" w:cstheme="minorEastAsia"/>
          <w:color w:val="auto"/>
          <w:spacing w:val="14"/>
          <w:sz w:val="21"/>
          <w:szCs w:val="21"/>
          <w:lang w:val="en-US" w:eastAsia="zh-CN" w:bidi="ar-SA"/>
        </w:rPr>
        <w:t>6</w:t>
      </w:r>
      <w:r>
        <w:rPr>
          <w:rFonts w:hint="eastAsia" w:asciiTheme="minorEastAsia" w:hAnsiTheme="minorEastAsia" w:eastAsiaTheme="minorEastAsia" w:cstheme="minorEastAsia"/>
          <w:color w:val="auto"/>
          <w:spacing w:val="14"/>
          <w:sz w:val="21"/>
          <w:szCs w:val="21"/>
          <w:lang w:val="en-US" w:bidi="ar-SA"/>
        </w:rPr>
        <w:t>、招标范围：施工图纸、答疑及工程量清单所包含的全部内容</w:t>
      </w:r>
      <w:r>
        <w:rPr>
          <w:rFonts w:hint="eastAsia" w:asciiTheme="minorEastAsia" w:hAnsiTheme="minorEastAsia" w:eastAsiaTheme="minorEastAsia" w:cstheme="minorEastAsia"/>
          <w:color w:val="auto"/>
          <w:spacing w:val="14"/>
          <w:sz w:val="21"/>
          <w:szCs w:val="21"/>
          <w:lang w:val="en-US" w:eastAsia="zh-CN" w:bidi="ar-SA"/>
        </w:rPr>
        <w:t>；</w:t>
      </w:r>
    </w:p>
    <w:p>
      <w:pPr>
        <w:pStyle w:val="32"/>
        <w:widowControl/>
        <w:spacing w:line="360" w:lineRule="auto"/>
        <w:ind w:firstLine="561"/>
        <w:jc w:val="both"/>
        <w:rPr>
          <w:rFonts w:hint="eastAsia" w:asciiTheme="minorEastAsia" w:hAnsiTheme="minorEastAsia" w:eastAsiaTheme="minorEastAsia" w:cstheme="minorEastAsia"/>
          <w:color w:val="auto"/>
          <w:spacing w:val="14"/>
          <w:sz w:val="21"/>
          <w:szCs w:val="21"/>
          <w:lang w:val="en-US" w:eastAsia="zh-CN" w:bidi="ar-SA"/>
        </w:rPr>
      </w:pPr>
      <w:r>
        <w:rPr>
          <w:rFonts w:hint="eastAsia" w:asciiTheme="minorEastAsia" w:hAnsiTheme="minorEastAsia" w:eastAsiaTheme="minorEastAsia" w:cstheme="minorEastAsia"/>
          <w:color w:val="auto"/>
          <w:spacing w:val="14"/>
          <w:sz w:val="21"/>
          <w:szCs w:val="21"/>
          <w:lang w:val="en-US" w:eastAsia="zh-CN" w:bidi="ar-SA"/>
        </w:rPr>
        <w:t>7</w:t>
      </w:r>
      <w:r>
        <w:rPr>
          <w:rFonts w:hint="eastAsia" w:asciiTheme="minorEastAsia" w:hAnsiTheme="minorEastAsia" w:eastAsiaTheme="minorEastAsia" w:cstheme="minorEastAsia"/>
          <w:color w:val="auto"/>
          <w:spacing w:val="14"/>
          <w:sz w:val="21"/>
          <w:szCs w:val="21"/>
          <w:lang w:val="en-US" w:bidi="ar-SA"/>
        </w:rPr>
        <w:t>、标段划分：本项目共划分为一个标段</w:t>
      </w:r>
      <w:r>
        <w:rPr>
          <w:rFonts w:hint="eastAsia" w:asciiTheme="minorEastAsia" w:hAnsiTheme="minorEastAsia" w:eastAsiaTheme="minorEastAsia" w:cstheme="minorEastAsia"/>
          <w:color w:val="auto"/>
          <w:spacing w:val="14"/>
          <w:sz w:val="21"/>
          <w:szCs w:val="21"/>
          <w:lang w:val="en-US" w:eastAsia="zh-CN" w:bidi="ar-SA"/>
        </w:rPr>
        <w:t>；</w:t>
      </w:r>
    </w:p>
    <w:p>
      <w:pPr>
        <w:pStyle w:val="32"/>
        <w:widowControl/>
        <w:spacing w:line="360" w:lineRule="auto"/>
        <w:ind w:firstLine="561"/>
        <w:jc w:val="both"/>
        <w:rPr>
          <w:rFonts w:asciiTheme="minorEastAsia" w:hAnsiTheme="minorEastAsia" w:eastAsiaTheme="minorEastAsia" w:cstheme="minorEastAsia"/>
          <w:color w:val="auto"/>
          <w:spacing w:val="14"/>
          <w:sz w:val="21"/>
          <w:szCs w:val="21"/>
          <w:highlight w:val="none"/>
          <w:lang w:val="en-US" w:bidi="ar-SA"/>
        </w:rPr>
      </w:pPr>
      <w:r>
        <w:rPr>
          <w:rFonts w:hint="eastAsia" w:asciiTheme="minorEastAsia" w:hAnsiTheme="minorEastAsia" w:eastAsiaTheme="minorEastAsia" w:cstheme="minorEastAsia"/>
          <w:color w:val="auto"/>
          <w:spacing w:val="14"/>
          <w:sz w:val="21"/>
          <w:szCs w:val="21"/>
          <w:highlight w:val="none"/>
          <w:lang w:val="en-US" w:eastAsia="zh-CN" w:bidi="ar-SA"/>
        </w:rPr>
        <w:t>8</w:t>
      </w:r>
      <w:r>
        <w:rPr>
          <w:rFonts w:hint="eastAsia" w:asciiTheme="minorEastAsia" w:hAnsiTheme="minorEastAsia" w:eastAsiaTheme="minorEastAsia" w:cstheme="minorEastAsia"/>
          <w:color w:val="auto"/>
          <w:spacing w:val="14"/>
          <w:sz w:val="21"/>
          <w:szCs w:val="21"/>
          <w:highlight w:val="none"/>
          <w:lang w:val="en-US" w:bidi="ar-SA"/>
        </w:rPr>
        <w:t>、工期：</w:t>
      </w:r>
      <w:r>
        <w:rPr>
          <w:rFonts w:hint="eastAsia" w:asciiTheme="minorEastAsia" w:hAnsiTheme="minorEastAsia" w:eastAsiaTheme="minorEastAsia" w:cstheme="minorEastAsia"/>
          <w:color w:val="auto"/>
          <w:spacing w:val="14"/>
          <w:sz w:val="21"/>
          <w:szCs w:val="21"/>
          <w:highlight w:val="none"/>
          <w:lang w:val="en-US" w:eastAsia="zh-CN" w:bidi="ar-SA"/>
        </w:rPr>
        <w:t>60日历天；</w:t>
      </w:r>
    </w:p>
    <w:p>
      <w:pPr>
        <w:pStyle w:val="32"/>
        <w:widowControl/>
        <w:spacing w:line="360" w:lineRule="auto"/>
        <w:ind w:firstLine="561"/>
        <w:jc w:val="both"/>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eastAsia="zh-CN" w:bidi="ar-SA"/>
        </w:rPr>
        <w:t>9</w:t>
      </w:r>
      <w:r>
        <w:rPr>
          <w:rFonts w:hint="eastAsia" w:asciiTheme="minorEastAsia" w:hAnsiTheme="minorEastAsia" w:eastAsiaTheme="minorEastAsia" w:cstheme="minorEastAsia"/>
          <w:color w:val="auto"/>
          <w:spacing w:val="14"/>
          <w:sz w:val="21"/>
          <w:szCs w:val="21"/>
          <w:lang w:val="en-US" w:bidi="ar-SA"/>
        </w:rPr>
        <w:t>、质量标准：符合国家质量验收备案标准；</w:t>
      </w:r>
    </w:p>
    <w:p>
      <w:pPr>
        <w:pStyle w:val="32"/>
        <w:widowControl/>
        <w:spacing w:line="360" w:lineRule="auto"/>
        <w:ind w:firstLine="561"/>
        <w:jc w:val="both"/>
        <w:rPr>
          <w:rFonts w:hint="eastAsia" w:asciiTheme="minorEastAsia" w:hAnsiTheme="minorEastAsia" w:eastAsiaTheme="minorEastAsia" w:cstheme="minorEastAsia"/>
          <w:color w:val="auto"/>
          <w:spacing w:val="14"/>
          <w:sz w:val="21"/>
          <w:szCs w:val="21"/>
          <w:lang w:val="en-US" w:eastAsia="zh-CN" w:bidi="ar-SA"/>
        </w:rPr>
      </w:pPr>
      <w:r>
        <w:rPr>
          <w:rFonts w:hint="eastAsia" w:asciiTheme="minorEastAsia" w:hAnsiTheme="minorEastAsia" w:eastAsiaTheme="minorEastAsia" w:cstheme="minorEastAsia"/>
          <w:color w:val="auto"/>
          <w:spacing w:val="14"/>
          <w:sz w:val="21"/>
          <w:szCs w:val="21"/>
          <w:lang w:val="en-US" w:bidi="ar-SA"/>
        </w:rPr>
        <w:t>1</w:t>
      </w:r>
      <w:r>
        <w:rPr>
          <w:rFonts w:hint="eastAsia" w:asciiTheme="minorEastAsia" w:hAnsiTheme="minorEastAsia" w:eastAsiaTheme="minorEastAsia" w:cstheme="minorEastAsia"/>
          <w:color w:val="auto"/>
          <w:spacing w:val="14"/>
          <w:sz w:val="21"/>
          <w:szCs w:val="21"/>
          <w:lang w:val="en-US" w:eastAsia="zh-CN" w:bidi="ar-SA"/>
        </w:rPr>
        <w:t>0</w:t>
      </w:r>
      <w:r>
        <w:rPr>
          <w:rFonts w:hint="eastAsia" w:asciiTheme="minorEastAsia" w:hAnsiTheme="minorEastAsia" w:eastAsiaTheme="minorEastAsia" w:cstheme="minorEastAsia"/>
          <w:color w:val="auto"/>
          <w:spacing w:val="14"/>
          <w:sz w:val="21"/>
          <w:szCs w:val="21"/>
          <w:lang w:val="en-US" w:bidi="ar-SA"/>
        </w:rPr>
        <w:t>、安全目标：杜绝重伤、死亡事故</w:t>
      </w:r>
      <w:r>
        <w:rPr>
          <w:rFonts w:hint="eastAsia" w:asciiTheme="minorEastAsia" w:hAnsiTheme="minorEastAsia" w:eastAsiaTheme="minorEastAsia" w:cstheme="minorEastAsia"/>
          <w:color w:val="auto"/>
          <w:spacing w:val="14"/>
          <w:sz w:val="21"/>
          <w:szCs w:val="21"/>
          <w:lang w:val="en-US" w:eastAsia="zh-CN" w:bidi="ar-SA"/>
        </w:rPr>
        <w:t>；</w:t>
      </w:r>
    </w:p>
    <w:p>
      <w:pPr>
        <w:pStyle w:val="32"/>
        <w:widowControl/>
        <w:spacing w:line="360" w:lineRule="auto"/>
        <w:ind w:firstLine="561"/>
        <w:jc w:val="both"/>
        <w:rPr>
          <w:rFonts w:hint="eastAsia" w:asciiTheme="minorEastAsia" w:hAnsiTheme="minorEastAsia" w:eastAsiaTheme="minorEastAsia" w:cstheme="minorEastAsia"/>
          <w:color w:val="auto"/>
          <w:spacing w:val="14"/>
          <w:sz w:val="21"/>
          <w:szCs w:val="21"/>
          <w:lang w:val="en-US" w:eastAsia="zh-CN" w:bidi="ar-SA"/>
        </w:rPr>
      </w:pPr>
      <w:r>
        <w:rPr>
          <w:rFonts w:hint="eastAsia" w:asciiTheme="minorEastAsia" w:hAnsiTheme="minorEastAsia" w:eastAsiaTheme="minorEastAsia" w:cstheme="minorEastAsia"/>
          <w:color w:val="auto"/>
          <w:spacing w:val="14"/>
          <w:sz w:val="21"/>
          <w:szCs w:val="21"/>
          <w:lang w:val="en-US" w:bidi="ar-SA"/>
        </w:rPr>
        <w:t>1</w:t>
      </w:r>
      <w:r>
        <w:rPr>
          <w:rFonts w:hint="eastAsia" w:asciiTheme="minorEastAsia" w:hAnsiTheme="minorEastAsia" w:eastAsiaTheme="minorEastAsia" w:cstheme="minorEastAsia"/>
          <w:color w:val="auto"/>
          <w:spacing w:val="14"/>
          <w:sz w:val="21"/>
          <w:szCs w:val="21"/>
          <w:lang w:val="en-US" w:eastAsia="zh-CN" w:bidi="ar-SA"/>
        </w:rPr>
        <w:t>1</w:t>
      </w:r>
      <w:r>
        <w:rPr>
          <w:rFonts w:hint="eastAsia" w:asciiTheme="minorEastAsia" w:hAnsiTheme="minorEastAsia" w:eastAsiaTheme="minorEastAsia" w:cstheme="minorEastAsia"/>
          <w:color w:val="auto"/>
          <w:spacing w:val="14"/>
          <w:sz w:val="21"/>
          <w:szCs w:val="21"/>
          <w:lang w:val="en-US" w:bidi="ar-SA"/>
        </w:rPr>
        <w:t>、文明工地目标：市级文明工地</w:t>
      </w:r>
      <w:r>
        <w:rPr>
          <w:rFonts w:hint="eastAsia" w:asciiTheme="minorEastAsia" w:hAnsiTheme="minorEastAsia" w:eastAsiaTheme="minorEastAsia" w:cstheme="minorEastAsia"/>
          <w:color w:val="auto"/>
          <w:spacing w:val="14"/>
          <w:sz w:val="21"/>
          <w:szCs w:val="21"/>
          <w:lang w:val="en-US" w:eastAsia="zh-CN" w:bidi="ar-SA"/>
        </w:rPr>
        <w:t>；</w:t>
      </w:r>
    </w:p>
    <w:p>
      <w:pPr>
        <w:pStyle w:val="32"/>
        <w:widowControl/>
        <w:spacing w:line="360" w:lineRule="auto"/>
        <w:ind w:firstLine="561"/>
        <w:jc w:val="both"/>
        <w:rPr>
          <w:rFonts w:hint="eastAsia" w:asciiTheme="minorEastAsia" w:hAnsiTheme="minorEastAsia" w:eastAsiaTheme="minorEastAsia" w:cstheme="minorEastAsia"/>
          <w:color w:val="auto"/>
          <w:spacing w:val="14"/>
          <w:sz w:val="21"/>
          <w:szCs w:val="21"/>
          <w:lang w:val="en-US" w:eastAsia="zh-CN" w:bidi="ar-SA"/>
        </w:rPr>
      </w:pPr>
      <w:r>
        <w:rPr>
          <w:rFonts w:hint="eastAsia" w:asciiTheme="minorEastAsia" w:hAnsiTheme="minorEastAsia" w:eastAsiaTheme="minorEastAsia" w:cstheme="minorEastAsia"/>
          <w:color w:val="auto"/>
          <w:spacing w:val="14"/>
          <w:sz w:val="21"/>
          <w:szCs w:val="21"/>
          <w:lang w:val="en-US" w:bidi="ar-SA"/>
        </w:rPr>
        <w:t>1</w:t>
      </w:r>
      <w:r>
        <w:rPr>
          <w:rFonts w:hint="eastAsia" w:asciiTheme="minorEastAsia" w:hAnsiTheme="minorEastAsia" w:eastAsiaTheme="minorEastAsia" w:cstheme="minorEastAsia"/>
          <w:color w:val="auto"/>
          <w:spacing w:val="14"/>
          <w:sz w:val="21"/>
          <w:szCs w:val="21"/>
          <w:lang w:val="en-US" w:eastAsia="zh-CN" w:bidi="ar-SA"/>
        </w:rPr>
        <w:t>2</w:t>
      </w:r>
      <w:r>
        <w:rPr>
          <w:rFonts w:hint="eastAsia" w:asciiTheme="minorEastAsia" w:hAnsiTheme="minorEastAsia" w:eastAsiaTheme="minorEastAsia" w:cstheme="minorEastAsia"/>
          <w:color w:val="auto"/>
          <w:spacing w:val="14"/>
          <w:sz w:val="21"/>
          <w:szCs w:val="21"/>
          <w:lang w:val="en-US" w:bidi="ar-SA"/>
        </w:rPr>
        <w:t>、扬尘治理目标：严格按照国家、省、市扬尘污染防治标准及各项扬尘管控指令，做到达标生产</w:t>
      </w:r>
      <w:r>
        <w:rPr>
          <w:rFonts w:hint="eastAsia" w:asciiTheme="minorEastAsia" w:hAnsiTheme="minorEastAsia" w:eastAsiaTheme="minorEastAsia" w:cstheme="minorEastAsia"/>
          <w:color w:val="auto"/>
          <w:spacing w:val="14"/>
          <w:sz w:val="21"/>
          <w:szCs w:val="21"/>
          <w:lang w:val="en-US" w:eastAsia="zh-CN" w:bidi="ar-SA"/>
        </w:rPr>
        <w:t>；</w:t>
      </w:r>
    </w:p>
    <w:p>
      <w:pPr>
        <w:pStyle w:val="32"/>
        <w:widowControl/>
        <w:spacing w:line="360" w:lineRule="auto"/>
        <w:ind w:firstLine="561"/>
        <w:jc w:val="both"/>
        <w:rPr>
          <w:rFonts w:hint="eastAsia" w:asciiTheme="minorEastAsia" w:hAnsiTheme="minorEastAsia" w:eastAsiaTheme="minorEastAsia" w:cstheme="minorEastAsia"/>
          <w:color w:val="auto"/>
          <w:spacing w:val="14"/>
          <w:sz w:val="21"/>
          <w:szCs w:val="21"/>
          <w:lang w:val="en-US" w:eastAsia="zh-CN" w:bidi="ar-SA"/>
        </w:rPr>
      </w:pPr>
      <w:r>
        <w:rPr>
          <w:rFonts w:hint="eastAsia" w:asciiTheme="minorEastAsia" w:hAnsiTheme="minorEastAsia" w:eastAsiaTheme="minorEastAsia" w:cstheme="minorEastAsia"/>
          <w:color w:val="auto"/>
          <w:spacing w:val="14"/>
          <w:sz w:val="21"/>
          <w:szCs w:val="21"/>
          <w:lang w:val="en-US" w:eastAsia="zh-CN" w:bidi="ar-SA"/>
        </w:rPr>
        <w:t>13、政府采购政策：本项目支持中小微企业（监狱企业、残疾人福利性企业视同小微企业），执行节约能源、保护环境等政府采购政策</w:t>
      </w:r>
      <w:r>
        <w:rPr>
          <w:rFonts w:hint="eastAsia" w:asciiTheme="minorEastAsia" w:hAnsiTheme="minorEastAsia" w:eastAsiaTheme="minorEastAsia" w:cstheme="minorEastAsia"/>
          <w:color w:val="auto"/>
          <w:spacing w:val="14"/>
          <w:sz w:val="21"/>
          <w:szCs w:val="21"/>
          <w:highlight w:val="none"/>
          <w:lang w:val="en-US" w:eastAsia="zh-CN" w:bidi="ar-SA"/>
        </w:rPr>
        <w:t>；</w:t>
      </w:r>
    </w:p>
    <w:p>
      <w:pPr>
        <w:pStyle w:val="32"/>
        <w:widowControl/>
        <w:spacing w:line="360" w:lineRule="auto"/>
        <w:ind w:firstLine="561"/>
        <w:jc w:val="both"/>
        <w:rPr>
          <w:rFonts w:hint="eastAsia" w:asciiTheme="minorEastAsia" w:hAnsiTheme="minorEastAsia" w:eastAsiaTheme="minorEastAsia" w:cstheme="minorEastAsia"/>
          <w:b/>
          <w:bCs/>
          <w:color w:val="auto"/>
          <w:spacing w:val="14"/>
          <w:sz w:val="21"/>
          <w:szCs w:val="21"/>
          <w:highlight w:val="none"/>
          <w:lang w:val="en-US" w:eastAsia="zh-CN" w:bidi="ar-SA"/>
        </w:rPr>
      </w:pPr>
      <w:r>
        <w:rPr>
          <w:rFonts w:hint="eastAsia" w:asciiTheme="minorEastAsia" w:hAnsiTheme="minorEastAsia" w:eastAsiaTheme="minorEastAsia" w:cstheme="minorEastAsia"/>
          <w:b/>
          <w:bCs/>
          <w:color w:val="auto"/>
          <w:spacing w:val="14"/>
          <w:sz w:val="21"/>
          <w:szCs w:val="21"/>
          <w:highlight w:val="none"/>
          <w:lang w:val="en-US" w:eastAsia="zh-CN" w:bidi="ar-SA"/>
        </w:rPr>
        <w:t>14</w:t>
      </w:r>
      <w:r>
        <w:rPr>
          <w:rFonts w:hint="eastAsia" w:asciiTheme="minorEastAsia" w:hAnsiTheme="minorEastAsia" w:eastAsiaTheme="minorEastAsia" w:cstheme="minorEastAsia"/>
          <w:b/>
          <w:bCs/>
          <w:color w:val="auto"/>
          <w:spacing w:val="14"/>
          <w:sz w:val="21"/>
          <w:szCs w:val="21"/>
          <w:highlight w:val="none"/>
          <w:lang w:val="en-US" w:bidi="ar-SA"/>
        </w:rPr>
        <w:t>、最高投标限价（预算控制金额）：</w:t>
      </w:r>
      <w:r>
        <w:rPr>
          <w:rFonts w:hint="eastAsia" w:asciiTheme="minorEastAsia" w:hAnsiTheme="minorEastAsia" w:eastAsiaTheme="minorEastAsia" w:cstheme="minorEastAsia"/>
          <w:b/>
          <w:bCs/>
          <w:color w:val="auto"/>
          <w:spacing w:val="14"/>
          <w:sz w:val="21"/>
          <w:szCs w:val="21"/>
          <w:highlight w:val="none"/>
          <w:lang w:val="en-US" w:eastAsia="zh-CN" w:bidi="ar-SA"/>
        </w:rPr>
        <w:t>10356988.28</w:t>
      </w:r>
      <w:r>
        <w:rPr>
          <w:rFonts w:hint="eastAsia" w:asciiTheme="minorEastAsia" w:hAnsiTheme="minorEastAsia" w:eastAsiaTheme="minorEastAsia" w:cstheme="minorEastAsia"/>
          <w:b/>
          <w:bCs/>
          <w:color w:val="auto"/>
          <w:spacing w:val="14"/>
          <w:sz w:val="21"/>
          <w:szCs w:val="21"/>
          <w:highlight w:val="none"/>
          <w:lang w:val="en-US" w:bidi="ar-SA"/>
        </w:rPr>
        <w:t>元</w:t>
      </w:r>
      <w:r>
        <w:rPr>
          <w:rFonts w:hint="eastAsia" w:asciiTheme="minorEastAsia" w:hAnsiTheme="minorEastAsia" w:eastAsiaTheme="minorEastAsia" w:cstheme="minorEastAsia"/>
          <w:b/>
          <w:bCs/>
          <w:color w:val="auto"/>
          <w:spacing w:val="14"/>
          <w:sz w:val="21"/>
          <w:szCs w:val="21"/>
          <w:highlight w:val="none"/>
          <w:lang w:val="en-US" w:eastAsia="zh-CN" w:bidi="ar-SA"/>
        </w:rPr>
        <w:t>。</w:t>
      </w:r>
    </w:p>
    <w:p>
      <w:pPr>
        <w:pStyle w:val="32"/>
        <w:widowControl/>
        <w:spacing w:line="360" w:lineRule="auto"/>
        <w:ind w:firstLine="561"/>
        <w:jc w:val="both"/>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b/>
          <w:bCs/>
          <w:color w:val="auto"/>
          <w:spacing w:val="14"/>
          <w:sz w:val="21"/>
          <w:szCs w:val="21"/>
          <w:lang w:val="en-US" w:bidi="ar-SA"/>
        </w:rPr>
        <w:t>注：最高投标限价为招标人设定的最高限价，投标人的投标报价高于（不含等于）最高投标限价的，按无效投标文件处理。</w:t>
      </w:r>
    </w:p>
    <w:p>
      <w:pPr>
        <w:pStyle w:val="32"/>
        <w:widowControl/>
        <w:spacing w:line="360" w:lineRule="auto"/>
        <w:ind w:firstLine="561"/>
        <w:jc w:val="both"/>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b/>
          <w:color w:val="auto"/>
          <w:szCs w:val="24"/>
          <w:lang w:val="en-US"/>
        </w:rPr>
        <w:t>三、</w:t>
      </w:r>
      <w:r>
        <w:rPr>
          <w:rFonts w:hint="eastAsia" w:asciiTheme="minorEastAsia" w:hAnsiTheme="minorEastAsia" w:eastAsiaTheme="minorEastAsia" w:cstheme="minorEastAsia"/>
          <w:b/>
          <w:color w:val="auto"/>
          <w:szCs w:val="24"/>
          <w:lang w:val="en-US" w:eastAsia="zh-CN"/>
        </w:rPr>
        <w:t>投标</w:t>
      </w:r>
      <w:r>
        <w:rPr>
          <w:rFonts w:hint="eastAsia" w:asciiTheme="minorEastAsia" w:hAnsiTheme="minorEastAsia" w:eastAsiaTheme="minorEastAsia" w:cstheme="minorEastAsia"/>
          <w:b/>
          <w:color w:val="auto"/>
          <w:szCs w:val="24"/>
          <w:lang w:val="en-US"/>
        </w:rPr>
        <w:t>人资格要求</w:t>
      </w:r>
    </w:p>
    <w:p>
      <w:pPr>
        <w:pStyle w:val="32"/>
        <w:widowControl/>
        <w:spacing w:line="360" w:lineRule="auto"/>
        <w:ind w:firstLine="561"/>
        <w:jc w:val="both"/>
        <w:rPr>
          <w:rFonts w:hint="eastAsia" w:asciiTheme="minorEastAsia" w:hAnsiTheme="minorEastAsia" w:eastAsiaTheme="minorEastAsia" w:cstheme="minorEastAsia"/>
          <w:color w:val="auto"/>
          <w:spacing w:val="14"/>
          <w:sz w:val="21"/>
          <w:szCs w:val="21"/>
          <w:lang w:val="en-US" w:eastAsia="zh-CN" w:bidi="ar-SA"/>
        </w:rPr>
      </w:pPr>
      <w:r>
        <w:rPr>
          <w:rFonts w:hint="eastAsia" w:asciiTheme="minorEastAsia" w:hAnsiTheme="minorEastAsia" w:eastAsiaTheme="minorEastAsia" w:cstheme="minorEastAsia"/>
          <w:color w:val="auto"/>
          <w:spacing w:val="14"/>
          <w:sz w:val="21"/>
          <w:szCs w:val="21"/>
          <w:lang w:val="en-US" w:bidi="ar-SA"/>
        </w:rPr>
        <w:t>（1）投标人须具有有效的《企业营业执照》，具有有效的建设行政主管部门核发的</w:t>
      </w:r>
      <w:r>
        <w:rPr>
          <w:rFonts w:hint="eastAsia" w:asciiTheme="minorEastAsia" w:hAnsiTheme="minorEastAsia" w:eastAsiaTheme="minorEastAsia" w:cstheme="minorEastAsia"/>
          <w:color w:val="auto"/>
          <w:spacing w:val="14"/>
          <w:sz w:val="21"/>
          <w:szCs w:val="21"/>
          <w:lang w:val="en-US" w:eastAsia="zh-CN" w:bidi="ar-SA"/>
        </w:rPr>
        <w:t>建筑</w:t>
      </w:r>
    </w:p>
    <w:p>
      <w:pPr>
        <w:pStyle w:val="32"/>
        <w:widowControl/>
        <w:spacing w:line="360" w:lineRule="auto"/>
        <w:jc w:val="both"/>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工程施工总承包叁级（含）及以上资质，并具备有效的安全生产许可证；</w:t>
      </w:r>
      <w:r>
        <w:rPr>
          <w:rFonts w:hint="eastAsia" w:asciiTheme="minorEastAsia" w:hAnsiTheme="minorEastAsia" w:eastAsiaTheme="minorEastAsia" w:cstheme="minorEastAsia"/>
          <w:b/>
          <w:bCs/>
          <w:color w:val="auto"/>
          <w:spacing w:val="14"/>
          <w:sz w:val="21"/>
          <w:szCs w:val="21"/>
          <w:lang w:val="en-US" w:bidi="ar-SA"/>
        </w:rPr>
        <w:t>（投标文件中须附以上证件的原件扫描件）</w:t>
      </w:r>
    </w:p>
    <w:p>
      <w:pPr>
        <w:pStyle w:val="32"/>
        <w:widowControl/>
        <w:spacing w:line="360" w:lineRule="auto"/>
        <w:ind w:firstLine="561"/>
        <w:jc w:val="both"/>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（2）投标人拟任项目经理应具备</w:t>
      </w:r>
      <w:r>
        <w:rPr>
          <w:rFonts w:hint="eastAsia" w:asciiTheme="minorEastAsia" w:hAnsiTheme="minorEastAsia" w:eastAsiaTheme="minorEastAsia" w:cstheme="minorEastAsia"/>
          <w:color w:val="auto"/>
          <w:spacing w:val="14"/>
          <w:sz w:val="21"/>
          <w:szCs w:val="21"/>
          <w:lang w:val="en-US" w:eastAsia="zh-CN" w:bidi="ar-SA"/>
        </w:rPr>
        <w:t>建筑</w:t>
      </w:r>
      <w:r>
        <w:rPr>
          <w:rFonts w:hint="eastAsia" w:asciiTheme="minorEastAsia" w:hAnsiTheme="minorEastAsia" w:eastAsiaTheme="minorEastAsia" w:cstheme="minorEastAsia"/>
          <w:color w:val="auto"/>
          <w:spacing w:val="14"/>
          <w:sz w:val="21"/>
          <w:szCs w:val="21"/>
          <w:lang w:val="en-US" w:bidi="ar-SA"/>
        </w:rPr>
        <w:t>工程专业贰级（含）及以上注册执业证（不含临时）</w:t>
      </w:r>
    </w:p>
    <w:p>
      <w:pPr>
        <w:pStyle w:val="32"/>
        <w:widowControl/>
        <w:spacing w:line="360" w:lineRule="auto"/>
        <w:jc w:val="both"/>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及安全生产考核合格证（B证）</w:t>
      </w:r>
      <w:r>
        <w:rPr>
          <w:rFonts w:hint="eastAsia" w:asciiTheme="minorEastAsia" w:hAnsiTheme="minorEastAsia" w:eastAsiaTheme="minorEastAsia" w:cstheme="minorEastAsia"/>
          <w:color w:val="auto"/>
          <w:spacing w:val="14"/>
          <w:sz w:val="21"/>
          <w:szCs w:val="21"/>
          <w:highlight w:val="none"/>
          <w:lang w:val="en-US" w:bidi="ar-SA"/>
        </w:rPr>
        <w:t>，</w:t>
      </w:r>
      <w:r>
        <w:rPr>
          <w:rFonts w:hint="eastAsia" w:asciiTheme="minorEastAsia" w:hAnsiTheme="minorEastAsia" w:eastAsiaTheme="minorEastAsia" w:cstheme="minorEastAsia"/>
          <w:color w:val="auto"/>
          <w:spacing w:val="14"/>
          <w:sz w:val="21"/>
          <w:szCs w:val="21"/>
          <w:lang w:val="en-US" w:bidi="ar-SA"/>
        </w:rPr>
        <w:t>项目经理不得在其他在建项目中担任职务，须提供无在建项目承诺书；</w:t>
      </w:r>
      <w:r>
        <w:rPr>
          <w:rFonts w:hint="eastAsia" w:asciiTheme="minorEastAsia" w:hAnsiTheme="minorEastAsia" w:eastAsiaTheme="minorEastAsia" w:cstheme="minorEastAsia"/>
          <w:b/>
          <w:bCs/>
          <w:color w:val="auto"/>
          <w:spacing w:val="14"/>
          <w:sz w:val="21"/>
          <w:szCs w:val="21"/>
          <w:lang w:val="en-US" w:bidi="ar-SA"/>
        </w:rPr>
        <w:t>（投标文件中须附以上证件的原件扫描件）</w:t>
      </w:r>
    </w:p>
    <w:p>
      <w:pPr>
        <w:pStyle w:val="32"/>
        <w:widowControl/>
        <w:spacing w:line="360" w:lineRule="auto"/>
        <w:ind w:firstLine="561"/>
        <w:jc w:val="both"/>
        <w:rPr>
          <w:rFonts w:asciiTheme="minorEastAsia" w:hAnsiTheme="minorEastAsia" w:eastAsiaTheme="minorEastAsia" w:cstheme="minorEastAsia"/>
          <w:b/>
          <w:bCs/>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（3）项目经理须提供202</w:t>
      </w:r>
      <w:r>
        <w:rPr>
          <w:rFonts w:hint="eastAsia" w:asciiTheme="minorEastAsia" w:hAnsiTheme="minorEastAsia" w:eastAsiaTheme="minorEastAsia" w:cstheme="minorEastAsia"/>
          <w:color w:val="auto"/>
          <w:spacing w:val="14"/>
          <w:sz w:val="21"/>
          <w:szCs w:val="21"/>
          <w:lang w:val="en-US" w:eastAsia="zh-CN" w:bidi="ar-SA"/>
        </w:rPr>
        <w:t>1</w:t>
      </w:r>
      <w:r>
        <w:rPr>
          <w:rFonts w:hint="eastAsia" w:asciiTheme="minorEastAsia" w:hAnsiTheme="minorEastAsia" w:eastAsiaTheme="minorEastAsia" w:cstheme="minorEastAsia"/>
          <w:color w:val="auto"/>
          <w:spacing w:val="14"/>
          <w:sz w:val="21"/>
          <w:szCs w:val="21"/>
          <w:lang w:val="en-US" w:bidi="ar-SA"/>
        </w:rPr>
        <w:t>年6月1日以来本单位为其缴纳的任意三个月的社保证明；</w:t>
      </w:r>
      <w:r>
        <w:rPr>
          <w:rFonts w:hint="eastAsia" w:asciiTheme="minorEastAsia" w:hAnsiTheme="minorEastAsia" w:eastAsiaTheme="minorEastAsia" w:cstheme="minorEastAsia"/>
          <w:b/>
          <w:bCs/>
          <w:color w:val="auto"/>
          <w:spacing w:val="14"/>
          <w:sz w:val="21"/>
          <w:szCs w:val="21"/>
          <w:lang w:val="en-US" w:bidi="ar-SA"/>
        </w:rPr>
        <w:t>（投标文件中</w:t>
      </w:r>
      <w:r>
        <w:rPr>
          <w:rFonts w:hint="eastAsia" w:asciiTheme="minorEastAsia" w:hAnsiTheme="minorEastAsia" w:eastAsiaTheme="minorEastAsia" w:cstheme="minorEastAsia"/>
          <w:b/>
          <w:bCs/>
          <w:color w:val="auto"/>
          <w:spacing w:val="14"/>
          <w:sz w:val="21"/>
          <w:szCs w:val="21"/>
          <w:lang w:val="en-US" w:eastAsia="zh-CN" w:bidi="ar-SA"/>
        </w:rPr>
        <w:t>须附</w:t>
      </w:r>
      <w:r>
        <w:rPr>
          <w:rFonts w:hint="eastAsia" w:asciiTheme="minorEastAsia" w:hAnsiTheme="minorEastAsia" w:eastAsiaTheme="minorEastAsia" w:cstheme="minorEastAsia"/>
          <w:b/>
          <w:bCs/>
          <w:color w:val="auto"/>
          <w:spacing w:val="14"/>
          <w:sz w:val="21"/>
          <w:szCs w:val="21"/>
          <w:lang w:val="en-US" w:bidi="ar-SA"/>
        </w:rPr>
        <w:t>社保的个人明细查询单加盖社保部门印章原件扫描件或在社保部门开通的网站打印的社保个人明细查询单网页件并注明查询途径）</w:t>
      </w:r>
    </w:p>
    <w:p>
      <w:pPr>
        <w:pStyle w:val="32"/>
        <w:widowControl/>
        <w:spacing w:line="360" w:lineRule="auto"/>
        <w:ind w:firstLine="561"/>
        <w:rPr>
          <w:rFonts w:asciiTheme="minorEastAsia" w:hAnsiTheme="minorEastAsia" w:eastAsiaTheme="minorEastAsia" w:cstheme="minorEastAsia"/>
          <w:b/>
          <w:bCs/>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（4）投标人须具有2020年度经第三方审计机构出具的审计报告，若企业成立年份不足一年的需提供自成立以来的财务报表；</w:t>
      </w:r>
      <w:r>
        <w:rPr>
          <w:rFonts w:hint="eastAsia" w:asciiTheme="minorEastAsia" w:hAnsiTheme="minorEastAsia" w:eastAsiaTheme="minorEastAsia" w:cstheme="minorEastAsia"/>
          <w:b/>
          <w:bCs/>
          <w:color w:val="auto"/>
          <w:spacing w:val="14"/>
          <w:sz w:val="21"/>
          <w:szCs w:val="21"/>
          <w:lang w:val="en-US" w:bidi="ar-SA"/>
        </w:rPr>
        <w:t>（投标文件中须附以上证明资料的原件扫描件）</w:t>
      </w:r>
    </w:p>
    <w:p>
      <w:pPr>
        <w:pStyle w:val="32"/>
        <w:widowControl/>
        <w:spacing w:line="360" w:lineRule="auto"/>
        <w:ind w:firstLine="561"/>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（5）投标人须提供202</w:t>
      </w:r>
      <w:r>
        <w:rPr>
          <w:rFonts w:hint="eastAsia" w:asciiTheme="minorEastAsia" w:hAnsiTheme="minorEastAsia" w:eastAsiaTheme="minorEastAsia" w:cstheme="minorEastAsia"/>
          <w:color w:val="auto"/>
          <w:spacing w:val="14"/>
          <w:sz w:val="21"/>
          <w:szCs w:val="21"/>
          <w:lang w:val="en-US" w:eastAsia="zh-CN" w:bidi="ar-SA"/>
        </w:rPr>
        <w:t>1</w:t>
      </w:r>
      <w:r>
        <w:rPr>
          <w:rFonts w:hint="eastAsia" w:asciiTheme="minorEastAsia" w:hAnsiTheme="minorEastAsia" w:eastAsiaTheme="minorEastAsia" w:cstheme="minorEastAsia"/>
          <w:color w:val="auto"/>
          <w:spacing w:val="14"/>
          <w:sz w:val="21"/>
          <w:szCs w:val="21"/>
          <w:lang w:val="en-US" w:bidi="ar-SA"/>
        </w:rPr>
        <w:t>年6月1日以来任意三个月依法缴纳税收和社会保障资金的证明资料：主要是指投标人有效期内的税务登记证（投标人提供加载有统一社会信用代码“多证合一”营业执照的，视为已提供税务登记证）以及缴纳增值税的凭据，缴纳社会保险的凭据。依法免税或不需要缴纳社会保障资金的投标人，应提供相应文件证明其依法免税或不需要缴纳社会保障资金。</w:t>
      </w:r>
      <w:r>
        <w:rPr>
          <w:rFonts w:hint="eastAsia" w:asciiTheme="minorEastAsia" w:hAnsiTheme="minorEastAsia" w:eastAsiaTheme="minorEastAsia" w:cstheme="minorEastAsia"/>
          <w:b/>
          <w:bCs/>
          <w:color w:val="auto"/>
          <w:spacing w:val="14"/>
          <w:sz w:val="21"/>
          <w:szCs w:val="21"/>
          <w:lang w:val="en-US" w:bidi="ar-SA"/>
        </w:rPr>
        <w:t>（投标文件中须附以上证明资料</w:t>
      </w:r>
      <w:r>
        <w:rPr>
          <w:rFonts w:hint="eastAsia" w:asciiTheme="minorEastAsia" w:hAnsiTheme="minorEastAsia" w:eastAsiaTheme="minorEastAsia" w:cstheme="minorEastAsia"/>
          <w:b/>
          <w:bCs/>
          <w:color w:val="auto"/>
          <w:spacing w:val="14"/>
          <w:sz w:val="21"/>
          <w:szCs w:val="21"/>
          <w:lang w:val="en-US" w:eastAsia="zh-CN" w:bidi="ar-SA"/>
        </w:rPr>
        <w:t>的</w:t>
      </w:r>
      <w:r>
        <w:rPr>
          <w:rFonts w:hint="eastAsia" w:asciiTheme="minorEastAsia" w:hAnsiTheme="minorEastAsia" w:eastAsiaTheme="minorEastAsia" w:cstheme="minorEastAsia"/>
          <w:b/>
          <w:bCs/>
          <w:color w:val="auto"/>
          <w:spacing w:val="14"/>
          <w:sz w:val="21"/>
          <w:szCs w:val="21"/>
          <w:lang w:val="en-US" w:bidi="ar-SA"/>
        </w:rPr>
        <w:t>原件扫描件）</w:t>
      </w:r>
    </w:p>
    <w:p>
      <w:pPr>
        <w:pStyle w:val="32"/>
        <w:widowControl/>
        <w:spacing w:line="360" w:lineRule="auto"/>
        <w:ind w:firstLine="561"/>
        <w:rPr>
          <w:rFonts w:hint="eastAsia" w:asciiTheme="minorEastAsia" w:hAnsiTheme="minorEastAsia" w:eastAsiaTheme="minorEastAsia" w:cstheme="minorEastAsia"/>
          <w:b/>
          <w:bCs/>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（6）投标人通过“信用中国”网站（www.creditchina.gov.cn）、中国政府采购网（www.ccgp.gov.cn）查询投标人信用记录，未被列入“信用中国”网站 “失信惩戒名单”和“中国政府采购网”网站“政府采购严重违法失信行为记录名单”。若被列入，将拒绝其参与本项目投标。</w:t>
      </w:r>
      <w:r>
        <w:rPr>
          <w:rFonts w:hint="eastAsia" w:asciiTheme="minorEastAsia" w:hAnsiTheme="minorEastAsia" w:eastAsiaTheme="minorEastAsia" w:cstheme="minorEastAsia"/>
          <w:b/>
          <w:bCs/>
          <w:color w:val="auto"/>
          <w:spacing w:val="14"/>
          <w:sz w:val="21"/>
          <w:szCs w:val="21"/>
          <w:lang w:val="en-US" w:bidi="ar-SA"/>
        </w:rPr>
        <w:t>（投标文件中</w:t>
      </w:r>
      <w:r>
        <w:rPr>
          <w:rFonts w:hint="eastAsia" w:asciiTheme="minorEastAsia" w:hAnsiTheme="minorEastAsia" w:eastAsiaTheme="minorEastAsia" w:cstheme="minorEastAsia"/>
          <w:b/>
          <w:bCs/>
          <w:color w:val="auto"/>
          <w:spacing w:val="14"/>
          <w:sz w:val="21"/>
          <w:szCs w:val="21"/>
          <w:lang w:val="en-US" w:eastAsia="zh-CN" w:bidi="ar-SA"/>
        </w:rPr>
        <w:t>须</w:t>
      </w:r>
      <w:r>
        <w:rPr>
          <w:rFonts w:hint="eastAsia" w:asciiTheme="minorEastAsia" w:hAnsiTheme="minorEastAsia" w:eastAsiaTheme="minorEastAsia" w:cstheme="minorEastAsia"/>
          <w:b/>
          <w:bCs/>
          <w:color w:val="auto"/>
          <w:spacing w:val="14"/>
          <w:sz w:val="21"/>
          <w:szCs w:val="21"/>
          <w:lang w:val="en-US" w:bidi="ar-SA"/>
        </w:rPr>
        <w:t>附招标公告发布之日起在信用中国网站和中国政府采购网相关栏目的查询结果页面截图或查询结果打印件的扫描件，查询结果须清晰可辩并显示该网页网址，否则视同未提供。）</w:t>
      </w:r>
    </w:p>
    <w:p>
      <w:pPr>
        <w:pStyle w:val="32"/>
        <w:widowControl/>
        <w:spacing w:line="360" w:lineRule="auto"/>
        <w:ind w:firstLine="561"/>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（7）外省施工企业进豫承揽业务的，需通过“河南省建筑市场监管公共服务平台”按规</w:t>
      </w:r>
    </w:p>
    <w:p>
      <w:pPr>
        <w:pStyle w:val="32"/>
        <w:widowControl/>
        <w:spacing w:line="360" w:lineRule="auto"/>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定报送企业基本信息和在豫人员信息，否则其投标将不被接受。</w:t>
      </w:r>
      <w:r>
        <w:rPr>
          <w:rFonts w:hint="eastAsia" w:asciiTheme="minorEastAsia" w:hAnsiTheme="minorEastAsia" w:eastAsiaTheme="minorEastAsia" w:cstheme="minorEastAsia"/>
          <w:b/>
          <w:bCs/>
          <w:color w:val="auto"/>
          <w:spacing w:val="14"/>
          <w:sz w:val="21"/>
          <w:szCs w:val="21"/>
          <w:lang w:val="en-US" w:bidi="ar-SA"/>
        </w:rPr>
        <w:t>（投标文件中</w:t>
      </w:r>
      <w:r>
        <w:rPr>
          <w:rFonts w:hint="eastAsia" w:asciiTheme="minorEastAsia" w:hAnsiTheme="minorEastAsia" w:eastAsiaTheme="minorEastAsia" w:cstheme="minorEastAsia"/>
          <w:b/>
          <w:bCs/>
          <w:color w:val="auto"/>
          <w:spacing w:val="14"/>
          <w:sz w:val="21"/>
          <w:szCs w:val="21"/>
          <w:lang w:val="en-US" w:eastAsia="zh-CN" w:bidi="ar-SA"/>
        </w:rPr>
        <w:t>须</w:t>
      </w:r>
      <w:r>
        <w:rPr>
          <w:rFonts w:hint="eastAsia" w:asciiTheme="minorEastAsia" w:hAnsiTheme="minorEastAsia" w:eastAsiaTheme="minorEastAsia" w:cstheme="minorEastAsia"/>
          <w:b/>
          <w:bCs/>
          <w:color w:val="auto"/>
          <w:spacing w:val="14"/>
          <w:sz w:val="21"/>
          <w:szCs w:val="21"/>
          <w:lang w:val="en-US" w:bidi="ar-SA"/>
        </w:rPr>
        <w:t xml:space="preserve">附网页截图） </w:t>
      </w:r>
    </w:p>
    <w:p>
      <w:pPr>
        <w:pStyle w:val="32"/>
        <w:widowControl/>
        <w:spacing w:line="360" w:lineRule="auto"/>
        <w:ind w:firstLine="561"/>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（8）本项目不接受联合体投标。</w:t>
      </w:r>
    </w:p>
    <w:p>
      <w:pPr>
        <w:pStyle w:val="32"/>
        <w:widowControl/>
        <w:spacing w:line="360" w:lineRule="auto"/>
        <w:ind w:firstLine="561"/>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eastAsia="zh-CN" w:bidi="ar-SA"/>
        </w:rPr>
        <w:t>注：</w:t>
      </w:r>
      <w:r>
        <w:rPr>
          <w:rFonts w:hint="eastAsia" w:asciiTheme="minorEastAsia" w:hAnsiTheme="minorEastAsia" w:eastAsiaTheme="minorEastAsia" w:cstheme="minorEastAsia"/>
          <w:color w:val="auto"/>
          <w:spacing w:val="14"/>
          <w:sz w:val="21"/>
          <w:szCs w:val="21"/>
          <w:lang w:val="en-US" w:bidi="ar-SA"/>
        </w:rPr>
        <w:t>本次招标实行资格后审。</w:t>
      </w:r>
    </w:p>
    <w:p>
      <w:pPr>
        <w:pStyle w:val="32"/>
        <w:widowControl/>
        <w:spacing w:line="360" w:lineRule="auto"/>
        <w:ind w:firstLine="561"/>
        <w:jc w:val="both"/>
        <w:rPr>
          <w:rFonts w:asciiTheme="minorEastAsia" w:hAnsiTheme="minorEastAsia" w:eastAsiaTheme="minorEastAsia" w:cstheme="minorEastAsia"/>
          <w:b/>
          <w:color w:val="auto"/>
          <w:szCs w:val="24"/>
          <w:lang w:val="en-US"/>
        </w:rPr>
      </w:pPr>
      <w:r>
        <w:rPr>
          <w:rFonts w:hint="eastAsia" w:asciiTheme="minorEastAsia" w:hAnsiTheme="minorEastAsia" w:eastAsiaTheme="minorEastAsia" w:cstheme="minorEastAsia"/>
          <w:b/>
          <w:color w:val="auto"/>
          <w:szCs w:val="24"/>
          <w:lang w:val="en-US"/>
        </w:rPr>
        <w:t>四、招标文件的获取</w:t>
      </w:r>
    </w:p>
    <w:p>
      <w:pPr>
        <w:pStyle w:val="32"/>
        <w:widowControl/>
        <w:spacing w:line="360" w:lineRule="auto"/>
        <w:ind w:firstLine="561"/>
        <w:jc w:val="both"/>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1、本次招标文件在网上获取，请登录洛阳市公共资源交易中心网站（</w:t>
      </w:r>
      <w:r>
        <w:rPr>
          <w:rFonts w:hint="eastAsia" w:asciiTheme="minorEastAsia" w:hAnsiTheme="minorEastAsia" w:eastAsiaTheme="minorEastAsia" w:cstheme="minorEastAsia"/>
          <w:color w:val="auto"/>
          <w:spacing w:val="14"/>
          <w:sz w:val="21"/>
          <w:szCs w:val="21"/>
          <w:lang w:val="en-US" w:eastAsia="zh-CN" w:bidi="ar-SA"/>
        </w:rPr>
        <w:t>lyggzyjy.ly.gov.cn</w:t>
      </w:r>
      <w:r>
        <w:rPr>
          <w:rFonts w:hint="eastAsia" w:asciiTheme="minorEastAsia" w:hAnsiTheme="minorEastAsia" w:eastAsiaTheme="minorEastAsia" w:cstheme="minorEastAsia"/>
          <w:color w:val="auto"/>
          <w:spacing w:val="14"/>
          <w:sz w:val="21"/>
          <w:szCs w:val="21"/>
          <w:lang w:val="en-US" w:bidi="ar-SA"/>
        </w:rPr>
        <w:t>），点击“交易登录”进入“洛阳市电子招投标交易平台”进行用户注册，并办理CA数字证书。详见洛阳市公共资源交易中心网站—办事指南—办事流程—主体注册CA办理。</w:t>
      </w:r>
    </w:p>
    <w:p>
      <w:pPr>
        <w:pStyle w:val="32"/>
        <w:widowControl/>
        <w:spacing w:line="360" w:lineRule="auto"/>
        <w:ind w:firstLine="561"/>
        <w:jc w:val="both"/>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2、办理数字证书后，请于202</w:t>
      </w:r>
      <w:r>
        <w:rPr>
          <w:rFonts w:hint="eastAsia" w:asciiTheme="minorEastAsia" w:hAnsiTheme="minorEastAsia" w:eastAsiaTheme="minorEastAsia" w:cstheme="minorEastAsia"/>
          <w:color w:val="auto"/>
          <w:spacing w:val="14"/>
          <w:sz w:val="21"/>
          <w:szCs w:val="21"/>
          <w:lang w:val="en-US" w:eastAsia="zh-CN" w:bidi="ar-SA"/>
        </w:rPr>
        <w:t>2</w:t>
      </w:r>
      <w:r>
        <w:rPr>
          <w:rFonts w:hint="eastAsia" w:asciiTheme="minorEastAsia" w:hAnsiTheme="minorEastAsia" w:eastAsiaTheme="minorEastAsia" w:cstheme="minorEastAsia"/>
          <w:color w:val="auto"/>
          <w:spacing w:val="14"/>
          <w:sz w:val="21"/>
          <w:szCs w:val="21"/>
          <w:lang w:val="en-US" w:bidi="ar-SA"/>
        </w:rPr>
        <w:t>年</w:t>
      </w:r>
      <w:r>
        <w:rPr>
          <w:rFonts w:hint="eastAsia" w:asciiTheme="minorEastAsia" w:hAnsiTheme="minorEastAsia" w:eastAsiaTheme="minorEastAsia" w:cstheme="minorEastAsia"/>
          <w:color w:val="auto"/>
          <w:spacing w:val="14"/>
          <w:sz w:val="21"/>
          <w:szCs w:val="21"/>
          <w:lang w:val="en-US" w:eastAsia="zh-CN" w:bidi="ar-SA"/>
        </w:rPr>
        <w:t>02</w:t>
      </w:r>
      <w:r>
        <w:rPr>
          <w:rFonts w:hint="eastAsia" w:asciiTheme="minorEastAsia" w:hAnsiTheme="minorEastAsia" w:eastAsiaTheme="minorEastAsia" w:cstheme="minorEastAsia"/>
          <w:color w:val="auto"/>
          <w:spacing w:val="14"/>
          <w:sz w:val="21"/>
          <w:szCs w:val="21"/>
          <w:lang w:val="en-US" w:bidi="ar-SA"/>
        </w:rPr>
        <w:t>月</w:t>
      </w:r>
      <w:r>
        <w:rPr>
          <w:rFonts w:hint="eastAsia" w:asciiTheme="minorEastAsia" w:hAnsiTheme="minorEastAsia" w:eastAsiaTheme="minorEastAsia" w:cstheme="minorEastAsia"/>
          <w:color w:val="auto"/>
          <w:spacing w:val="14"/>
          <w:sz w:val="21"/>
          <w:szCs w:val="21"/>
          <w:lang w:val="en-US" w:eastAsia="zh-CN" w:bidi="ar-SA"/>
        </w:rPr>
        <w:t>10</w:t>
      </w:r>
      <w:r>
        <w:rPr>
          <w:rFonts w:hint="eastAsia" w:asciiTheme="minorEastAsia" w:hAnsiTheme="minorEastAsia" w:eastAsiaTheme="minorEastAsia" w:cstheme="minorEastAsia"/>
          <w:color w:val="auto"/>
          <w:spacing w:val="14"/>
          <w:sz w:val="21"/>
          <w:szCs w:val="21"/>
          <w:lang w:val="en-US" w:bidi="ar-SA"/>
        </w:rPr>
        <w:t>日至202</w:t>
      </w:r>
      <w:r>
        <w:rPr>
          <w:rFonts w:hint="eastAsia" w:asciiTheme="minorEastAsia" w:hAnsiTheme="minorEastAsia" w:eastAsiaTheme="minorEastAsia" w:cstheme="minorEastAsia"/>
          <w:color w:val="auto"/>
          <w:spacing w:val="14"/>
          <w:sz w:val="21"/>
          <w:szCs w:val="21"/>
          <w:lang w:val="en-US" w:eastAsia="zh-CN" w:bidi="ar-SA"/>
        </w:rPr>
        <w:t>2</w:t>
      </w:r>
      <w:r>
        <w:rPr>
          <w:rFonts w:hint="eastAsia" w:asciiTheme="minorEastAsia" w:hAnsiTheme="minorEastAsia" w:eastAsiaTheme="minorEastAsia" w:cstheme="minorEastAsia"/>
          <w:color w:val="auto"/>
          <w:spacing w:val="14"/>
          <w:sz w:val="21"/>
          <w:szCs w:val="21"/>
          <w:lang w:val="en-US" w:bidi="ar-SA"/>
        </w:rPr>
        <w:t>年</w:t>
      </w:r>
      <w:r>
        <w:rPr>
          <w:rFonts w:hint="eastAsia" w:asciiTheme="minorEastAsia" w:hAnsiTheme="minorEastAsia" w:eastAsiaTheme="minorEastAsia" w:cstheme="minorEastAsia"/>
          <w:color w:val="auto"/>
          <w:spacing w:val="14"/>
          <w:sz w:val="21"/>
          <w:szCs w:val="21"/>
          <w:lang w:val="en-US" w:eastAsia="zh-CN" w:bidi="ar-SA"/>
        </w:rPr>
        <w:t>02</w:t>
      </w:r>
      <w:r>
        <w:rPr>
          <w:rFonts w:hint="eastAsia" w:asciiTheme="minorEastAsia" w:hAnsiTheme="minorEastAsia" w:eastAsiaTheme="minorEastAsia" w:cstheme="minorEastAsia"/>
          <w:color w:val="auto"/>
          <w:spacing w:val="14"/>
          <w:sz w:val="21"/>
          <w:szCs w:val="21"/>
          <w:lang w:val="en-US" w:bidi="ar-SA"/>
        </w:rPr>
        <w:t>月</w:t>
      </w:r>
      <w:r>
        <w:rPr>
          <w:rFonts w:hint="eastAsia" w:asciiTheme="minorEastAsia" w:hAnsiTheme="minorEastAsia" w:eastAsiaTheme="minorEastAsia" w:cstheme="minorEastAsia"/>
          <w:color w:val="auto"/>
          <w:spacing w:val="14"/>
          <w:sz w:val="21"/>
          <w:szCs w:val="21"/>
          <w:lang w:val="en-US" w:eastAsia="zh-CN" w:bidi="ar-SA"/>
        </w:rPr>
        <w:t>16</w:t>
      </w:r>
      <w:r>
        <w:rPr>
          <w:rFonts w:hint="eastAsia" w:asciiTheme="minorEastAsia" w:hAnsiTheme="minorEastAsia" w:eastAsiaTheme="minorEastAsia" w:cstheme="minorEastAsia"/>
          <w:color w:val="auto"/>
          <w:spacing w:val="14"/>
          <w:sz w:val="21"/>
          <w:szCs w:val="21"/>
          <w:lang w:val="en-US" w:bidi="ar-SA"/>
        </w:rPr>
        <w:t>日24:00，登录洛阳市公共资源交易中心网站，点击“交易登录”，选择“证书Key”方式登录，免费下载招标文件。如投多个标段，则应就所投每个标段分别下载获取。联合体投标的，由联合体牵头人完成招标文件下载。</w:t>
      </w:r>
    </w:p>
    <w:p>
      <w:pPr>
        <w:pStyle w:val="32"/>
        <w:widowControl/>
        <w:spacing w:line="360" w:lineRule="auto"/>
        <w:ind w:firstLine="561"/>
        <w:jc w:val="both"/>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3、获取招标文件后，请到洛阳市公共资源交易中心网站—办事指南—下载中心栏目下载并安装最新版本投标文件制作工具，查看招标文件和制作电子投标文件。</w:t>
      </w:r>
    </w:p>
    <w:p>
      <w:pPr>
        <w:pStyle w:val="32"/>
        <w:widowControl/>
        <w:spacing w:line="360" w:lineRule="auto"/>
        <w:ind w:firstLine="561"/>
        <w:jc w:val="both"/>
        <w:rPr>
          <w:rFonts w:asciiTheme="minorEastAsia" w:hAnsiTheme="minorEastAsia" w:eastAsiaTheme="minorEastAsia" w:cstheme="minorEastAsia"/>
          <w:b/>
          <w:color w:val="auto"/>
          <w:szCs w:val="24"/>
          <w:lang w:val="en-US"/>
        </w:rPr>
      </w:pPr>
      <w:r>
        <w:rPr>
          <w:rFonts w:hint="eastAsia" w:asciiTheme="minorEastAsia" w:hAnsiTheme="minorEastAsia" w:eastAsiaTheme="minorEastAsia" w:cstheme="minorEastAsia"/>
          <w:b/>
          <w:color w:val="auto"/>
          <w:szCs w:val="24"/>
          <w:lang w:val="en-US"/>
        </w:rPr>
        <w:t>五、投标文件的递交</w:t>
      </w:r>
    </w:p>
    <w:p>
      <w:pPr>
        <w:pStyle w:val="32"/>
        <w:widowControl/>
        <w:spacing w:line="360" w:lineRule="auto"/>
        <w:ind w:firstLine="561"/>
        <w:jc w:val="both"/>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1、投标文件递交的截止时间（投标截止时间）为202</w:t>
      </w:r>
      <w:r>
        <w:rPr>
          <w:rFonts w:hint="eastAsia" w:asciiTheme="minorEastAsia" w:hAnsiTheme="minorEastAsia" w:eastAsiaTheme="minorEastAsia" w:cstheme="minorEastAsia"/>
          <w:color w:val="auto"/>
          <w:spacing w:val="14"/>
          <w:sz w:val="21"/>
          <w:szCs w:val="21"/>
          <w:lang w:val="en-US" w:eastAsia="zh-CN" w:bidi="ar-SA"/>
        </w:rPr>
        <w:t>2</w:t>
      </w:r>
      <w:r>
        <w:rPr>
          <w:rFonts w:hint="eastAsia" w:asciiTheme="minorEastAsia" w:hAnsiTheme="minorEastAsia" w:eastAsiaTheme="minorEastAsia" w:cstheme="minorEastAsia"/>
          <w:color w:val="auto"/>
          <w:spacing w:val="14"/>
          <w:sz w:val="21"/>
          <w:szCs w:val="21"/>
          <w:lang w:val="en-US" w:bidi="ar-SA"/>
        </w:rPr>
        <w:t>年</w:t>
      </w:r>
      <w:r>
        <w:rPr>
          <w:rFonts w:hint="eastAsia" w:asciiTheme="minorEastAsia" w:hAnsiTheme="minorEastAsia" w:eastAsiaTheme="minorEastAsia" w:cstheme="minorEastAsia"/>
          <w:color w:val="auto"/>
          <w:spacing w:val="14"/>
          <w:sz w:val="21"/>
          <w:szCs w:val="21"/>
          <w:lang w:val="en-US" w:eastAsia="zh-CN" w:bidi="ar-SA"/>
        </w:rPr>
        <w:t>3</w:t>
      </w:r>
      <w:r>
        <w:rPr>
          <w:rFonts w:hint="eastAsia" w:asciiTheme="minorEastAsia" w:hAnsiTheme="minorEastAsia" w:eastAsiaTheme="minorEastAsia" w:cstheme="minorEastAsia"/>
          <w:color w:val="auto"/>
          <w:spacing w:val="14"/>
          <w:sz w:val="21"/>
          <w:szCs w:val="21"/>
          <w:lang w:val="en-US" w:bidi="ar-SA"/>
        </w:rPr>
        <w:t>月</w:t>
      </w:r>
      <w:r>
        <w:rPr>
          <w:rFonts w:hint="eastAsia" w:asciiTheme="minorEastAsia" w:hAnsiTheme="minorEastAsia" w:eastAsiaTheme="minorEastAsia" w:cstheme="minorEastAsia"/>
          <w:color w:val="auto"/>
          <w:spacing w:val="14"/>
          <w:sz w:val="21"/>
          <w:szCs w:val="21"/>
          <w:lang w:val="en-US" w:eastAsia="zh-CN" w:bidi="ar-SA"/>
        </w:rPr>
        <w:t>2</w:t>
      </w:r>
      <w:r>
        <w:rPr>
          <w:rFonts w:hint="eastAsia" w:asciiTheme="minorEastAsia" w:hAnsiTheme="minorEastAsia" w:eastAsiaTheme="minorEastAsia" w:cstheme="minorEastAsia"/>
          <w:color w:val="auto"/>
          <w:spacing w:val="14"/>
          <w:sz w:val="21"/>
          <w:szCs w:val="21"/>
          <w:lang w:val="en-US" w:bidi="ar-SA"/>
        </w:rPr>
        <w:t>日09时30分 (北京时间)。</w:t>
      </w:r>
    </w:p>
    <w:p>
      <w:pPr>
        <w:pStyle w:val="32"/>
        <w:widowControl/>
        <w:spacing w:line="360" w:lineRule="auto"/>
        <w:ind w:firstLine="561"/>
        <w:jc w:val="both"/>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2、投标文件接收地点及开标地点为涧西区公共资源交易中心开标</w:t>
      </w:r>
      <w:r>
        <w:rPr>
          <w:rFonts w:hint="eastAsia" w:asciiTheme="minorEastAsia" w:hAnsiTheme="minorEastAsia" w:eastAsiaTheme="minorEastAsia" w:cstheme="minorEastAsia"/>
          <w:color w:val="auto"/>
          <w:spacing w:val="14"/>
          <w:sz w:val="21"/>
          <w:szCs w:val="21"/>
          <w:lang w:val="en-US" w:eastAsia="zh-CN" w:bidi="ar-SA"/>
        </w:rPr>
        <w:t>二</w:t>
      </w:r>
      <w:r>
        <w:rPr>
          <w:rFonts w:hint="eastAsia" w:asciiTheme="minorEastAsia" w:hAnsiTheme="minorEastAsia" w:eastAsiaTheme="minorEastAsia" w:cstheme="minorEastAsia"/>
          <w:color w:val="auto"/>
          <w:spacing w:val="14"/>
          <w:sz w:val="21"/>
          <w:szCs w:val="21"/>
          <w:lang w:val="en-US" w:bidi="ar-SA"/>
        </w:rPr>
        <w:t>室（涧西区天津路联盟路口北100米路东涧西区天津路办公楼）。</w:t>
      </w:r>
    </w:p>
    <w:p>
      <w:pPr>
        <w:pStyle w:val="32"/>
        <w:widowControl/>
        <w:spacing w:line="360" w:lineRule="auto"/>
        <w:ind w:firstLine="561"/>
        <w:jc w:val="both"/>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3、投标人应在投标截止时间前，通过互联网使用CA数字证书登录洛阳市公共资源交易中心网站，将加密的投标文件上传至“洛阳市电子招投标交易平台”指定位置，上传成功后将得到上传成功的确认。投标人应充分考虑上传文件时的不可预见因素，未在投标截止时间前完成上传的，视为逾期送达，洛阳市电子招投标交易平台将拒绝接收。</w:t>
      </w:r>
    </w:p>
    <w:p>
      <w:pPr>
        <w:pStyle w:val="32"/>
        <w:widowControl/>
        <w:spacing w:line="360" w:lineRule="auto"/>
        <w:ind w:firstLine="561"/>
        <w:jc w:val="both"/>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4、本项目采用远程不见面交易的模式，开标当日，投标人无需到开标现场参加开标会议，投标人应当在投标截止时间前，登录到洛阳市电子招投标交易平台（</w:t>
      </w:r>
      <w:r>
        <w:rPr>
          <w:rFonts w:hint="eastAsia" w:asciiTheme="minorEastAsia" w:hAnsiTheme="minorEastAsia" w:eastAsiaTheme="minorEastAsia" w:cstheme="minorEastAsia"/>
          <w:color w:val="auto"/>
          <w:spacing w:val="14"/>
          <w:sz w:val="21"/>
          <w:szCs w:val="21"/>
          <w:lang w:val="en-US" w:eastAsia="zh-CN" w:bidi="ar-SA"/>
        </w:rPr>
        <w:t>http://lyggzyjy.ly.gov.cn/TPBidder</w:t>
      </w:r>
      <w:r>
        <w:rPr>
          <w:rFonts w:hint="eastAsia" w:asciiTheme="minorEastAsia" w:hAnsiTheme="minorEastAsia" w:eastAsiaTheme="minorEastAsia" w:cstheme="minorEastAsia"/>
          <w:color w:val="auto"/>
          <w:spacing w:val="14"/>
          <w:sz w:val="21"/>
          <w:szCs w:val="21"/>
          <w:lang w:val="en-US" w:bidi="ar-SA"/>
        </w:rPr>
        <w:t>），点击右上方【不见面开标大厅】按钮进入，在线准时参加开标活动并进行投标文件解密等。因投标人原因未能解密、解密失败或解密超时的将被拒绝。请参照洛阳市公共资源交易中心首页-办事指南-下载中心-操作手册-《洛阳市公共资源交易中心不见面开标大厅操作手册（投标人）》。</w:t>
      </w:r>
    </w:p>
    <w:p>
      <w:pPr>
        <w:pStyle w:val="32"/>
        <w:widowControl/>
        <w:spacing w:line="360" w:lineRule="auto"/>
        <w:ind w:firstLine="561"/>
        <w:jc w:val="both"/>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5、除电子投标文件外，投标时不再接受任何纸质文件、资料等。逾期送达的或者未送达指定地点的投标文件，招标人不予受理。</w:t>
      </w:r>
    </w:p>
    <w:p>
      <w:pPr>
        <w:pStyle w:val="32"/>
        <w:widowControl/>
        <w:spacing w:line="360" w:lineRule="auto"/>
        <w:ind w:firstLine="561"/>
        <w:jc w:val="both"/>
        <w:rPr>
          <w:rFonts w:asciiTheme="minorEastAsia" w:hAnsiTheme="minorEastAsia" w:eastAsiaTheme="minorEastAsia" w:cstheme="minorEastAsia"/>
          <w:b/>
          <w:color w:val="auto"/>
          <w:szCs w:val="24"/>
          <w:lang w:val="en-US"/>
        </w:rPr>
      </w:pPr>
      <w:r>
        <w:rPr>
          <w:rFonts w:hint="eastAsia" w:asciiTheme="minorEastAsia" w:hAnsiTheme="minorEastAsia" w:eastAsiaTheme="minorEastAsia" w:cstheme="minorEastAsia"/>
          <w:b/>
          <w:color w:val="auto"/>
          <w:szCs w:val="24"/>
          <w:lang w:val="en-US"/>
        </w:rPr>
        <w:t>六、发布公告的媒体</w:t>
      </w:r>
    </w:p>
    <w:p>
      <w:pPr>
        <w:pStyle w:val="32"/>
        <w:widowControl/>
        <w:spacing w:line="360" w:lineRule="auto"/>
        <w:ind w:firstLine="561"/>
        <w:jc w:val="both"/>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1、本次招标公告同时在《中国招标投标公共服务平台》、《河南省电子招标投标公共服务平台》、《河南省（洛阳市）政府采购网》、《洛阳市公共资源交易中心网》上发布。</w:t>
      </w:r>
    </w:p>
    <w:p>
      <w:pPr>
        <w:pStyle w:val="32"/>
        <w:widowControl/>
        <w:spacing w:line="360" w:lineRule="auto"/>
        <w:ind w:firstLine="561"/>
        <w:jc w:val="both"/>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2、投标人在参与本项目招标采购活动期间应及时关注本网站获取相关澄清或变更等信息。</w:t>
      </w:r>
    </w:p>
    <w:p>
      <w:pPr>
        <w:pStyle w:val="32"/>
        <w:widowControl/>
        <w:spacing w:line="360" w:lineRule="auto"/>
        <w:ind w:firstLine="561"/>
        <w:jc w:val="both"/>
        <w:rPr>
          <w:rFonts w:asciiTheme="minorEastAsia" w:hAnsiTheme="minorEastAsia" w:eastAsiaTheme="minorEastAsia" w:cstheme="minorEastAsia"/>
          <w:b/>
          <w:color w:val="auto"/>
          <w:szCs w:val="24"/>
          <w:lang w:val="en-US"/>
        </w:rPr>
      </w:pPr>
      <w:r>
        <w:rPr>
          <w:rFonts w:hint="eastAsia" w:asciiTheme="minorEastAsia" w:hAnsiTheme="minorEastAsia" w:eastAsiaTheme="minorEastAsia" w:cstheme="minorEastAsia"/>
          <w:b/>
          <w:color w:val="auto"/>
          <w:szCs w:val="24"/>
          <w:lang w:val="en-US"/>
        </w:rPr>
        <w:t>七、联系方式</w:t>
      </w:r>
    </w:p>
    <w:p>
      <w:pPr>
        <w:pStyle w:val="32"/>
        <w:widowControl/>
        <w:spacing w:line="360" w:lineRule="auto"/>
        <w:ind w:firstLine="561"/>
        <w:jc w:val="both"/>
        <w:rPr>
          <w:rFonts w:asciiTheme="minorEastAsia" w:hAnsiTheme="minorEastAsia" w:eastAsiaTheme="minorEastAsia" w:cstheme="minorEastAsia"/>
          <w:color w:val="auto"/>
          <w:spacing w:val="14"/>
          <w:sz w:val="21"/>
          <w:szCs w:val="21"/>
          <w:highlight w:val="none"/>
          <w:lang w:val="en-US" w:bidi="ar-SA"/>
        </w:rPr>
      </w:pPr>
      <w:r>
        <w:rPr>
          <w:rFonts w:hint="eastAsia" w:asciiTheme="minorEastAsia" w:hAnsiTheme="minorEastAsia" w:eastAsiaTheme="minorEastAsia" w:cstheme="minorEastAsia"/>
          <w:color w:val="auto"/>
          <w:spacing w:val="14"/>
          <w:sz w:val="21"/>
          <w:szCs w:val="21"/>
          <w:highlight w:val="none"/>
          <w:lang w:val="en-US" w:bidi="ar-SA"/>
        </w:rPr>
        <w:t>招 标 人：洛阳市涧西区住房和城乡建设局</w:t>
      </w:r>
    </w:p>
    <w:p>
      <w:pPr>
        <w:pStyle w:val="32"/>
        <w:widowControl/>
        <w:spacing w:line="360" w:lineRule="auto"/>
        <w:ind w:firstLine="561"/>
        <w:jc w:val="both"/>
        <w:rPr>
          <w:rFonts w:hint="default" w:asciiTheme="minorEastAsia" w:hAnsiTheme="minorEastAsia" w:eastAsiaTheme="minorEastAsia" w:cstheme="minorEastAsia"/>
          <w:color w:val="auto"/>
          <w:spacing w:val="14"/>
          <w:sz w:val="21"/>
          <w:szCs w:val="21"/>
          <w:highlight w:val="none"/>
          <w:lang w:val="en-US" w:eastAsia="zh-CN" w:bidi="ar-SA"/>
        </w:rPr>
      </w:pPr>
      <w:r>
        <w:rPr>
          <w:rFonts w:hint="eastAsia" w:asciiTheme="minorEastAsia" w:hAnsiTheme="minorEastAsia" w:eastAsiaTheme="minorEastAsia" w:cstheme="minorEastAsia"/>
          <w:color w:val="auto"/>
          <w:spacing w:val="14"/>
          <w:sz w:val="21"/>
          <w:szCs w:val="21"/>
          <w:highlight w:val="none"/>
          <w:lang w:val="en-US" w:bidi="ar-SA"/>
        </w:rPr>
        <w:t>地 址：</w:t>
      </w:r>
      <w:r>
        <w:rPr>
          <w:rFonts w:hint="eastAsia" w:asciiTheme="minorEastAsia" w:hAnsiTheme="minorEastAsia" w:eastAsiaTheme="minorEastAsia" w:cstheme="minorEastAsia"/>
          <w:color w:val="auto"/>
          <w:spacing w:val="14"/>
          <w:sz w:val="21"/>
          <w:szCs w:val="21"/>
          <w:highlight w:val="none"/>
          <w:lang w:val="en-US" w:eastAsia="zh-CN" w:bidi="ar-SA"/>
        </w:rPr>
        <w:t>洛阳市涧西区太原路58号</w:t>
      </w:r>
    </w:p>
    <w:p>
      <w:pPr>
        <w:pStyle w:val="32"/>
        <w:widowControl/>
        <w:spacing w:line="360" w:lineRule="auto"/>
        <w:ind w:firstLine="561"/>
        <w:jc w:val="both"/>
        <w:rPr>
          <w:rFonts w:hint="eastAsia" w:asciiTheme="minorEastAsia" w:hAnsiTheme="minorEastAsia" w:eastAsiaTheme="minorEastAsia" w:cstheme="minorEastAsia"/>
          <w:color w:val="auto"/>
          <w:spacing w:val="14"/>
          <w:sz w:val="21"/>
          <w:szCs w:val="21"/>
          <w:highlight w:val="none"/>
          <w:lang w:val="en-US" w:eastAsia="zh-CN" w:bidi="ar-SA"/>
        </w:rPr>
      </w:pPr>
      <w:r>
        <w:rPr>
          <w:rFonts w:hint="eastAsia" w:asciiTheme="minorEastAsia" w:hAnsiTheme="minorEastAsia" w:eastAsiaTheme="minorEastAsia" w:cstheme="minorEastAsia"/>
          <w:color w:val="auto"/>
          <w:spacing w:val="14"/>
          <w:sz w:val="21"/>
          <w:szCs w:val="21"/>
          <w:highlight w:val="none"/>
          <w:lang w:val="en-US" w:bidi="ar-SA"/>
        </w:rPr>
        <w:t>联 系 人：</w:t>
      </w:r>
      <w:r>
        <w:rPr>
          <w:rFonts w:hint="eastAsia" w:asciiTheme="minorEastAsia" w:hAnsiTheme="minorEastAsia" w:eastAsiaTheme="minorEastAsia" w:cstheme="minorEastAsia"/>
          <w:color w:val="auto"/>
          <w:spacing w:val="14"/>
          <w:sz w:val="21"/>
          <w:szCs w:val="21"/>
          <w:highlight w:val="none"/>
          <w:lang w:val="en-US" w:eastAsia="zh-CN" w:bidi="ar-SA"/>
        </w:rPr>
        <w:t>杜女士</w:t>
      </w:r>
    </w:p>
    <w:p>
      <w:pPr>
        <w:pStyle w:val="32"/>
        <w:widowControl/>
        <w:spacing w:line="360" w:lineRule="auto"/>
        <w:ind w:firstLine="561"/>
        <w:jc w:val="both"/>
        <w:rPr>
          <w:rFonts w:hint="eastAsia" w:asciiTheme="minorEastAsia" w:hAnsiTheme="minorEastAsia" w:eastAsiaTheme="minorEastAsia" w:cstheme="minorEastAsia"/>
          <w:color w:val="auto"/>
          <w:spacing w:val="14"/>
          <w:sz w:val="21"/>
          <w:szCs w:val="21"/>
          <w:highlight w:val="none"/>
          <w:lang w:val="en-US" w:eastAsia="zh-CN" w:bidi="ar-SA"/>
        </w:rPr>
      </w:pPr>
      <w:r>
        <w:rPr>
          <w:rFonts w:hint="eastAsia" w:asciiTheme="minorEastAsia" w:hAnsiTheme="minorEastAsia" w:eastAsiaTheme="minorEastAsia" w:cstheme="minorEastAsia"/>
          <w:color w:val="auto"/>
          <w:spacing w:val="14"/>
          <w:sz w:val="21"/>
          <w:szCs w:val="21"/>
          <w:highlight w:val="none"/>
          <w:lang w:val="en-US" w:bidi="ar-SA"/>
        </w:rPr>
        <w:t>电 话：0379-</w:t>
      </w:r>
      <w:r>
        <w:rPr>
          <w:rFonts w:hint="eastAsia" w:asciiTheme="minorEastAsia" w:hAnsiTheme="minorEastAsia" w:eastAsiaTheme="minorEastAsia" w:cstheme="minorEastAsia"/>
          <w:color w:val="auto"/>
          <w:spacing w:val="14"/>
          <w:sz w:val="21"/>
          <w:szCs w:val="21"/>
          <w:highlight w:val="none"/>
          <w:lang w:val="en-US" w:eastAsia="zh-CN" w:bidi="ar-SA"/>
        </w:rPr>
        <w:t>64232660</w:t>
      </w:r>
    </w:p>
    <w:p>
      <w:pPr>
        <w:pStyle w:val="32"/>
        <w:widowControl/>
        <w:spacing w:line="360" w:lineRule="auto"/>
        <w:ind w:firstLine="561"/>
        <w:jc w:val="both"/>
        <w:rPr>
          <w:rFonts w:hint="eastAsia" w:asciiTheme="minorEastAsia" w:hAnsiTheme="minorEastAsia" w:eastAsiaTheme="minorEastAsia" w:cstheme="minorEastAsia"/>
          <w:color w:val="auto"/>
          <w:spacing w:val="14"/>
          <w:sz w:val="21"/>
          <w:szCs w:val="21"/>
          <w:lang w:val="en-US" w:eastAsia="zh-CN" w:bidi="ar-SA"/>
        </w:rPr>
      </w:pPr>
      <w:r>
        <w:rPr>
          <w:rFonts w:hint="eastAsia" w:asciiTheme="minorEastAsia" w:hAnsiTheme="minorEastAsia" w:eastAsiaTheme="minorEastAsia" w:cstheme="minorEastAsia"/>
          <w:color w:val="auto"/>
          <w:spacing w:val="14"/>
          <w:sz w:val="21"/>
          <w:szCs w:val="21"/>
          <w:lang w:val="en-US" w:bidi="ar-SA"/>
        </w:rPr>
        <w:t>代理机构：</w:t>
      </w:r>
      <w:r>
        <w:rPr>
          <w:rFonts w:hint="eastAsia" w:asciiTheme="minorEastAsia" w:hAnsiTheme="minorEastAsia" w:eastAsiaTheme="minorEastAsia" w:cstheme="minorEastAsia"/>
          <w:color w:val="auto"/>
          <w:spacing w:val="14"/>
          <w:sz w:val="21"/>
          <w:szCs w:val="21"/>
          <w:lang w:val="en-US" w:eastAsia="zh-CN" w:bidi="ar-SA"/>
        </w:rPr>
        <w:t>河南恒强工程管理咨询有限公司</w:t>
      </w:r>
    </w:p>
    <w:p>
      <w:pPr>
        <w:pStyle w:val="32"/>
        <w:widowControl/>
        <w:spacing w:line="360" w:lineRule="auto"/>
        <w:ind w:firstLine="561"/>
        <w:jc w:val="both"/>
        <w:rPr>
          <w:rFonts w:hint="eastAsia" w:asciiTheme="minorEastAsia" w:hAnsiTheme="minorEastAsia" w:eastAsiaTheme="minorEastAsia" w:cstheme="minorEastAsia"/>
          <w:color w:val="auto"/>
          <w:spacing w:val="14"/>
          <w:sz w:val="21"/>
          <w:szCs w:val="21"/>
          <w:lang w:val="en-US" w:eastAsia="zh-CN" w:bidi="ar-SA"/>
        </w:rPr>
      </w:pPr>
      <w:r>
        <w:rPr>
          <w:rFonts w:hint="eastAsia" w:asciiTheme="minorEastAsia" w:hAnsiTheme="minorEastAsia" w:eastAsiaTheme="minorEastAsia" w:cstheme="minorEastAsia"/>
          <w:color w:val="auto"/>
          <w:spacing w:val="14"/>
          <w:sz w:val="21"/>
          <w:szCs w:val="21"/>
          <w:lang w:val="en-US" w:bidi="ar-SA"/>
        </w:rPr>
        <w:t>地 址：</w:t>
      </w:r>
      <w:r>
        <w:rPr>
          <w:rFonts w:hint="eastAsia" w:asciiTheme="minorEastAsia" w:hAnsiTheme="minorEastAsia" w:eastAsiaTheme="minorEastAsia" w:cstheme="minorEastAsia"/>
          <w:color w:val="auto"/>
          <w:spacing w:val="14"/>
          <w:sz w:val="21"/>
          <w:szCs w:val="21"/>
          <w:lang w:val="en-US" w:eastAsia="zh-CN" w:bidi="ar-SA"/>
        </w:rPr>
        <w:t>洛阳市洛龙区建业左岸国际A座1208室</w:t>
      </w:r>
    </w:p>
    <w:p>
      <w:pPr>
        <w:pStyle w:val="32"/>
        <w:widowControl/>
        <w:spacing w:line="360" w:lineRule="auto"/>
        <w:ind w:firstLine="561"/>
        <w:jc w:val="both"/>
        <w:rPr>
          <w:rFonts w:hint="eastAsia" w:asciiTheme="minorEastAsia" w:hAnsiTheme="minorEastAsia" w:eastAsiaTheme="minorEastAsia" w:cstheme="minorEastAsia"/>
          <w:color w:val="auto"/>
          <w:spacing w:val="14"/>
          <w:sz w:val="21"/>
          <w:szCs w:val="21"/>
          <w:lang w:val="en-US" w:eastAsia="zh-CN" w:bidi="ar-SA"/>
        </w:rPr>
      </w:pPr>
      <w:r>
        <w:rPr>
          <w:rFonts w:hint="eastAsia" w:asciiTheme="minorEastAsia" w:hAnsiTheme="minorEastAsia" w:eastAsiaTheme="minorEastAsia" w:cstheme="minorEastAsia"/>
          <w:color w:val="auto"/>
          <w:spacing w:val="14"/>
          <w:sz w:val="21"/>
          <w:szCs w:val="21"/>
          <w:lang w:val="en-US" w:bidi="ar-SA"/>
        </w:rPr>
        <w:t>联 系 人：</w:t>
      </w:r>
      <w:r>
        <w:rPr>
          <w:rFonts w:hint="eastAsia" w:asciiTheme="minorEastAsia" w:hAnsiTheme="minorEastAsia" w:eastAsiaTheme="minorEastAsia" w:cstheme="minorEastAsia"/>
          <w:color w:val="auto"/>
          <w:spacing w:val="14"/>
          <w:sz w:val="21"/>
          <w:szCs w:val="21"/>
          <w:lang w:val="en-US" w:eastAsia="zh-CN" w:bidi="ar-SA"/>
        </w:rPr>
        <w:t>刘先生</w:t>
      </w:r>
    </w:p>
    <w:p>
      <w:pPr>
        <w:pStyle w:val="32"/>
        <w:widowControl/>
        <w:spacing w:line="360" w:lineRule="auto"/>
        <w:ind w:firstLine="561"/>
        <w:jc w:val="both"/>
        <w:rPr>
          <w:rFonts w:hint="eastAsia" w:asciiTheme="minorEastAsia" w:hAnsiTheme="minorEastAsia" w:eastAsiaTheme="minorEastAsia" w:cstheme="minorEastAsia"/>
          <w:color w:val="auto"/>
          <w:spacing w:val="14"/>
          <w:sz w:val="21"/>
          <w:szCs w:val="21"/>
          <w:lang w:val="en-US" w:eastAsia="zh-CN" w:bidi="ar-SA"/>
        </w:rPr>
      </w:pPr>
      <w:r>
        <w:rPr>
          <w:rFonts w:hint="eastAsia" w:asciiTheme="minorEastAsia" w:hAnsiTheme="minorEastAsia" w:eastAsiaTheme="minorEastAsia" w:cstheme="minorEastAsia"/>
          <w:color w:val="auto"/>
          <w:spacing w:val="14"/>
          <w:sz w:val="21"/>
          <w:szCs w:val="21"/>
          <w:lang w:val="en-US" w:bidi="ar-SA"/>
        </w:rPr>
        <w:t>电 话：</w:t>
      </w:r>
      <w:r>
        <w:rPr>
          <w:rFonts w:hint="eastAsia" w:asciiTheme="minorEastAsia" w:hAnsiTheme="minorEastAsia" w:eastAsiaTheme="minorEastAsia" w:cstheme="minorEastAsia"/>
          <w:color w:val="auto"/>
          <w:spacing w:val="14"/>
          <w:sz w:val="21"/>
          <w:szCs w:val="21"/>
          <w:lang w:val="en-US" w:eastAsia="zh-CN" w:bidi="ar-SA"/>
        </w:rPr>
        <w:t>0379-65551208</w:t>
      </w:r>
    </w:p>
    <w:p>
      <w:pPr>
        <w:pStyle w:val="32"/>
        <w:widowControl/>
        <w:spacing w:line="360" w:lineRule="auto"/>
        <w:ind w:firstLine="561"/>
        <w:jc w:val="both"/>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监管部门：洛阳市涧西区财政局</w:t>
      </w:r>
    </w:p>
    <w:p>
      <w:pPr>
        <w:pStyle w:val="32"/>
        <w:widowControl/>
        <w:spacing w:line="360" w:lineRule="auto"/>
        <w:ind w:firstLine="561"/>
        <w:jc w:val="both"/>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监管部门联系人：洛阳市涧西区财政局</w:t>
      </w:r>
    </w:p>
    <w:p>
      <w:pPr>
        <w:pStyle w:val="32"/>
        <w:widowControl/>
        <w:spacing w:line="360" w:lineRule="auto"/>
        <w:ind w:firstLine="561"/>
        <w:jc w:val="both"/>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监管部门联系方式：0379-64823351</w:t>
      </w:r>
    </w:p>
    <w:p>
      <w:pPr>
        <w:snapToGrid w:val="0"/>
        <w:spacing w:line="440" w:lineRule="exact"/>
        <w:ind w:firstLine="476" w:firstLineChars="200"/>
        <w:jc w:val="right"/>
        <w:rPr>
          <w:rFonts w:asciiTheme="minorEastAsia" w:hAnsiTheme="minorEastAsia" w:eastAsiaTheme="minorEastAsia" w:cstheme="minorEastAsia"/>
          <w:color w:val="auto"/>
          <w:spacing w:val="14"/>
          <w:kern w:val="0"/>
          <w:szCs w:val="21"/>
        </w:rPr>
      </w:pPr>
    </w:p>
    <w:p>
      <w:pPr>
        <w:snapToGrid w:val="0"/>
        <w:spacing w:line="440" w:lineRule="exact"/>
        <w:ind w:firstLine="476" w:firstLineChars="200"/>
        <w:jc w:val="right"/>
        <w:rPr>
          <w:rFonts w:asciiTheme="minorEastAsia" w:hAnsiTheme="minorEastAsia" w:eastAsiaTheme="minorEastAsia" w:cstheme="minorEastAsia"/>
          <w:color w:val="auto"/>
          <w:spacing w:val="14"/>
          <w:kern w:val="0"/>
          <w:szCs w:val="21"/>
        </w:rPr>
      </w:pPr>
    </w:p>
    <w:p>
      <w:pPr>
        <w:snapToGrid w:val="0"/>
        <w:spacing w:line="440" w:lineRule="exact"/>
        <w:ind w:firstLine="476" w:firstLineChars="200"/>
        <w:jc w:val="right"/>
        <w:rPr>
          <w:rFonts w:ascii="宋体" w:hAnsi="宋体"/>
          <w:color w:val="auto"/>
          <w:szCs w:val="21"/>
        </w:rPr>
      </w:pPr>
      <w:r>
        <w:rPr>
          <w:rFonts w:hint="eastAsia" w:asciiTheme="minorEastAsia" w:hAnsiTheme="minorEastAsia" w:eastAsiaTheme="minorEastAsia" w:cstheme="minorEastAsia"/>
          <w:color w:val="auto"/>
          <w:spacing w:val="14"/>
          <w:kern w:val="0"/>
          <w:szCs w:val="21"/>
        </w:rPr>
        <w:t>202</w:t>
      </w:r>
      <w:r>
        <w:rPr>
          <w:rFonts w:hint="eastAsia" w:asciiTheme="minorEastAsia" w:hAnsiTheme="minorEastAsia" w:eastAsiaTheme="minorEastAsia" w:cstheme="minorEastAsia"/>
          <w:color w:val="auto"/>
          <w:spacing w:val="14"/>
          <w:kern w:val="0"/>
          <w:szCs w:val="21"/>
          <w:lang w:val="en-US" w:eastAsia="zh-CN"/>
        </w:rPr>
        <w:t>2</w:t>
      </w:r>
      <w:r>
        <w:rPr>
          <w:rFonts w:hint="eastAsia" w:asciiTheme="minorEastAsia" w:hAnsiTheme="minorEastAsia" w:eastAsiaTheme="minorEastAsia" w:cstheme="minorEastAsia"/>
          <w:color w:val="auto"/>
          <w:spacing w:val="14"/>
          <w:kern w:val="0"/>
          <w:szCs w:val="21"/>
        </w:rPr>
        <w:t>年</w:t>
      </w:r>
      <w:r>
        <w:rPr>
          <w:rFonts w:hint="eastAsia" w:asciiTheme="minorEastAsia" w:hAnsiTheme="minorEastAsia" w:eastAsiaTheme="minorEastAsia" w:cstheme="minorEastAsia"/>
          <w:color w:val="auto"/>
          <w:spacing w:val="14"/>
          <w:kern w:val="0"/>
          <w:szCs w:val="21"/>
          <w:lang w:val="en-US" w:eastAsia="zh-CN"/>
        </w:rPr>
        <w:t>02</w:t>
      </w:r>
      <w:r>
        <w:rPr>
          <w:rFonts w:hint="eastAsia" w:asciiTheme="minorEastAsia" w:hAnsiTheme="minorEastAsia" w:eastAsiaTheme="minorEastAsia" w:cstheme="minorEastAsia"/>
          <w:color w:val="auto"/>
          <w:spacing w:val="14"/>
          <w:kern w:val="0"/>
          <w:szCs w:val="21"/>
        </w:rPr>
        <w:t>月</w:t>
      </w:r>
      <w:r>
        <w:rPr>
          <w:rFonts w:hint="eastAsia" w:asciiTheme="minorEastAsia" w:hAnsiTheme="minorEastAsia" w:eastAsiaTheme="minorEastAsia" w:cstheme="minorEastAsia"/>
          <w:color w:val="auto"/>
          <w:spacing w:val="14"/>
          <w:kern w:val="0"/>
          <w:szCs w:val="21"/>
          <w:lang w:val="en-US" w:eastAsia="zh-CN"/>
        </w:rPr>
        <w:t>09</w:t>
      </w:r>
      <w:r>
        <w:rPr>
          <w:rFonts w:hint="eastAsia" w:asciiTheme="minorEastAsia" w:hAnsiTheme="minorEastAsia" w:eastAsiaTheme="minorEastAsia" w:cstheme="minorEastAsia"/>
          <w:color w:val="auto"/>
          <w:spacing w:val="14"/>
          <w:kern w:val="0"/>
          <w:szCs w:val="21"/>
        </w:rPr>
        <w:t>日</w:t>
      </w:r>
    </w:p>
    <w:p>
      <w:pPr>
        <w:jc w:val="right"/>
        <w:rPr>
          <w:color w:val="auto"/>
        </w:rPr>
      </w:pPr>
    </w:p>
    <w:p>
      <w:pPr>
        <w:widowControl/>
        <w:jc w:val="left"/>
        <w:rPr>
          <w:color w:val="auto"/>
        </w:rPr>
      </w:pPr>
      <w:r>
        <w:rPr>
          <w:color w:val="auto"/>
        </w:rPr>
        <w:br w:type="page"/>
      </w:r>
    </w:p>
    <w:p>
      <w:pPr>
        <w:pStyle w:val="4"/>
        <w:keepNext w:val="0"/>
        <w:keepLines w:val="0"/>
        <w:spacing w:after="120" w:line="240" w:lineRule="auto"/>
        <w:jc w:val="center"/>
        <w:rPr>
          <w:rFonts w:ascii="黑体" w:hAnsi="黑体" w:eastAsia="黑体"/>
          <w:b w:val="0"/>
          <w:color w:val="auto"/>
          <w:sz w:val="32"/>
          <w:szCs w:val="32"/>
        </w:rPr>
      </w:pPr>
      <w:bookmarkStart w:id="7" w:name="_Toc5489"/>
      <w:r>
        <w:rPr>
          <w:rFonts w:hint="eastAsia" w:ascii="黑体" w:hAnsi="黑体" w:eastAsia="黑体"/>
          <w:b w:val="0"/>
          <w:color w:val="auto"/>
          <w:sz w:val="32"/>
          <w:szCs w:val="32"/>
        </w:rPr>
        <w:t xml:space="preserve">第二章 </w:t>
      </w:r>
      <w:r>
        <w:rPr>
          <w:rFonts w:hint="eastAsia" w:ascii="黑体" w:hAnsi="黑体" w:eastAsia="黑体"/>
          <w:b w:val="0"/>
          <w:color w:val="auto"/>
          <w:sz w:val="32"/>
          <w:szCs w:val="32"/>
          <w:lang w:val="en-US" w:eastAsia="zh-CN"/>
        </w:rPr>
        <w:t xml:space="preserve"> </w:t>
      </w:r>
      <w:r>
        <w:rPr>
          <w:rFonts w:hint="eastAsia" w:ascii="黑体" w:hAnsi="黑体" w:eastAsia="黑体"/>
          <w:b w:val="0"/>
          <w:color w:val="auto"/>
          <w:sz w:val="32"/>
          <w:szCs w:val="32"/>
        </w:rPr>
        <w:t>投标人须知</w:t>
      </w:r>
      <w:bookmarkEnd w:id="2"/>
      <w:bookmarkEnd w:id="3"/>
      <w:bookmarkEnd w:id="4"/>
      <w:bookmarkEnd w:id="5"/>
      <w:bookmarkEnd w:id="7"/>
    </w:p>
    <w:p>
      <w:pPr>
        <w:pStyle w:val="66"/>
        <w:jc w:val="center"/>
        <w:rPr>
          <w:color w:val="auto"/>
        </w:rPr>
      </w:pPr>
      <w:bookmarkStart w:id="8" w:name="_Toc152045528"/>
      <w:bookmarkStart w:id="9" w:name="_Toc8423528"/>
      <w:bookmarkStart w:id="10" w:name="_Toc152042304"/>
      <w:bookmarkStart w:id="11" w:name="_Toc144974496"/>
      <w:r>
        <w:rPr>
          <w:rFonts w:hint="eastAsia"/>
          <w:color w:val="auto"/>
        </w:rPr>
        <w:t>投标人须知前附表</w:t>
      </w:r>
      <w:bookmarkEnd w:id="8"/>
      <w:bookmarkEnd w:id="9"/>
      <w:bookmarkEnd w:id="10"/>
      <w:bookmarkEnd w:id="11"/>
    </w:p>
    <w:tbl>
      <w:tblPr>
        <w:tblStyle w:val="37"/>
        <w:tblW w:w="9962" w:type="dxa"/>
        <w:tblInd w:w="0" w:type="dxa"/>
        <w:tblLayout w:type="fixed"/>
        <w:tblCellMar>
          <w:top w:w="0" w:type="dxa"/>
          <w:left w:w="108" w:type="dxa"/>
          <w:bottom w:w="0" w:type="dxa"/>
          <w:right w:w="108" w:type="dxa"/>
        </w:tblCellMar>
      </w:tblPr>
      <w:tblGrid>
        <w:gridCol w:w="959"/>
        <w:gridCol w:w="1988"/>
        <w:gridCol w:w="7015"/>
      </w:tblGrid>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b/>
                <w:color w:val="auto"/>
                <w:szCs w:val="21"/>
                <w:highlight w:val="none"/>
              </w:rPr>
            </w:pPr>
            <w:r>
              <w:rPr>
                <w:rFonts w:ascii="宋体" w:hAnsi="宋体"/>
                <w:b/>
                <w:color w:val="auto"/>
                <w:szCs w:val="21"/>
                <w:highlight w:val="none"/>
              </w:rPr>
              <w:t>条款号</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b/>
                <w:color w:val="auto"/>
                <w:szCs w:val="21"/>
                <w:highlight w:val="none"/>
              </w:rPr>
            </w:pPr>
            <w:r>
              <w:rPr>
                <w:rFonts w:ascii="宋体" w:hAnsi="宋体"/>
                <w:b/>
                <w:color w:val="auto"/>
                <w:szCs w:val="21"/>
                <w:highlight w:val="none"/>
              </w:rPr>
              <w:t>条款名称</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b/>
                <w:color w:val="auto"/>
                <w:szCs w:val="21"/>
                <w:highlight w:val="none"/>
              </w:rPr>
            </w:pPr>
            <w:r>
              <w:rPr>
                <w:rFonts w:ascii="宋体" w:hAnsi="宋体"/>
                <w:b/>
                <w:color w:val="auto"/>
                <w:szCs w:val="21"/>
                <w:highlight w:val="none"/>
              </w:rPr>
              <w:t>编  列  内  容</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ascii="宋体" w:hAnsi="宋体"/>
                <w:color w:val="auto"/>
                <w:szCs w:val="21"/>
                <w:highlight w:val="none"/>
              </w:rPr>
              <w:t>1.1.2</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s="宋体"/>
                <w:color w:val="auto"/>
                <w:spacing w:val="8"/>
                <w:kern w:val="0"/>
                <w:szCs w:val="21"/>
                <w:highlight w:val="none"/>
                <w:lang w:val="zh-CN" w:bidi="zh-CN"/>
              </w:rPr>
            </w:pPr>
            <w:r>
              <w:rPr>
                <w:rFonts w:hint="eastAsia" w:ascii="宋体" w:hAnsi="宋体" w:cs="宋体"/>
                <w:color w:val="auto"/>
                <w:spacing w:val="8"/>
                <w:kern w:val="0"/>
                <w:szCs w:val="21"/>
                <w:highlight w:val="none"/>
                <w:lang w:val="zh-CN" w:bidi="zh-CN"/>
              </w:rPr>
              <w:t>招标人</w:t>
            </w:r>
          </w:p>
        </w:tc>
        <w:tc>
          <w:tcPr>
            <w:tcW w:w="7015" w:type="dxa"/>
            <w:tcBorders>
              <w:top w:val="single" w:color="auto" w:sz="4" w:space="0"/>
              <w:left w:val="single" w:color="auto" w:sz="4" w:space="0"/>
              <w:bottom w:val="single" w:color="auto" w:sz="4" w:space="0"/>
              <w:right w:val="single" w:color="auto" w:sz="4" w:space="0"/>
            </w:tcBorders>
            <w:vAlign w:val="center"/>
          </w:tcPr>
          <w:p>
            <w:pPr>
              <w:pStyle w:val="32"/>
              <w:keepNext w:val="0"/>
              <w:keepLines w:val="0"/>
              <w:pageBreakBefore w:val="0"/>
              <w:widowControl/>
              <w:shd w:val="clear" w:color="auto" w:fill="FFFFFF"/>
              <w:kinsoku/>
              <w:wordWrap/>
              <w:overflowPunct/>
              <w:bidi w:val="0"/>
              <w:snapToGrid/>
              <w:spacing w:line="440" w:lineRule="exact"/>
              <w:rPr>
                <w:rFonts w:ascii="宋体" w:hAnsi="宋体"/>
                <w:color w:val="auto"/>
                <w:spacing w:val="8"/>
                <w:sz w:val="21"/>
                <w:szCs w:val="21"/>
                <w:highlight w:val="none"/>
              </w:rPr>
            </w:pPr>
            <w:r>
              <w:rPr>
                <w:rFonts w:hint="eastAsia" w:ascii="宋体" w:hAnsi="宋体"/>
                <w:color w:val="auto"/>
                <w:spacing w:val="8"/>
                <w:sz w:val="21"/>
                <w:szCs w:val="21"/>
                <w:highlight w:val="none"/>
              </w:rPr>
              <w:t>招标人：</w:t>
            </w:r>
            <w:r>
              <w:rPr>
                <w:rFonts w:hint="eastAsia" w:ascii="宋体" w:hAnsi="宋体"/>
                <w:color w:val="auto"/>
                <w:spacing w:val="8"/>
                <w:sz w:val="21"/>
                <w:szCs w:val="21"/>
                <w:highlight w:val="none"/>
                <w:lang w:val="en-US"/>
              </w:rPr>
              <w:t>洛阳市涧西区住房和城乡建设局</w:t>
            </w:r>
          </w:p>
          <w:p>
            <w:pPr>
              <w:keepNext w:val="0"/>
              <w:keepLines w:val="0"/>
              <w:pageBreakBefore w:val="0"/>
              <w:kinsoku/>
              <w:wordWrap/>
              <w:overflowPunct/>
              <w:bidi w:val="0"/>
              <w:adjustRightInd w:val="0"/>
              <w:snapToGrid/>
              <w:spacing w:line="440" w:lineRule="exact"/>
              <w:textAlignment w:val="baseline"/>
              <w:rPr>
                <w:rFonts w:hint="default" w:ascii="宋体" w:hAnsi="宋体" w:cs="宋体"/>
                <w:color w:val="auto"/>
                <w:spacing w:val="8"/>
                <w:kern w:val="0"/>
                <w:szCs w:val="21"/>
                <w:highlight w:val="none"/>
                <w:lang w:val="en-US" w:bidi="zh-CN"/>
              </w:rPr>
            </w:pPr>
            <w:r>
              <w:rPr>
                <w:rFonts w:ascii="宋体" w:hAnsi="宋体" w:cs="宋体"/>
                <w:color w:val="auto"/>
                <w:spacing w:val="8"/>
                <w:kern w:val="0"/>
                <w:szCs w:val="21"/>
                <w:highlight w:val="none"/>
                <w:lang w:bidi="zh-CN"/>
              </w:rPr>
              <w:t>地  址：</w:t>
            </w:r>
            <w:r>
              <w:rPr>
                <w:rFonts w:hint="eastAsia" w:ascii="宋体" w:hAnsi="宋体" w:cs="宋体"/>
                <w:color w:val="auto"/>
                <w:spacing w:val="8"/>
                <w:kern w:val="0"/>
                <w:szCs w:val="21"/>
                <w:highlight w:val="none"/>
                <w:lang w:bidi="zh-CN"/>
              </w:rPr>
              <w:t>洛阳市涧西区太原路</w:t>
            </w:r>
            <w:r>
              <w:rPr>
                <w:rFonts w:hint="eastAsia" w:ascii="宋体" w:hAnsi="宋体" w:cs="宋体"/>
                <w:color w:val="auto"/>
                <w:spacing w:val="8"/>
                <w:kern w:val="0"/>
                <w:szCs w:val="21"/>
                <w:highlight w:val="none"/>
                <w:lang w:val="en-US" w:bidi="zh-CN"/>
              </w:rPr>
              <w:t>58号</w:t>
            </w:r>
          </w:p>
          <w:p>
            <w:pPr>
              <w:keepNext w:val="0"/>
              <w:keepLines w:val="0"/>
              <w:pageBreakBefore w:val="0"/>
              <w:kinsoku/>
              <w:wordWrap/>
              <w:overflowPunct/>
              <w:bidi w:val="0"/>
              <w:adjustRightInd w:val="0"/>
              <w:snapToGrid/>
              <w:spacing w:line="440" w:lineRule="exact"/>
              <w:textAlignment w:val="baseline"/>
              <w:rPr>
                <w:rFonts w:ascii="宋体" w:hAnsi="宋体" w:cs="宋体"/>
                <w:color w:val="auto"/>
                <w:spacing w:val="8"/>
                <w:kern w:val="0"/>
                <w:szCs w:val="21"/>
                <w:highlight w:val="none"/>
                <w:lang w:bidi="zh-CN"/>
              </w:rPr>
            </w:pPr>
            <w:r>
              <w:rPr>
                <w:rFonts w:ascii="宋体" w:hAnsi="宋体" w:cs="宋体"/>
                <w:color w:val="auto"/>
                <w:spacing w:val="8"/>
                <w:kern w:val="0"/>
                <w:szCs w:val="21"/>
                <w:highlight w:val="none"/>
                <w:lang w:bidi="zh-CN"/>
              </w:rPr>
              <w:t>联系人：</w:t>
            </w:r>
            <w:r>
              <w:rPr>
                <w:rFonts w:hint="eastAsia" w:ascii="宋体" w:hAnsi="宋体" w:cs="宋体"/>
                <w:color w:val="auto"/>
                <w:spacing w:val="8"/>
                <w:kern w:val="0"/>
                <w:szCs w:val="21"/>
                <w:highlight w:val="none"/>
                <w:lang w:bidi="zh-CN"/>
              </w:rPr>
              <w:t>杜女士</w:t>
            </w:r>
          </w:p>
          <w:p>
            <w:pPr>
              <w:keepNext w:val="0"/>
              <w:keepLines w:val="0"/>
              <w:pageBreakBefore w:val="0"/>
              <w:kinsoku/>
              <w:wordWrap/>
              <w:overflowPunct/>
              <w:bidi w:val="0"/>
              <w:adjustRightInd w:val="0"/>
              <w:snapToGrid/>
              <w:spacing w:line="440" w:lineRule="exact"/>
              <w:textAlignment w:val="baseline"/>
              <w:rPr>
                <w:rFonts w:ascii="宋体" w:hAnsi="宋体" w:cs="宋体"/>
                <w:color w:val="auto"/>
                <w:spacing w:val="8"/>
                <w:kern w:val="0"/>
                <w:szCs w:val="21"/>
                <w:highlight w:val="none"/>
                <w:lang w:bidi="zh-CN"/>
              </w:rPr>
            </w:pPr>
            <w:r>
              <w:rPr>
                <w:rFonts w:ascii="宋体" w:hAnsi="宋体" w:cs="宋体"/>
                <w:color w:val="auto"/>
                <w:spacing w:val="8"/>
                <w:kern w:val="0"/>
                <w:szCs w:val="21"/>
                <w:highlight w:val="none"/>
                <w:lang w:bidi="zh-CN"/>
              </w:rPr>
              <w:t>电  话：0379-</w:t>
            </w:r>
            <w:r>
              <w:rPr>
                <w:rFonts w:hint="eastAsia" w:ascii="宋体" w:hAnsi="宋体" w:cs="宋体"/>
                <w:color w:val="auto"/>
                <w:spacing w:val="8"/>
                <w:kern w:val="0"/>
                <w:szCs w:val="21"/>
                <w:highlight w:val="none"/>
                <w:lang w:bidi="zh-CN"/>
              </w:rPr>
              <w:t>64232660</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ascii="宋体" w:hAnsi="宋体"/>
                <w:color w:val="auto"/>
                <w:szCs w:val="21"/>
                <w:highlight w:val="none"/>
              </w:rPr>
              <w:t>1.1.3</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ascii="宋体" w:hAnsi="宋体"/>
                <w:color w:val="auto"/>
                <w:szCs w:val="21"/>
                <w:highlight w:val="none"/>
              </w:rPr>
              <w:t>招标代理机构</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rFonts w:hint="eastAsia" w:ascii="宋体" w:hAnsi="宋体" w:eastAsia="宋体"/>
                <w:color w:val="auto"/>
                <w:szCs w:val="21"/>
                <w:highlight w:val="none"/>
                <w:lang w:eastAsia="zh-CN"/>
              </w:rPr>
            </w:pPr>
            <w:r>
              <w:rPr>
                <w:rFonts w:hint="eastAsia" w:ascii="宋体" w:hAnsi="宋体"/>
                <w:color w:val="auto"/>
                <w:szCs w:val="21"/>
                <w:highlight w:val="none"/>
              </w:rPr>
              <w:t>名  称：</w:t>
            </w:r>
            <w:r>
              <w:rPr>
                <w:rFonts w:hint="eastAsia" w:ascii="宋体" w:hAnsi="宋体"/>
                <w:color w:val="auto"/>
                <w:szCs w:val="21"/>
                <w:highlight w:val="none"/>
                <w:lang w:eastAsia="zh-CN"/>
              </w:rPr>
              <w:t>河南恒强工程管理咨询有限公司</w:t>
            </w:r>
          </w:p>
          <w:p>
            <w:pPr>
              <w:keepNext w:val="0"/>
              <w:keepLines w:val="0"/>
              <w:pageBreakBefore w:val="0"/>
              <w:kinsoku/>
              <w:wordWrap/>
              <w:overflowPunct/>
              <w:bidi w:val="0"/>
              <w:adjustRightInd w:val="0"/>
              <w:snapToGrid/>
              <w:spacing w:line="440" w:lineRule="exact"/>
              <w:textAlignment w:val="baseline"/>
              <w:rPr>
                <w:rFonts w:hint="eastAsia" w:ascii="宋体" w:hAnsi="宋体" w:eastAsia="宋体"/>
                <w:color w:val="auto"/>
                <w:szCs w:val="21"/>
                <w:highlight w:val="none"/>
                <w:lang w:eastAsia="zh-CN"/>
              </w:rPr>
            </w:pPr>
            <w:r>
              <w:rPr>
                <w:rFonts w:hint="eastAsia" w:ascii="宋体" w:hAnsi="宋体"/>
                <w:color w:val="auto"/>
                <w:szCs w:val="21"/>
                <w:highlight w:val="none"/>
              </w:rPr>
              <w:t>地  址：</w:t>
            </w:r>
            <w:r>
              <w:rPr>
                <w:rFonts w:hint="eastAsia" w:ascii="宋体" w:hAnsi="宋体"/>
                <w:color w:val="auto"/>
                <w:szCs w:val="21"/>
                <w:highlight w:val="none"/>
                <w:lang w:eastAsia="zh-CN"/>
              </w:rPr>
              <w:t>洛阳市洛龙区建业左岸国际A座1208室</w:t>
            </w:r>
          </w:p>
          <w:p>
            <w:pPr>
              <w:keepNext w:val="0"/>
              <w:keepLines w:val="0"/>
              <w:pageBreakBefore w:val="0"/>
              <w:kinsoku/>
              <w:wordWrap/>
              <w:overflowPunct/>
              <w:bidi w:val="0"/>
              <w:adjustRightInd w:val="0"/>
              <w:snapToGrid/>
              <w:spacing w:line="440" w:lineRule="exact"/>
              <w:textAlignment w:val="baseline"/>
              <w:rPr>
                <w:rFonts w:hint="eastAsia" w:ascii="宋体" w:hAnsi="宋体" w:eastAsia="宋体"/>
                <w:color w:val="auto"/>
                <w:szCs w:val="21"/>
                <w:highlight w:val="none"/>
                <w:lang w:eastAsia="zh-CN"/>
              </w:rPr>
            </w:pPr>
            <w:r>
              <w:rPr>
                <w:rFonts w:hint="eastAsia" w:ascii="宋体" w:hAnsi="宋体"/>
                <w:color w:val="auto"/>
                <w:szCs w:val="21"/>
                <w:highlight w:val="none"/>
              </w:rPr>
              <w:t>联系人：</w:t>
            </w:r>
            <w:r>
              <w:rPr>
                <w:rFonts w:hint="eastAsia" w:ascii="宋体" w:hAnsi="宋体"/>
                <w:color w:val="auto"/>
                <w:szCs w:val="21"/>
                <w:highlight w:val="none"/>
                <w:lang w:eastAsia="zh-CN"/>
              </w:rPr>
              <w:t>刘先生</w:t>
            </w:r>
          </w:p>
          <w:p>
            <w:pPr>
              <w:keepNext w:val="0"/>
              <w:keepLines w:val="0"/>
              <w:pageBreakBefore w:val="0"/>
              <w:kinsoku/>
              <w:wordWrap/>
              <w:overflowPunct/>
              <w:bidi w:val="0"/>
              <w:adjustRightInd w:val="0"/>
              <w:snapToGrid/>
              <w:spacing w:line="440" w:lineRule="exact"/>
              <w:textAlignment w:val="baseline"/>
              <w:rPr>
                <w:rFonts w:hint="eastAsia" w:ascii="宋体" w:hAnsi="宋体" w:eastAsia="宋体"/>
                <w:color w:val="auto"/>
                <w:szCs w:val="21"/>
                <w:highlight w:val="none"/>
                <w:lang w:eastAsia="zh-CN"/>
              </w:rPr>
            </w:pPr>
            <w:r>
              <w:rPr>
                <w:rFonts w:hint="eastAsia" w:ascii="宋体" w:hAnsi="宋体"/>
                <w:color w:val="auto"/>
                <w:szCs w:val="21"/>
                <w:highlight w:val="none"/>
              </w:rPr>
              <w:t>电  话：</w:t>
            </w:r>
            <w:r>
              <w:rPr>
                <w:rFonts w:hint="eastAsia" w:ascii="宋体" w:hAnsi="宋体"/>
                <w:color w:val="auto"/>
                <w:szCs w:val="21"/>
                <w:highlight w:val="none"/>
                <w:lang w:eastAsia="zh-CN"/>
              </w:rPr>
              <w:t>0379-65551208</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ascii="宋体" w:hAnsi="宋体"/>
                <w:color w:val="auto"/>
                <w:szCs w:val="21"/>
                <w:highlight w:val="none"/>
              </w:rPr>
              <w:t>1.1.4</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ascii="宋体" w:hAnsi="宋体"/>
                <w:color w:val="auto"/>
                <w:szCs w:val="21"/>
                <w:highlight w:val="none"/>
              </w:rPr>
              <w:t>项目名称</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rFonts w:hint="eastAsia" w:ascii="宋体" w:hAnsi="宋体" w:eastAsia="宋体"/>
                <w:color w:val="auto"/>
                <w:szCs w:val="21"/>
                <w:highlight w:val="none"/>
                <w:lang w:eastAsia="zh-CN"/>
              </w:rPr>
            </w:pPr>
            <w:r>
              <w:rPr>
                <w:rFonts w:hint="eastAsia" w:ascii="宋体" w:hAnsi="宋体"/>
                <w:color w:val="auto"/>
                <w:szCs w:val="21"/>
                <w:highlight w:val="none"/>
                <w:lang w:eastAsia="zh-CN"/>
              </w:rPr>
              <w:t>涧西区太原路建筑立面改造工程项目</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ascii="宋体" w:hAnsi="宋体"/>
                <w:color w:val="auto"/>
                <w:szCs w:val="21"/>
                <w:highlight w:val="none"/>
              </w:rPr>
              <w:t>1.1.5</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ascii="宋体" w:hAnsi="宋体"/>
                <w:color w:val="auto"/>
                <w:szCs w:val="21"/>
                <w:highlight w:val="none"/>
              </w:rPr>
              <w:t>建设地点</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rFonts w:ascii="宋体" w:hAnsi="宋体"/>
                <w:color w:val="auto"/>
                <w:szCs w:val="21"/>
                <w:highlight w:val="none"/>
              </w:rPr>
            </w:pPr>
            <w:r>
              <w:rPr>
                <w:rFonts w:hint="eastAsia" w:ascii="宋体" w:hAnsi="宋体"/>
                <w:color w:val="auto"/>
                <w:szCs w:val="21"/>
                <w:highlight w:val="none"/>
              </w:rPr>
              <w:t>洛阳市涧西区</w:t>
            </w:r>
            <w:r>
              <w:rPr>
                <w:rFonts w:hint="eastAsia" w:ascii="宋体" w:hAnsi="宋体"/>
                <w:color w:val="auto"/>
                <w:szCs w:val="21"/>
                <w:highlight w:val="none"/>
                <w:lang w:eastAsia="zh-CN"/>
              </w:rPr>
              <w:t>太原路</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1.1.6</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hint="eastAsia" w:ascii="宋体" w:hAnsi="宋体"/>
                <w:color w:val="auto"/>
                <w:szCs w:val="21"/>
                <w:highlight w:val="none"/>
              </w:rPr>
            </w:pPr>
            <w:r>
              <w:rPr>
                <w:rFonts w:hint="eastAsia" w:ascii="宋体" w:hAnsi="宋体"/>
                <w:color w:val="auto"/>
                <w:szCs w:val="21"/>
                <w:highlight w:val="none"/>
                <w:lang w:val="en-US" w:eastAsia="zh-CN"/>
              </w:rPr>
              <w:t>项目</w:t>
            </w:r>
            <w:r>
              <w:rPr>
                <w:rFonts w:hint="eastAsia" w:ascii="宋体" w:hAnsi="宋体"/>
                <w:color w:val="auto"/>
                <w:szCs w:val="21"/>
                <w:highlight w:val="none"/>
              </w:rPr>
              <w:t>概况</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rFonts w:hint="eastAsia" w:ascii="宋体" w:hAnsi="宋体" w:cs="宋体"/>
                <w:color w:val="auto"/>
                <w:spacing w:val="14"/>
                <w:kern w:val="0"/>
                <w:szCs w:val="21"/>
                <w:highlight w:val="none"/>
              </w:rPr>
            </w:pPr>
            <w:r>
              <w:rPr>
                <w:rFonts w:hint="eastAsia" w:ascii="宋体" w:hAnsi="宋体"/>
                <w:color w:val="auto"/>
                <w:szCs w:val="21"/>
                <w:highlight w:val="none"/>
              </w:rPr>
              <w:t>详见招标公告</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ascii="宋体" w:hAnsi="宋体"/>
                <w:color w:val="auto"/>
                <w:szCs w:val="21"/>
                <w:highlight w:val="none"/>
              </w:rPr>
              <w:t>1.2.1</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hint="eastAsia" w:ascii="宋体" w:hAnsi="宋体"/>
                <w:color w:val="auto"/>
                <w:szCs w:val="21"/>
                <w:highlight w:val="none"/>
                <w:lang w:val="en-US" w:eastAsia="zh-CN"/>
              </w:rPr>
              <w:t>资金来源</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rFonts w:ascii="宋体" w:hAnsi="宋体"/>
                <w:color w:val="auto"/>
                <w:szCs w:val="21"/>
                <w:highlight w:val="none"/>
              </w:rPr>
            </w:pPr>
            <w:r>
              <w:rPr>
                <w:rFonts w:hint="eastAsia" w:ascii="宋体" w:hAnsi="宋体" w:cs="宋体"/>
                <w:color w:val="auto"/>
                <w:spacing w:val="14"/>
                <w:kern w:val="0"/>
                <w:szCs w:val="21"/>
                <w:highlight w:val="none"/>
              </w:rPr>
              <w:t>财政资金</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ascii="宋体" w:hAnsi="宋体"/>
                <w:color w:val="auto"/>
                <w:szCs w:val="21"/>
                <w:highlight w:val="none"/>
              </w:rPr>
              <w:t>1.2.</w:t>
            </w:r>
            <w:r>
              <w:rPr>
                <w:rFonts w:hint="eastAsia" w:ascii="宋体" w:hAnsi="宋体"/>
                <w:color w:val="auto"/>
                <w:szCs w:val="21"/>
                <w:highlight w:val="none"/>
              </w:rPr>
              <w:t>2</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出资比例</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rFonts w:ascii="宋体" w:hAnsi="宋体"/>
                <w:color w:val="auto"/>
                <w:szCs w:val="21"/>
                <w:highlight w:val="none"/>
              </w:rPr>
            </w:pPr>
            <w:r>
              <w:rPr>
                <w:rFonts w:hint="eastAsia" w:ascii="宋体" w:hAnsi="宋体"/>
                <w:color w:val="auto"/>
                <w:szCs w:val="21"/>
                <w:highlight w:val="none"/>
              </w:rPr>
              <w:t>100%</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hint="eastAsia" w:ascii="宋体" w:hAnsi="宋体"/>
                <w:color w:val="auto"/>
                <w:szCs w:val="21"/>
                <w:highlight w:val="none"/>
              </w:rPr>
              <w:t>1.2.3</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hint="eastAsia" w:ascii="宋体" w:hAnsi="宋体"/>
                <w:color w:val="auto"/>
                <w:szCs w:val="21"/>
                <w:highlight w:val="none"/>
              </w:rPr>
              <w:t>资金</w:t>
            </w:r>
            <w:r>
              <w:rPr>
                <w:rFonts w:ascii="宋体" w:hAnsi="宋体"/>
                <w:color w:val="auto"/>
                <w:szCs w:val="21"/>
                <w:highlight w:val="none"/>
              </w:rPr>
              <w:t>落实情况</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rFonts w:ascii="宋体" w:hAnsi="宋体"/>
                <w:color w:val="auto"/>
                <w:szCs w:val="21"/>
                <w:highlight w:val="none"/>
              </w:rPr>
            </w:pPr>
            <w:r>
              <w:rPr>
                <w:rFonts w:ascii="宋体" w:hAnsi="宋体"/>
                <w:color w:val="auto"/>
                <w:szCs w:val="21"/>
                <w:highlight w:val="none"/>
              </w:rPr>
              <w:t>已落实</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3</w:t>
            </w:r>
            <w:r>
              <w:rPr>
                <w:rFonts w:ascii="宋体" w:hAnsi="宋体"/>
                <w:color w:val="auto"/>
                <w:szCs w:val="21"/>
                <w:highlight w:val="none"/>
              </w:rPr>
              <w:t>.1</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hint="eastAsia" w:ascii="宋体" w:hAnsi="宋体" w:eastAsia="宋体"/>
                <w:color w:val="auto"/>
                <w:szCs w:val="21"/>
                <w:highlight w:val="none"/>
                <w:lang w:val="en-US" w:eastAsia="zh-CN"/>
              </w:rPr>
            </w:pPr>
            <w:r>
              <w:rPr>
                <w:rFonts w:ascii="宋体" w:hAnsi="宋体"/>
                <w:color w:val="auto"/>
                <w:szCs w:val="21"/>
                <w:highlight w:val="none"/>
              </w:rPr>
              <w:t>招标范围</w:t>
            </w:r>
            <w:r>
              <w:rPr>
                <w:rFonts w:hint="eastAsia" w:ascii="宋体" w:hAnsi="宋体"/>
                <w:color w:val="auto"/>
                <w:szCs w:val="21"/>
                <w:highlight w:val="none"/>
                <w:lang w:val="en-US" w:eastAsia="zh-CN"/>
              </w:rPr>
              <w:t>及</w:t>
            </w:r>
            <w:r>
              <w:rPr>
                <w:rFonts w:ascii="宋体" w:hAnsi="宋体"/>
                <w:color w:val="auto"/>
                <w:szCs w:val="21"/>
                <w:highlight w:val="none"/>
              </w:rPr>
              <w:t>标段划分</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napToGrid/>
              <w:spacing w:line="440" w:lineRule="exact"/>
              <w:rPr>
                <w:rFonts w:hint="eastAsia"/>
                <w:color w:val="auto"/>
              </w:rPr>
            </w:pPr>
            <w:r>
              <w:rPr>
                <w:color w:val="auto"/>
              </w:rPr>
              <w:t>招标范围</w:t>
            </w:r>
            <w:r>
              <w:rPr>
                <w:rFonts w:hint="eastAsia"/>
                <w:color w:val="auto"/>
                <w:lang w:eastAsia="zh-CN"/>
              </w:rPr>
              <w:t>：</w:t>
            </w:r>
            <w:r>
              <w:rPr>
                <w:rFonts w:hint="eastAsia"/>
                <w:color w:val="auto"/>
              </w:rPr>
              <w:t>本项目施工图纸、答疑及工程量清单范围内的全部内容。</w:t>
            </w:r>
          </w:p>
          <w:p>
            <w:pPr>
              <w:pStyle w:val="2"/>
              <w:keepNext w:val="0"/>
              <w:keepLines w:val="0"/>
              <w:pageBreakBefore w:val="0"/>
              <w:kinsoku/>
              <w:wordWrap/>
              <w:overflowPunct/>
              <w:bidi w:val="0"/>
              <w:snapToGrid/>
              <w:spacing w:after="0" w:line="440" w:lineRule="exact"/>
              <w:rPr>
                <w:rFonts w:hint="eastAsia" w:eastAsia="宋体"/>
                <w:color w:val="auto"/>
                <w:lang w:eastAsia="zh-CN"/>
              </w:rPr>
            </w:pPr>
            <w:r>
              <w:rPr>
                <w:rFonts w:ascii="宋体" w:hAnsi="宋体"/>
                <w:color w:val="auto"/>
                <w:szCs w:val="21"/>
                <w:highlight w:val="none"/>
              </w:rPr>
              <w:t>标段划分</w:t>
            </w:r>
            <w:r>
              <w:rPr>
                <w:rFonts w:hint="eastAsia" w:ascii="宋体" w:hAnsi="宋体"/>
                <w:color w:val="auto"/>
                <w:szCs w:val="21"/>
                <w:highlight w:val="none"/>
                <w:lang w:eastAsia="zh-CN"/>
              </w:rPr>
              <w:t>：</w:t>
            </w:r>
            <w:r>
              <w:rPr>
                <w:rFonts w:hint="eastAsia" w:ascii="宋体" w:hAnsi="宋体"/>
                <w:color w:val="auto"/>
                <w:szCs w:val="21"/>
                <w:highlight w:val="none"/>
              </w:rPr>
              <w:t>本项目共划分一个标段。</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ascii="宋体" w:hAnsi="宋体"/>
                <w:color w:val="auto"/>
                <w:szCs w:val="21"/>
                <w:highlight w:val="none"/>
              </w:rPr>
              <w:t>1.3.2</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ascii="宋体" w:hAnsi="宋体"/>
                <w:color w:val="auto"/>
                <w:szCs w:val="21"/>
                <w:highlight w:val="none"/>
              </w:rPr>
              <w:t>工期</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60日历天</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ascii="宋体" w:hAnsi="宋体"/>
                <w:color w:val="auto"/>
                <w:szCs w:val="21"/>
                <w:highlight w:val="none"/>
              </w:rPr>
              <w:t>1.3.3</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ascii="宋体" w:hAnsi="宋体"/>
                <w:color w:val="auto"/>
                <w:szCs w:val="21"/>
                <w:highlight w:val="none"/>
              </w:rPr>
              <w:t>质量要求</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rFonts w:ascii="宋体" w:hAnsi="宋体"/>
                <w:color w:val="auto"/>
                <w:szCs w:val="21"/>
                <w:highlight w:val="none"/>
              </w:rPr>
            </w:pPr>
            <w:r>
              <w:rPr>
                <w:rFonts w:hint="eastAsia" w:ascii="宋体" w:hAnsi="宋体"/>
                <w:color w:val="auto"/>
                <w:szCs w:val="21"/>
                <w:highlight w:val="none"/>
              </w:rPr>
              <w:t>符合国家质量验收备案标准</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hint="eastAsia" w:ascii="宋体" w:hAnsi="宋体"/>
                <w:color w:val="auto"/>
                <w:szCs w:val="21"/>
                <w:highlight w:val="none"/>
              </w:rPr>
              <w:t>1.3.4</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b/>
                <w:bCs/>
                <w:color w:val="auto"/>
                <w:szCs w:val="21"/>
                <w:highlight w:val="none"/>
              </w:rPr>
            </w:pPr>
            <w:r>
              <w:rPr>
                <w:rFonts w:hint="eastAsia" w:ascii="宋体" w:hAnsi="宋体"/>
                <w:color w:val="auto"/>
                <w:szCs w:val="21"/>
                <w:highlight w:val="none"/>
              </w:rPr>
              <w:t>安全目标</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napToGrid/>
              <w:spacing w:line="440" w:lineRule="exact"/>
              <w:rPr>
                <w:rFonts w:ascii="宋体" w:hAnsi="宋体"/>
                <w:color w:val="auto"/>
                <w:szCs w:val="21"/>
                <w:highlight w:val="none"/>
              </w:rPr>
            </w:pPr>
            <w:r>
              <w:rPr>
                <w:rFonts w:hint="eastAsia" w:ascii="宋体" w:hAnsi="宋体"/>
                <w:color w:val="auto"/>
                <w:szCs w:val="21"/>
                <w:highlight w:val="none"/>
              </w:rPr>
              <w:t>杜绝重伤、死亡事故</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hint="eastAsia" w:ascii="宋体" w:hAnsi="宋体"/>
                <w:color w:val="auto"/>
                <w:szCs w:val="21"/>
                <w:highlight w:val="none"/>
              </w:rPr>
              <w:t>1.3.5</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hint="eastAsia" w:ascii="宋体" w:hAnsi="宋体"/>
                <w:color w:val="auto"/>
                <w:szCs w:val="21"/>
                <w:highlight w:val="none"/>
              </w:rPr>
              <w:t>文明工地目标</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rFonts w:ascii="宋体" w:hAnsi="宋体"/>
                <w:color w:val="auto"/>
                <w:szCs w:val="21"/>
                <w:highlight w:val="none"/>
              </w:rPr>
            </w:pPr>
            <w:r>
              <w:rPr>
                <w:rFonts w:hint="eastAsia" w:ascii="宋体" w:hAnsi="宋体"/>
                <w:color w:val="auto"/>
                <w:szCs w:val="21"/>
                <w:highlight w:val="none"/>
              </w:rPr>
              <w:t>市级文明工地</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hint="eastAsia" w:ascii="宋体" w:hAnsi="宋体"/>
                <w:color w:val="auto"/>
                <w:szCs w:val="21"/>
                <w:highlight w:val="none"/>
              </w:rPr>
              <w:t>1.3.6</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hint="eastAsia" w:ascii="宋体" w:hAnsi="宋体"/>
                <w:color w:val="auto"/>
                <w:szCs w:val="21"/>
                <w:highlight w:val="none"/>
              </w:rPr>
              <w:t>扬尘治理目标</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rFonts w:ascii="宋体" w:hAnsi="宋体"/>
                <w:color w:val="auto"/>
                <w:szCs w:val="21"/>
                <w:highlight w:val="none"/>
              </w:rPr>
            </w:pPr>
            <w:r>
              <w:rPr>
                <w:rFonts w:hint="eastAsia" w:ascii="宋体" w:hAnsi="宋体"/>
                <w:color w:val="auto"/>
                <w:szCs w:val="21"/>
                <w:highlight w:val="none"/>
              </w:rPr>
              <w:t>严格按照国家、省、市扬尘污染防治标准及各项扬尘管控指令，做到达标生产。</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hint="eastAsia" w:ascii="宋体" w:hAnsi="宋体"/>
                <w:color w:val="auto"/>
                <w:szCs w:val="21"/>
                <w:highlight w:val="none"/>
              </w:rPr>
              <w:t>1.3.7</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hint="eastAsia" w:ascii="宋体" w:hAnsi="宋体"/>
                <w:color w:val="auto"/>
                <w:szCs w:val="21"/>
                <w:highlight w:val="none"/>
              </w:rPr>
              <w:t>缺陷责任期</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rFonts w:ascii="宋体" w:hAnsi="宋体"/>
                <w:color w:val="auto"/>
                <w:szCs w:val="21"/>
                <w:highlight w:val="none"/>
              </w:rPr>
            </w:pPr>
            <w:r>
              <w:rPr>
                <w:rFonts w:hint="eastAsia" w:ascii="宋体" w:hAnsi="宋体"/>
                <w:color w:val="auto"/>
                <w:highlight w:val="none"/>
                <w:lang w:val="en-US" w:eastAsia="zh-CN"/>
              </w:rPr>
              <w:t>12</w:t>
            </w:r>
            <w:r>
              <w:rPr>
                <w:rFonts w:hint="eastAsia" w:ascii="宋体" w:hAnsi="宋体"/>
                <w:color w:val="auto"/>
                <w:highlight w:val="none"/>
              </w:rPr>
              <w:t>个月</w:t>
            </w:r>
            <w:r>
              <w:rPr>
                <w:color w:val="auto"/>
                <w:spacing w:val="-4"/>
                <w:szCs w:val="21"/>
                <w:highlight w:val="none"/>
              </w:rPr>
              <w:t>（</w:t>
            </w:r>
            <w:r>
              <w:rPr>
                <w:rFonts w:hint="eastAsia"/>
                <w:color w:val="auto"/>
                <w:spacing w:val="-4"/>
                <w:szCs w:val="21"/>
                <w:highlight w:val="none"/>
                <w:lang w:val="en-US" w:eastAsia="zh-CN"/>
              </w:rPr>
              <w:t>自</w:t>
            </w:r>
            <w:r>
              <w:rPr>
                <w:color w:val="auto"/>
                <w:spacing w:val="-4"/>
                <w:szCs w:val="21"/>
                <w:highlight w:val="none"/>
              </w:rPr>
              <w:t>竣工验收合格之日起）</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ascii="宋体" w:hAnsi="宋体"/>
                <w:color w:val="auto"/>
                <w:szCs w:val="21"/>
                <w:highlight w:val="none"/>
              </w:rPr>
              <w:t>1.4.1</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ascii="宋体" w:hAnsi="宋体"/>
                <w:color w:val="auto"/>
                <w:szCs w:val="21"/>
                <w:highlight w:val="none"/>
              </w:rPr>
              <w:t>投标人资质</w:t>
            </w:r>
          </w:p>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ascii="宋体" w:hAnsi="宋体"/>
                <w:color w:val="auto"/>
                <w:szCs w:val="21"/>
                <w:highlight w:val="none"/>
              </w:rPr>
              <w:t>条件、能力和</w:t>
            </w:r>
          </w:p>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ascii="宋体" w:hAnsi="宋体"/>
                <w:color w:val="auto"/>
                <w:szCs w:val="21"/>
                <w:highlight w:val="none"/>
              </w:rPr>
              <w:t>信誉</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napToGrid/>
              <w:spacing w:line="440" w:lineRule="exact"/>
              <w:rPr>
                <w:rFonts w:ascii="宋体" w:hAnsi="宋体"/>
                <w:color w:val="auto"/>
                <w:szCs w:val="21"/>
                <w:highlight w:val="none"/>
              </w:rPr>
            </w:pPr>
            <w:r>
              <w:rPr>
                <w:rFonts w:hint="eastAsia" w:ascii="宋体" w:hAnsi="宋体"/>
                <w:color w:val="auto"/>
                <w:szCs w:val="21"/>
                <w:highlight w:val="none"/>
              </w:rPr>
              <w:t>详见招标公告</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ascii="宋体" w:hAnsi="宋体"/>
                <w:color w:val="auto"/>
                <w:szCs w:val="21"/>
                <w:highlight w:val="none"/>
              </w:rPr>
              <w:t>1.4.2</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ascii="宋体" w:hAnsi="宋体"/>
                <w:color w:val="auto"/>
                <w:szCs w:val="21"/>
                <w:highlight w:val="none"/>
              </w:rPr>
              <w:t>是否接受联合体投标</w:t>
            </w:r>
          </w:p>
        </w:tc>
        <w:tc>
          <w:tcPr>
            <w:tcW w:w="7015" w:type="dxa"/>
            <w:tcBorders>
              <w:top w:val="single" w:color="auto" w:sz="4" w:space="0"/>
              <w:left w:val="single" w:color="auto" w:sz="4" w:space="0"/>
              <w:bottom w:val="single" w:color="auto" w:sz="4" w:space="0"/>
              <w:right w:val="single" w:color="auto" w:sz="4" w:space="0"/>
            </w:tcBorders>
            <w:vAlign w:val="center"/>
          </w:tcPr>
          <w:p>
            <w:pPr>
              <w:pStyle w:val="16"/>
              <w:keepNext w:val="0"/>
              <w:keepLines w:val="0"/>
              <w:pageBreakBefore w:val="0"/>
              <w:kinsoku/>
              <w:wordWrap/>
              <w:overflowPunct/>
              <w:topLinePunct/>
              <w:bidi w:val="0"/>
              <w:adjustRightInd w:val="0"/>
              <w:snapToGrid/>
              <w:spacing w:line="440" w:lineRule="exact"/>
              <w:textAlignment w:val="baseline"/>
              <w:rPr>
                <w:rFonts w:hAnsi="宋体"/>
                <w:color w:val="auto"/>
                <w:sz w:val="21"/>
                <w:szCs w:val="21"/>
                <w:highlight w:val="none"/>
              </w:rPr>
            </w:pPr>
            <w:r>
              <w:rPr>
                <w:rFonts w:hint="eastAsia" w:hAnsi="宋体"/>
                <w:color w:val="auto"/>
                <w:sz w:val="21"/>
                <w:szCs w:val="21"/>
                <w:highlight w:val="none"/>
              </w:rPr>
              <w:t>不接受</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9</w:t>
            </w:r>
            <w:r>
              <w:rPr>
                <w:rFonts w:ascii="宋体" w:hAnsi="宋体"/>
                <w:color w:val="auto"/>
                <w:szCs w:val="21"/>
                <w:highlight w:val="none"/>
              </w:rPr>
              <w:t>.1</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ascii="宋体" w:hAnsi="宋体"/>
                <w:color w:val="auto"/>
                <w:szCs w:val="21"/>
                <w:highlight w:val="none"/>
              </w:rPr>
              <w:t>踏勘</w:t>
            </w:r>
            <w:r>
              <w:rPr>
                <w:rFonts w:hint="eastAsia" w:ascii="宋体" w:hAnsi="宋体"/>
                <w:color w:val="auto"/>
                <w:szCs w:val="21"/>
                <w:highlight w:val="none"/>
              </w:rPr>
              <w:t>现场</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rFonts w:ascii="宋体" w:hAnsi="宋体"/>
                <w:color w:val="auto"/>
                <w:szCs w:val="21"/>
                <w:highlight w:val="none"/>
              </w:rPr>
            </w:pPr>
            <w:r>
              <w:rPr>
                <w:rFonts w:hint="eastAsia" w:ascii="宋体" w:hAnsi="宋体"/>
                <w:color w:val="auto"/>
                <w:szCs w:val="21"/>
                <w:highlight w:val="none"/>
              </w:rPr>
              <w:t>不组织</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1.10.1</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投标预备会</w:t>
            </w:r>
          </w:p>
        </w:tc>
        <w:tc>
          <w:tcPr>
            <w:tcW w:w="7015" w:type="dxa"/>
            <w:tcBorders>
              <w:top w:val="single" w:color="auto" w:sz="4" w:space="0"/>
              <w:left w:val="single" w:color="auto" w:sz="4" w:space="0"/>
              <w:bottom w:val="single" w:color="auto" w:sz="4" w:space="0"/>
              <w:right w:val="single" w:color="auto" w:sz="4" w:space="0"/>
            </w:tcBorders>
            <w:vAlign w:val="center"/>
          </w:tcPr>
          <w:p>
            <w:pPr>
              <w:pStyle w:val="16"/>
              <w:keepNext w:val="0"/>
              <w:keepLines w:val="0"/>
              <w:pageBreakBefore w:val="0"/>
              <w:kinsoku/>
              <w:wordWrap/>
              <w:overflowPunct/>
              <w:topLinePunct/>
              <w:bidi w:val="0"/>
              <w:adjustRightInd w:val="0"/>
              <w:snapToGrid/>
              <w:spacing w:line="440" w:lineRule="exact"/>
              <w:textAlignment w:val="baseline"/>
              <w:rPr>
                <w:rFonts w:ascii="Times New Roman"/>
                <w:color w:val="auto"/>
                <w:sz w:val="21"/>
                <w:szCs w:val="21"/>
                <w:highlight w:val="none"/>
              </w:rPr>
            </w:pPr>
            <w:r>
              <w:rPr>
                <w:rFonts w:hint="eastAsia" w:ascii="Times New Roman"/>
                <w:color w:val="auto"/>
                <w:sz w:val="21"/>
                <w:szCs w:val="21"/>
                <w:highlight w:val="none"/>
              </w:rPr>
              <w:t>不</w:t>
            </w:r>
            <w:r>
              <w:rPr>
                <w:rFonts w:ascii="Times New Roman"/>
                <w:color w:val="auto"/>
                <w:sz w:val="21"/>
                <w:szCs w:val="21"/>
                <w:highlight w:val="none"/>
              </w:rPr>
              <w:t>召开</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1.10.2</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投标人提出问题的截止时间</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color w:val="auto"/>
                <w:highlight w:val="none"/>
              </w:rPr>
            </w:pPr>
            <w:r>
              <w:rPr>
                <w:rFonts w:hint="eastAsia"/>
                <w:color w:val="auto"/>
                <w:szCs w:val="21"/>
                <w:highlight w:val="none"/>
              </w:rPr>
              <w:t>递交投标文件截止时间10日前</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1.10.3</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招标人书面澄清的时间</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color w:val="auto"/>
                <w:szCs w:val="21"/>
                <w:highlight w:val="none"/>
              </w:rPr>
              <w:t>递交投标文件截止时间15日前</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1.1</w:t>
            </w:r>
            <w:r>
              <w:rPr>
                <w:rFonts w:hint="eastAsia"/>
                <w:color w:val="auto"/>
                <w:szCs w:val="21"/>
                <w:highlight w:val="none"/>
              </w:rPr>
              <w:t>1</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分包</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color w:val="auto"/>
                <w:szCs w:val="21"/>
                <w:highlight w:val="none"/>
              </w:rPr>
              <w:t>不允许</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rFonts w:hint="eastAsia"/>
                <w:color w:val="auto"/>
                <w:szCs w:val="21"/>
                <w:highlight w:val="none"/>
              </w:rPr>
              <w:t>1.12</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rFonts w:hint="eastAsia"/>
                <w:color w:val="auto"/>
                <w:szCs w:val="21"/>
                <w:highlight w:val="none"/>
              </w:rPr>
              <w:t>偏离</w:t>
            </w:r>
          </w:p>
        </w:tc>
        <w:tc>
          <w:tcPr>
            <w:tcW w:w="7015" w:type="dxa"/>
            <w:tcBorders>
              <w:top w:val="single" w:color="auto" w:sz="4" w:space="0"/>
              <w:left w:val="single" w:color="auto" w:sz="4" w:space="0"/>
              <w:bottom w:val="single" w:color="auto" w:sz="4" w:space="0"/>
              <w:right w:val="single" w:color="auto" w:sz="4" w:space="0"/>
            </w:tcBorders>
            <w:vAlign w:val="center"/>
          </w:tcPr>
          <w:p>
            <w:pPr>
              <w:pStyle w:val="16"/>
              <w:keepNext w:val="0"/>
              <w:keepLines w:val="0"/>
              <w:pageBreakBefore w:val="0"/>
              <w:kinsoku/>
              <w:wordWrap/>
              <w:overflowPunct/>
              <w:topLinePunct/>
              <w:bidi w:val="0"/>
              <w:adjustRightInd w:val="0"/>
              <w:snapToGrid/>
              <w:spacing w:line="440" w:lineRule="exact"/>
              <w:textAlignment w:val="baseline"/>
              <w:rPr>
                <w:rFonts w:ascii="Times New Roman"/>
                <w:color w:val="auto"/>
                <w:sz w:val="21"/>
                <w:szCs w:val="21"/>
                <w:highlight w:val="none"/>
              </w:rPr>
            </w:pPr>
            <w:r>
              <w:rPr>
                <w:rFonts w:hint="eastAsia" w:ascii="Times New Roman"/>
                <w:color w:val="auto"/>
                <w:sz w:val="21"/>
                <w:szCs w:val="21"/>
                <w:highlight w:val="none"/>
              </w:rPr>
              <w:t>不允许</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2.1</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构成招标文件的其他材料</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color w:val="auto"/>
                <w:szCs w:val="21"/>
                <w:highlight w:val="none"/>
              </w:rPr>
              <w:t>招标过程的澄清、修改、补充、招标文件及图纸答疑等(如有)。</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2.2.1</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投标人要求澄清招标文件的截止时间</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color w:val="auto"/>
                <w:szCs w:val="21"/>
                <w:highlight w:val="none"/>
              </w:rPr>
              <w:t>递交投标文件截止时间10日前</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rFonts w:hint="eastAsia"/>
                <w:color w:val="auto"/>
                <w:szCs w:val="21"/>
                <w:highlight w:val="none"/>
              </w:rPr>
              <w:t>2.2.2</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rFonts w:hint="eastAsia"/>
                <w:color w:val="auto"/>
                <w:szCs w:val="21"/>
                <w:highlight w:val="none"/>
              </w:rPr>
              <w:t>投标截止时间</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b/>
                <w:bCs/>
                <w:color w:val="auto"/>
                <w:szCs w:val="21"/>
                <w:highlight w:val="none"/>
              </w:rPr>
              <w:t>202</w:t>
            </w:r>
            <w:r>
              <w:rPr>
                <w:rFonts w:hint="eastAsia"/>
                <w:b/>
                <w:bCs/>
                <w:color w:val="auto"/>
                <w:szCs w:val="21"/>
                <w:highlight w:val="none"/>
                <w:lang w:val="en-US" w:eastAsia="zh-CN"/>
              </w:rPr>
              <w:t>2</w:t>
            </w:r>
            <w:r>
              <w:rPr>
                <w:rFonts w:hint="eastAsia"/>
                <w:b/>
                <w:bCs/>
                <w:color w:val="auto"/>
                <w:szCs w:val="21"/>
                <w:highlight w:val="none"/>
              </w:rPr>
              <w:t>年</w:t>
            </w:r>
            <w:r>
              <w:rPr>
                <w:rFonts w:hint="eastAsia"/>
                <w:b/>
                <w:bCs/>
                <w:color w:val="auto"/>
                <w:szCs w:val="21"/>
                <w:highlight w:val="none"/>
                <w:lang w:val="en-US" w:eastAsia="zh-CN"/>
              </w:rPr>
              <w:t>3</w:t>
            </w:r>
            <w:r>
              <w:rPr>
                <w:rFonts w:hint="eastAsia"/>
                <w:b/>
                <w:bCs/>
                <w:color w:val="auto"/>
                <w:szCs w:val="21"/>
                <w:highlight w:val="none"/>
              </w:rPr>
              <w:t>月</w:t>
            </w:r>
            <w:r>
              <w:rPr>
                <w:rFonts w:hint="eastAsia"/>
                <w:b/>
                <w:bCs/>
                <w:color w:val="auto"/>
                <w:szCs w:val="21"/>
                <w:highlight w:val="none"/>
                <w:lang w:val="en-US" w:eastAsia="zh-CN"/>
              </w:rPr>
              <w:t>2</w:t>
            </w:r>
            <w:r>
              <w:rPr>
                <w:rFonts w:hint="eastAsia"/>
                <w:b/>
                <w:bCs/>
                <w:color w:val="auto"/>
                <w:szCs w:val="21"/>
                <w:highlight w:val="none"/>
              </w:rPr>
              <w:t>日09时30分</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2.2.3</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投标人确认收到招标文件澄清的时间</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color w:val="auto"/>
                <w:szCs w:val="21"/>
                <w:highlight w:val="none"/>
              </w:rPr>
              <w:t>招标人在规定的媒介发出澄清时。</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2.3.2</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投标人确认收到招标文件修改的时间</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color w:val="auto"/>
                <w:szCs w:val="21"/>
                <w:highlight w:val="none"/>
              </w:rPr>
              <w:t>招标人在规定的媒介发出修改时。</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3.1</w:t>
            </w:r>
            <w:r>
              <w:rPr>
                <w:rFonts w:hint="eastAsia"/>
                <w:color w:val="auto"/>
                <w:szCs w:val="21"/>
                <w:highlight w:val="none"/>
              </w:rPr>
              <w:t>.1</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构成投标文件的其他材料</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color w:val="auto"/>
                <w:szCs w:val="21"/>
                <w:highlight w:val="none"/>
              </w:rPr>
              <w:t>对招标文件所作的澄清、答疑、修改、补充等构成招标文件的组成部分(如有)。</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rFonts w:hint="eastAsia"/>
                <w:color w:val="auto"/>
                <w:szCs w:val="21"/>
                <w:highlight w:val="none"/>
              </w:rPr>
              <w:t>3.1.3</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rFonts w:hint="eastAsia"/>
                <w:color w:val="auto"/>
                <w:highlight w:val="none"/>
              </w:rPr>
              <w:t>电子投标文件要求</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rFonts w:ascii="宋体" w:hAnsi="宋体"/>
                <w:b/>
                <w:color w:val="auto"/>
                <w:highlight w:val="none"/>
              </w:rPr>
            </w:pPr>
            <w:r>
              <w:rPr>
                <w:rFonts w:hint="eastAsia" w:ascii="宋体" w:hAnsi="宋体"/>
                <w:b/>
                <w:color w:val="auto"/>
                <w:highlight w:val="none"/>
              </w:rPr>
              <w:t>电子版投标文件需有页码、目录。</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hint="default" w:eastAsia="宋体"/>
                <w:color w:val="auto"/>
                <w:szCs w:val="21"/>
                <w:highlight w:val="none"/>
                <w:lang w:val="en-US" w:eastAsia="zh-CN"/>
              </w:rPr>
            </w:pPr>
            <w:r>
              <w:rPr>
                <w:rFonts w:hint="eastAsia"/>
                <w:color w:val="auto"/>
                <w:szCs w:val="21"/>
                <w:highlight w:val="none"/>
                <w:lang w:val="en-US" w:eastAsia="zh-CN"/>
              </w:rPr>
              <w:t>3.2.2</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hint="eastAsia" w:eastAsia="宋体"/>
                <w:color w:val="auto"/>
                <w:szCs w:val="21"/>
                <w:highlight w:val="none"/>
                <w:lang w:val="en-US" w:eastAsia="zh-CN"/>
              </w:rPr>
            </w:pPr>
            <w:r>
              <w:rPr>
                <w:rFonts w:hint="eastAsia"/>
                <w:color w:val="auto"/>
                <w:szCs w:val="21"/>
                <w:highlight w:val="none"/>
                <w:lang w:val="en-US" w:eastAsia="zh-CN"/>
              </w:rPr>
              <w:t>承包方式</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rFonts w:hint="eastAsia" w:ascii="宋体" w:hAnsi="宋体"/>
                <w:color w:val="auto"/>
                <w:highlight w:val="none"/>
              </w:rPr>
            </w:pPr>
            <w:r>
              <w:rPr>
                <w:rFonts w:hint="eastAsia" w:ascii="宋体" w:hAnsi="宋体" w:eastAsia="宋体"/>
                <w:color w:val="auto"/>
                <w:highlight w:val="none"/>
                <w:lang w:eastAsia="zh-CN"/>
              </w:rPr>
              <w:t>中标价</w:t>
            </w:r>
            <w:r>
              <w:rPr>
                <w:rFonts w:hint="eastAsia" w:ascii="宋体" w:hAnsi="宋体" w:eastAsia="宋体"/>
                <w:color w:val="auto"/>
                <w:highlight w:val="none"/>
                <w:lang w:val="en-US" w:eastAsia="zh-CN"/>
              </w:rPr>
              <w:t>±设计变更和预算外</w:t>
            </w:r>
            <w:r>
              <w:rPr>
                <w:rFonts w:hint="eastAsia" w:ascii="宋体" w:hAnsi="宋体" w:eastAsia="宋体"/>
                <w:color w:val="auto"/>
                <w:highlight w:val="none"/>
                <w:lang w:eastAsia="zh-CN"/>
              </w:rPr>
              <w:t>签证</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3.3</w:t>
            </w:r>
            <w:r>
              <w:rPr>
                <w:rFonts w:hint="eastAsia"/>
                <w:color w:val="auto"/>
                <w:szCs w:val="21"/>
                <w:highlight w:val="none"/>
              </w:rPr>
              <w:t>.1</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投标有效期</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ascii="宋体" w:hAnsi="宋体"/>
                <w:color w:val="auto"/>
                <w:highlight w:val="none"/>
              </w:rPr>
              <w:t>投标截止之日起90日历天</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3.4.1</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投标保证金</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b/>
                <w:color w:val="auto"/>
                <w:szCs w:val="21"/>
                <w:highlight w:val="none"/>
              </w:rPr>
            </w:pPr>
            <w:r>
              <w:rPr>
                <w:rFonts w:hint="eastAsia"/>
                <w:b/>
                <w:color w:val="auto"/>
                <w:szCs w:val="21"/>
                <w:highlight w:val="none"/>
              </w:rPr>
              <w:t>投标保证金的金额：人民币</w:t>
            </w:r>
            <w:r>
              <w:rPr>
                <w:rFonts w:hint="eastAsia"/>
                <w:b/>
                <w:color w:val="auto"/>
                <w:szCs w:val="21"/>
                <w:highlight w:val="none"/>
                <w:lang w:val="en-US" w:eastAsia="zh-CN"/>
              </w:rPr>
              <w:t>拾</w:t>
            </w:r>
            <w:r>
              <w:rPr>
                <w:rFonts w:hint="eastAsia"/>
                <w:b/>
                <w:color w:val="auto"/>
                <w:szCs w:val="21"/>
                <w:highlight w:val="none"/>
              </w:rPr>
              <w:t>万元（¥</w:t>
            </w:r>
            <w:r>
              <w:rPr>
                <w:rFonts w:hint="eastAsia"/>
                <w:b/>
                <w:color w:val="auto"/>
                <w:szCs w:val="21"/>
                <w:highlight w:val="none"/>
                <w:lang w:val="en-US" w:eastAsia="zh-CN"/>
              </w:rPr>
              <w:t>100000</w:t>
            </w:r>
            <w:r>
              <w:rPr>
                <w:rFonts w:hint="eastAsia"/>
                <w:b/>
                <w:color w:val="auto"/>
                <w:szCs w:val="21"/>
                <w:highlight w:val="none"/>
              </w:rPr>
              <w:t>元）；</w:t>
            </w:r>
          </w:p>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color w:val="auto"/>
                <w:szCs w:val="21"/>
                <w:highlight w:val="none"/>
              </w:rPr>
              <w:t>投标保证金的形式：电汇或银行转账、电子投标保函</w:t>
            </w:r>
          </w:p>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color w:val="auto"/>
                <w:szCs w:val="21"/>
                <w:highlight w:val="none"/>
              </w:rPr>
              <w:t>1.电汇或银行转账：</w:t>
            </w:r>
          </w:p>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color w:val="auto"/>
                <w:szCs w:val="21"/>
                <w:highlight w:val="none"/>
              </w:rPr>
              <w:t>（1）本次投标保证金不接受现金（含现金缴款单）。</w:t>
            </w:r>
          </w:p>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color w:val="auto"/>
                <w:szCs w:val="21"/>
                <w:highlight w:val="none"/>
              </w:rPr>
              <w:t>（2）每个标段（包）由“洛阳市电子招投标交易平台”自动生成一个对应的保证金账号，不同标段（包）的保证金账号不同。</w:t>
            </w:r>
          </w:p>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color w:val="auto"/>
                <w:szCs w:val="21"/>
                <w:highlight w:val="none"/>
              </w:rPr>
              <w:t>（3）如投标人投多个标段（包），则应按所投标段（包）的保证金账号和金额分别单笔足额缴纳（多笔合计的无效），否则将视为无效保证金。保证金缴款信息可在线打印。</w:t>
            </w:r>
          </w:p>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color w:val="auto"/>
                <w:szCs w:val="21"/>
                <w:highlight w:val="none"/>
              </w:rPr>
              <w:t>（4）保证金必须从投标人的基本账户通过转账方式于投标截止时间前转至指定账户，即“洛阳市电子招投标交易平台”自动生成的对应标段（包）的保证金账号之账户，以“洛阳市电子招投标交易平台”显示的到账金额和时间为准。</w:t>
            </w:r>
          </w:p>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color w:val="auto"/>
                <w:szCs w:val="21"/>
                <w:highlight w:val="none"/>
              </w:rPr>
              <w:t>（5）保证金的退还：在中标候选人公示发布后，非中标候选人的投标保证金，由系统自动原账号退还；中标公示发布之后，非中标人的候选人，投标保证金由系统自动原账号退还；中标人的投标保证金，自合同签订后5个工作日内（中标人通过洛阳市电子招投标交易平台上传合同扫描件，提交退还保证金申请）退还中标人的投标保证金。</w:t>
            </w:r>
          </w:p>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color w:val="auto"/>
                <w:szCs w:val="21"/>
                <w:highlight w:val="none"/>
              </w:rPr>
              <w:t>2.电子投标保函</w:t>
            </w:r>
            <w:r>
              <w:rPr>
                <w:color w:val="auto"/>
                <w:szCs w:val="21"/>
                <w:highlight w:val="none"/>
              </w:rPr>
              <w:t>：</w:t>
            </w:r>
          </w:p>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color w:val="auto"/>
                <w:szCs w:val="21"/>
                <w:highlight w:val="none"/>
              </w:rPr>
              <w:t>（1）投标人在洛阳市公共资源交易金融服务平台进行所投标段的电子投标保函申请（须通过基本户缴费），由系统自动加密并在线递交，开标后电子投标保函与投标文件同时解密并传送到评标系统。</w:t>
            </w:r>
          </w:p>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color w:val="auto"/>
                <w:szCs w:val="21"/>
                <w:highlight w:val="none"/>
              </w:rPr>
              <w:t>（2） 电子投标保函申请</w:t>
            </w:r>
            <w:r>
              <w:rPr>
                <w:color w:val="auto"/>
                <w:szCs w:val="21"/>
                <w:highlight w:val="none"/>
              </w:rPr>
              <w:t>详见</w:t>
            </w:r>
            <w:r>
              <w:rPr>
                <w:rFonts w:hint="eastAsia"/>
                <w:color w:val="auto"/>
                <w:szCs w:val="21"/>
                <w:highlight w:val="none"/>
              </w:rPr>
              <w:t>洛阳市公共资源交易中心网站办事指南----洛阳市公共资源交易金融服务平台操作手册。</w:t>
            </w:r>
          </w:p>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b/>
                <w:bCs/>
                <w:color w:val="auto"/>
                <w:szCs w:val="21"/>
                <w:highlight w:val="none"/>
              </w:rPr>
              <w:t>（3）为保障投标保函真实性，保护投标信息安全性，预防围标串标行为，提高电子开评标工作效率，本次招标不接受纸质保函。</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3.6</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是否允许</w:t>
            </w:r>
            <w:r>
              <w:rPr>
                <w:rFonts w:hint="eastAsia"/>
                <w:color w:val="auto"/>
                <w:szCs w:val="21"/>
                <w:highlight w:val="none"/>
              </w:rPr>
              <w:t>递交</w:t>
            </w:r>
          </w:p>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rFonts w:hint="eastAsia"/>
                <w:color w:val="auto"/>
                <w:szCs w:val="21"/>
                <w:highlight w:val="none"/>
              </w:rPr>
              <w:t>备</w:t>
            </w:r>
            <w:r>
              <w:rPr>
                <w:color w:val="auto"/>
                <w:szCs w:val="21"/>
                <w:highlight w:val="none"/>
              </w:rPr>
              <w:t>选投标方案</w:t>
            </w:r>
          </w:p>
        </w:tc>
        <w:tc>
          <w:tcPr>
            <w:tcW w:w="7015" w:type="dxa"/>
            <w:tcBorders>
              <w:top w:val="single" w:color="auto" w:sz="4" w:space="0"/>
              <w:left w:val="single" w:color="auto" w:sz="4" w:space="0"/>
              <w:bottom w:val="single" w:color="auto" w:sz="4" w:space="0"/>
              <w:right w:val="single" w:color="auto" w:sz="4" w:space="0"/>
            </w:tcBorders>
            <w:vAlign w:val="center"/>
          </w:tcPr>
          <w:p>
            <w:pPr>
              <w:pStyle w:val="16"/>
              <w:keepNext w:val="0"/>
              <w:keepLines w:val="0"/>
              <w:pageBreakBefore w:val="0"/>
              <w:kinsoku/>
              <w:wordWrap/>
              <w:overflowPunct/>
              <w:topLinePunct/>
              <w:bidi w:val="0"/>
              <w:adjustRightInd w:val="0"/>
              <w:snapToGrid/>
              <w:spacing w:line="440" w:lineRule="exact"/>
              <w:textAlignment w:val="baseline"/>
              <w:rPr>
                <w:rFonts w:ascii="Times New Roman"/>
                <w:color w:val="auto"/>
                <w:sz w:val="21"/>
                <w:szCs w:val="21"/>
                <w:highlight w:val="none"/>
              </w:rPr>
            </w:pPr>
            <w:r>
              <w:rPr>
                <w:rFonts w:hint="eastAsia" w:ascii="Times New Roman"/>
                <w:color w:val="auto"/>
                <w:sz w:val="21"/>
                <w:szCs w:val="21"/>
                <w:highlight w:val="none"/>
              </w:rPr>
              <w:t>不允许</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3.7.3</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rFonts w:hint="eastAsia"/>
                <w:color w:val="auto"/>
                <w:szCs w:val="21"/>
                <w:highlight w:val="none"/>
              </w:rPr>
              <w:t>投标文件签字或盖章要求</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left"/>
              <w:textAlignment w:val="baseline"/>
              <w:rPr>
                <w:b/>
                <w:color w:val="auto"/>
                <w:szCs w:val="21"/>
                <w:highlight w:val="none"/>
              </w:rPr>
            </w:pPr>
            <w:r>
              <w:rPr>
                <w:rFonts w:hint="eastAsia"/>
                <w:b/>
                <w:color w:val="auto"/>
                <w:szCs w:val="21"/>
                <w:highlight w:val="none"/>
              </w:rPr>
              <w:t>投标人使用“新点投标文件制作软件”在制作电子投标文件时，应按规定进行签字或盖章。投标文件格式中要求盖单位章和（或）签字的地方，投标人均应使用CA 数字证书加盖投标人的单位电子签章。签名可以是手签后上传的，也可以是电子手写签名或法定代表人的个人电子签章。</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hint="eastAsia" w:eastAsia="宋体"/>
                <w:color w:val="auto"/>
                <w:szCs w:val="21"/>
                <w:highlight w:val="none"/>
                <w:lang w:eastAsia="zh-CN"/>
              </w:rPr>
            </w:pPr>
            <w:r>
              <w:rPr>
                <w:rFonts w:hint="eastAsia"/>
                <w:color w:val="auto"/>
                <w:szCs w:val="21"/>
                <w:highlight w:val="none"/>
              </w:rPr>
              <w:t>3.7.</w:t>
            </w:r>
            <w:r>
              <w:rPr>
                <w:rFonts w:hint="eastAsia"/>
                <w:color w:val="auto"/>
                <w:szCs w:val="21"/>
                <w:highlight w:val="none"/>
                <w:lang w:val="en-US" w:eastAsia="zh-CN"/>
              </w:rPr>
              <w:t>5</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投标文件所附证明资料要求</w:t>
            </w:r>
          </w:p>
        </w:tc>
        <w:tc>
          <w:tcPr>
            <w:tcW w:w="7015"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bidi w:val="0"/>
              <w:adjustRightInd w:val="0"/>
              <w:snapToGrid/>
              <w:spacing w:line="440" w:lineRule="exact"/>
              <w:jc w:val="left"/>
              <w:textAlignment w:val="baseline"/>
              <w:rPr>
                <w:color w:val="auto"/>
                <w:szCs w:val="21"/>
                <w:highlight w:val="none"/>
              </w:rPr>
            </w:pPr>
            <w:r>
              <w:rPr>
                <w:color w:val="auto"/>
                <w:szCs w:val="21"/>
                <w:highlight w:val="none"/>
              </w:rPr>
              <w:t>投标文件所附证明材料均为原件的扫描件，尺寸和清晰度应该能够在电脑上被阅读、识别和判断；若投标人未按要求提供证明材料或提供不清晰的扫描件的，评标委员会有权认定其投标文件未对招标文件有关要求进行响应，涉及资格审查或符合性审查的将不予通过。</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hint="eastAsia" w:eastAsia="宋体"/>
                <w:color w:val="auto"/>
                <w:szCs w:val="21"/>
                <w:highlight w:val="none"/>
                <w:lang w:eastAsia="zh-CN"/>
              </w:rPr>
            </w:pPr>
            <w:r>
              <w:rPr>
                <w:color w:val="auto"/>
                <w:szCs w:val="21"/>
                <w:highlight w:val="none"/>
              </w:rPr>
              <w:t>4.</w:t>
            </w:r>
            <w:r>
              <w:rPr>
                <w:rFonts w:hint="eastAsia"/>
                <w:color w:val="auto"/>
                <w:szCs w:val="21"/>
                <w:highlight w:val="none"/>
                <w:lang w:val="en-US" w:eastAsia="zh-CN"/>
              </w:rPr>
              <w:t>2</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投标文件递交</w:t>
            </w:r>
          </w:p>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rFonts w:hint="eastAsia"/>
                <w:color w:val="auto"/>
                <w:szCs w:val="21"/>
                <w:highlight w:val="none"/>
              </w:rPr>
              <w:t>截止时间及</w:t>
            </w:r>
            <w:r>
              <w:rPr>
                <w:color w:val="auto"/>
                <w:szCs w:val="21"/>
                <w:highlight w:val="none"/>
              </w:rPr>
              <w:t>地点</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napToGrid/>
              <w:spacing w:line="440" w:lineRule="exact"/>
              <w:rPr>
                <w:color w:val="auto"/>
                <w:szCs w:val="21"/>
                <w:highlight w:val="none"/>
              </w:rPr>
            </w:pPr>
            <w:r>
              <w:rPr>
                <w:rFonts w:hint="eastAsia"/>
                <w:color w:val="auto"/>
                <w:szCs w:val="21"/>
                <w:highlight w:val="none"/>
              </w:rPr>
              <w:t>时间：同</w:t>
            </w:r>
            <w:r>
              <w:rPr>
                <w:color w:val="auto"/>
                <w:szCs w:val="21"/>
                <w:highlight w:val="none"/>
              </w:rPr>
              <w:t>投标截止时间</w:t>
            </w:r>
            <w:r>
              <w:rPr>
                <w:rFonts w:hint="eastAsia"/>
                <w:color w:val="auto"/>
                <w:szCs w:val="21"/>
                <w:highlight w:val="none"/>
              </w:rPr>
              <w:t>。</w:t>
            </w:r>
          </w:p>
          <w:p>
            <w:pPr>
              <w:keepNext w:val="0"/>
              <w:keepLines w:val="0"/>
              <w:pageBreakBefore w:val="0"/>
              <w:kinsoku/>
              <w:wordWrap/>
              <w:overflowPunct/>
              <w:bidi w:val="0"/>
              <w:snapToGrid/>
              <w:spacing w:line="440" w:lineRule="exact"/>
              <w:rPr>
                <w:color w:val="auto"/>
                <w:szCs w:val="21"/>
                <w:highlight w:val="none"/>
              </w:rPr>
            </w:pPr>
            <w:r>
              <w:rPr>
                <w:rFonts w:hint="eastAsia"/>
                <w:color w:val="auto"/>
                <w:szCs w:val="21"/>
                <w:highlight w:val="none"/>
              </w:rPr>
              <w:t>电子投标文件（加密版）递交地点：在投标截止时间前通过全国公共资源交易平台（河南省·洛阳市）系统中在线完成上传加密的电子投标文件。</w:t>
            </w:r>
          </w:p>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ascii="宋体" w:hAnsi="宋体"/>
                <w:b/>
                <w:color w:val="auto"/>
                <w:szCs w:val="21"/>
                <w:highlight w:val="none"/>
              </w:rPr>
              <w:t>（提醒：投标人应考虑投标数据传输耗时以及意外情况的影响，适当提前上传。因洛阳市电子招投标交易平台问题无法上传电子投标文件时，请在工作时间与交易中心联系。联系方式：400-998-0000；0379-69921055。</w:t>
            </w:r>
            <w:r>
              <w:rPr>
                <w:b/>
                <w:color w:val="auto"/>
                <w:highlight w:val="none"/>
              </w:rPr>
              <w:t>因投标人自身原因而导致投标文件无法导入“洛阳市电子招投标交易平台”电子开标、评标系统，该投标视为无效投标，投标人自行承担由此导致的全部责任</w:t>
            </w:r>
            <w:r>
              <w:rPr>
                <w:rFonts w:hint="eastAsia" w:ascii="宋体" w:hAnsi="宋体"/>
                <w:b/>
                <w:color w:val="auto"/>
                <w:szCs w:val="21"/>
                <w:highlight w:val="none"/>
              </w:rPr>
              <w:t>）</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5.1</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rFonts w:hint="eastAsia"/>
                <w:color w:val="auto"/>
                <w:szCs w:val="21"/>
                <w:highlight w:val="none"/>
              </w:rPr>
              <w:t>开标时间和地点</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color w:val="auto"/>
                <w:szCs w:val="21"/>
                <w:highlight w:val="none"/>
              </w:rPr>
              <w:t>开标时间：同投标截止时间；</w:t>
            </w:r>
          </w:p>
          <w:p>
            <w:pPr>
              <w:keepNext w:val="0"/>
              <w:keepLines w:val="0"/>
              <w:pageBreakBefore w:val="0"/>
              <w:kinsoku/>
              <w:wordWrap/>
              <w:overflowPunct/>
              <w:bidi w:val="0"/>
              <w:adjustRightInd w:val="0"/>
              <w:snapToGrid/>
              <w:spacing w:line="440" w:lineRule="exact"/>
              <w:textAlignment w:val="baseline"/>
              <w:rPr>
                <w:rFonts w:hint="eastAsia" w:eastAsia="宋体"/>
                <w:color w:val="auto"/>
                <w:szCs w:val="21"/>
                <w:highlight w:val="none"/>
                <w:lang w:eastAsia="zh-CN"/>
              </w:rPr>
            </w:pPr>
            <w:r>
              <w:rPr>
                <w:rFonts w:hint="eastAsia"/>
                <w:color w:val="auto"/>
                <w:szCs w:val="21"/>
                <w:highlight w:val="none"/>
              </w:rPr>
              <w:t>开标地点：同递交投标文件地点</w:t>
            </w:r>
            <w:r>
              <w:rPr>
                <w:rFonts w:hint="eastAsia"/>
                <w:color w:val="auto"/>
                <w:szCs w:val="21"/>
                <w:highlight w:val="none"/>
                <w:lang w:eastAsia="zh-CN"/>
              </w:rPr>
              <w:t>。</w:t>
            </w:r>
          </w:p>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color w:val="auto"/>
                <w:szCs w:val="21"/>
                <w:highlight w:val="none"/>
              </w:rPr>
              <w:t>电子投标文件（加密版）递交地点：投标人应在投标截止时间前，通过互联网使用CA 数字证书登录洛阳市公共资源交易中心网站，将加密的投标文件上传至“洛阳市电子招投标交易平台”指定位置，上传成功后将得到上传成功的确认。</w:t>
            </w:r>
          </w:p>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color w:val="auto"/>
                <w:szCs w:val="21"/>
                <w:highlight w:val="none"/>
              </w:rPr>
              <w:t>（提醒：投标人应充分考虑上传文件时的不可预见因素，未在投标截止时间前完成上传的，视为逾期送达，洛阳市电子招投标交易平台将拒绝接收。因洛阳市电子招投标交易平台问题无法上传电子投标文件时，请在工作时间与交易中心联系。联系方式：400-998-0000，0379-69921055。）</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rFonts w:hint="eastAsia"/>
                <w:color w:val="auto"/>
                <w:szCs w:val="21"/>
                <w:highlight w:val="none"/>
              </w:rPr>
              <w:t>5.2</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rFonts w:hint="eastAsia"/>
                <w:color w:val="auto"/>
                <w:szCs w:val="21"/>
                <w:highlight w:val="none"/>
              </w:rPr>
              <w:t>开标程序</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color w:val="auto"/>
                <w:szCs w:val="21"/>
                <w:highlight w:val="none"/>
              </w:rPr>
              <w:t>开标顺序：按照递交电子投标文件的顺序解密唱标。</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6.1.1</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rFonts w:hint="eastAsia"/>
                <w:color w:val="auto"/>
                <w:szCs w:val="21"/>
                <w:highlight w:val="none"/>
              </w:rPr>
              <w:t>评标委员会</w:t>
            </w:r>
          </w:p>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rFonts w:hint="eastAsia"/>
                <w:color w:val="auto"/>
                <w:szCs w:val="21"/>
                <w:highlight w:val="none"/>
              </w:rPr>
              <w:t>的组建</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rFonts w:hint="eastAsia" w:eastAsia="宋体"/>
                <w:color w:val="auto"/>
                <w:szCs w:val="21"/>
                <w:highlight w:val="none"/>
                <w:lang w:val="en-US" w:eastAsia="zh-CN"/>
              </w:rPr>
            </w:pPr>
            <w:r>
              <w:rPr>
                <w:rFonts w:hint="eastAsia"/>
                <w:color w:val="auto"/>
                <w:szCs w:val="21"/>
                <w:highlight w:val="none"/>
              </w:rPr>
              <w:t>评标委员会构成：经济、技术专家</w:t>
            </w:r>
            <w:r>
              <w:rPr>
                <w:rFonts w:hint="eastAsia"/>
                <w:color w:val="auto"/>
                <w:szCs w:val="21"/>
                <w:highlight w:val="none"/>
                <w:u w:val="single"/>
                <w:lang w:val="en-US" w:eastAsia="zh-CN"/>
              </w:rPr>
              <w:t>5</w:t>
            </w:r>
            <w:r>
              <w:rPr>
                <w:rFonts w:hint="eastAsia"/>
                <w:color w:val="auto"/>
                <w:szCs w:val="21"/>
                <w:highlight w:val="none"/>
              </w:rPr>
              <w:t>人</w:t>
            </w:r>
            <w:r>
              <w:rPr>
                <w:rFonts w:hint="eastAsia"/>
                <w:color w:val="auto"/>
                <w:szCs w:val="21"/>
                <w:highlight w:val="none"/>
                <w:lang w:eastAsia="zh-CN"/>
              </w:rPr>
              <w:t>；</w:t>
            </w:r>
          </w:p>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color w:val="auto"/>
                <w:szCs w:val="21"/>
                <w:highlight w:val="none"/>
              </w:rPr>
              <w:t>评标专家确定方式：经济、技术专家从河南省综合评标专家库中随机抽取确定。</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7.1</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rFonts w:hint="eastAsia"/>
                <w:color w:val="auto"/>
                <w:szCs w:val="21"/>
                <w:highlight w:val="none"/>
              </w:rPr>
              <w:t>是否授权评标委员会确定中标人</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napToGrid/>
              <w:spacing w:line="440" w:lineRule="exact"/>
              <w:rPr>
                <w:color w:val="auto"/>
                <w:szCs w:val="21"/>
                <w:highlight w:val="none"/>
              </w:rPr>
            </w:pPr>
            <w:r>
              <w:rPr>
                <w:rFonts w:hint="eastAsia"/>
                <w:color w:val="auto"/>
                <w:szCs w:val="21"/>
                <w:highlight w:val="none"/>
              </w:rPr>
              <w:t>否，按照得分由高到低的顺序推荐前3名为中标候选人。</w:t>
            </w:r>
          </w:p>
          <w:p>
            <w:pPr>
              <w:keepNext w:val="0"/>
              <w:keepLines w:val="0"/>
              <w:pageBreakBefore w:val="0"/>
              <w:kinsoku/>
              <w:wordWrap/>
              <w:overflowPunct/>
              <w:bidi w:val="0"/>
              <w:snapToGrid/>
              <w:spacing w:line="440" w:lineRule="exact"/>
              <w:rPr>
                <w:color w:val="auto"/>
                <w:szCs w:val="21"/>
                <w:highlight w:val="none"/>
              </w:rPr>
            </w:pPr>
            <w:r>
              <w:rPr>
                <w:rFonts w:hint="eastAsia"/>
                <w:color w:val="auto"/>
                <w:szCs w:val="21"/>
                <w:highlight w:val="none"/>
              </w:rPr>
              <w:t>中标候选人公示期：不少于3日</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7.</w:t>
            </w:r>
            <w:r>
              <w:rPr>
                <w:rFonts w:hint="eastAsia"/>
                <w:color w:val="auto"/>
                <w:szCs w:val="21"/>
                <w:highlight w:val="none"/>
                <w:lang w:val="en-US" w:eastAsia="zh-CN"/>
              </w:rPr>
              <w:t>3</w:t>
            </w:r>
            <w:r>
              <w:rPr>
                <w:color w:val="auto"/>
                <w:szCs w:val="21"/>
                <w:highlight w:val="none"/>
              </w:rPr>
              <w:t>.1</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履约担保</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napToGrid/>
              <w:spacing w:line="440" w:lineRule="exact"/>
              <w:rPr>
                <w:rFonts w:hint="eastAsia" w:eastAsia="宋体"/>
                <w:color w:val="auto"/>
                <w:szCs w:val="21"/>
                <w:highlight w:val="none"/>
                <w:lang w:val="en-US" w:eastAsia="zh-CN"/>
              </w:rPr>
            </w:pPr>
            <w:r>
              <w:rPr>
                <w:rFonts w:hint="eastAsia"/>
                <w:color w:val="auto"/>
                <w:szCs w:val="21"/>
                <w:highlight w:val="none"/>
                <w:lang w:val="en-US" w:eastAsia="zh-CN"/>
              </w:rPr>
              <w:t>依据河南省财政厅《关于优化政府采购营商环境有关问题的通知》（豫财购【2019】4号）文件要求，本项目免收履约保证金。</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b/>
                <w:color w:val="auto"/>
                <w:szCs w:val="21"/>
                <w:highlight w:val="none"/>
              </w:rPr>
            </w:pPr>
            <w:r>
              <w:rPr>
                <w:rFonts w:hint="eastAsia"/>
                <w:b/>
                <w:color w:val="auto"/>
                <w:szCs w:val="21"/>
                <w:highlight w:val="none"/>
              </w:rPr>
              <w:t>10</w:t>
            </w:r>
          </w:p>
        </w:tc>
        <w:tc>
          <w:tcPr>
            <w:tcW w:w="900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b/>
                <w:color w:val="auto"/>
                <w:szCs w:val="21"/>
                <w:highlight w:val="none"/>
              </w:rPr>
            </w:pPr>
            <w:r>
              <w:rPr>
                <w:rFonts w:hint="eastAsia"/>
                <w:b/>
                <w:color w:val="auto"/>
                <w:szCs w:val="21"/>
                <w:highlight w:val="none"/>
              </w:rPr>
              <w:t>需要</w:t>
            </w:r>
            <w:r>
              <w:rPr>
                <w:b/>
                <w:color w:val="auto"/>
                <w:szCs w:val="21"/>
                <w:highlight w:val="none"/>
              </w:rPr>
              <w:t>补充</w:t>
            </w:r>
            <w:r>
              <w:rPr>
                <w:rFonts w:hint="eastAsia"/>
                <w:b/>
                <w:color w:val="auto"/>
                <w:szCs w:val="21"/>
                <w:highlight w:val="none"/>
              </w:rPr>
              <w:t>的其他</w:t>
            </w:r>
            <w:r>
              <w:rPr>
                <w:b/>
                <w:color w:val="auto"/>
                <w:szCs w:val="21"/>
                <w:highlight w:val="none"/>
              </w:rPr>
              <w:t>内容</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rFonts w:hint="eastAsia"/>
                <w:color w:val="auto"/>
                <w:szCs w:val="21"/>
                <w:highlight w:val="none"/>
              </w:rPr>
              <w:t>10.1</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rFonts w:hint="eastAsia"/>
                <w:color w:val="auto"/>
                <w:szCs w:val="21"/>
                <w:highlight w:val="none"/>
              </w:rPr>
              <w:t>是否采用电子招标投标</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left"/>
              <w:textAlignment w:val="baseline"/>
              <w:rPr>
                <w:color w:val="auto"/>
                <w:szCs w:val="21"/>
                <w:highlight w:val="none"/>
              </w:rPr>
            </w:pPr>
            <w:r>
              <w:rPr>
                <w:rFonts w:hint="eastAsia"/>
                <w:color w:val="auto"/>
                <w:szCs w:val="21"/>
                <w:highlight w:val="none"/>
              </w:rPr>
              <w:t>是，具体要求：投标文件所附证明材料均为原件的扫描件（或照片），尺寸和清晰度应该能够在电脑上被阅读、识别和判断；若投标人未按要求提供证明材料或提供不清晰的扫描件（或照片）的，评标委员会有权认定其投标文件未对招标文件有关要求进行响应，涉及资格审查或符合性审查的将不予通过。</w:t>
            </w:r>
          </w:p>
        </w:tc>
      </w:tr>
      <w:tr>
        <w:tblPrEx>
          <w:tblCellMar>
            <w:top w:w="0" w:type="dxa"/>
            <w:left w:w="108" w:type="dxa"/>
            <w:bottom w:w="0" w:type="dxa"/>
            <w:right w:w="108" w:type="dxa"/>
          </w:tblCellMar>
        </w:tblPrEx>
        <w:trPr>
          <w:trHeight w:val="1845"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rFonts w:hint="eastAsia"/>
                <w:color w:val="auto"/>
                <w:szCs w:val="21"/>
                <w:highlight w:val="none"/>
              </w:rPr>
              <w:t>10.2</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rFonts w:hint="eastAsia"/>
                <w:color w:val="auto"/>
                <w:szCs w:val="21"/>
                <w:highlight w:val="none"/>
              </w:rPr>
              <w:t>投标人参加</w:t>
            </w:r>
          </w:p>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rFonts w:hint="eastAsia"/>
                <w:color w:val="auto"/>
                <w:szCs w:val="21"/>
                <w:highlight w:val="none"/>
              </w:rPr>
              <w:t>开标人员</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ascii="宋体" w:hAnsi="宋体"/>
                <w:color w:val="auto"/>
                <w:szCs w:val="21"/>
                <w:highlight w:val="none"/>
              </w:rPr>
              <w:t>本项目采用远程不见面交易的模式。开标当日，投标人无需到开标现场参加开标会议，投标人应当在投标截止时间前，登录不见面开标大厅选择洛阳市公共资源电子招投标系统进行登录（网址为http://t.cn/A6huPROa），在线准时参加开标活动并进行投标文件解密等。</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hint="default"/>
                <w:color w:val="auto"/>
                <w:szCs w:val="21"/>
                <w:highlight w:val="none"/>
                <w:lang w:val="en-US" w:eastAsia="zh-CN"/>
              </w:rPr>
            </w:pPr>
            <w:r>
              <w:rPr>
                <w:rFonts w:hint="eastAsia"/>
                <w:color w:val="auto"/>
                <w:szCs w:val="21"/>
                <w:highlight w:val="none"/>
                <w:lang w:val="en-US" w:eastAsia="zh-CN"/>
              </w:rPr>
              <w:t>10.3</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hint="eastAsia"/>
                <w:color w:val="auto"/>
                <w:szCs w:val="21"/>
                <w:highlight w:val="none"/>
                <w:lang w:val="en-US" w:eastAsia="zh-CN"/>
              </w:rPr>
            </w:pPr>
            <w:r>
              <w:rPr>
                <w:rFonts w:hint="eastAsia"/>
                <w:color w:val="auto"/>
                <w:szCs w:val="21"/>
                <w:highlight w:val="none"/>
                <w:lang w:val="en-US" w:eastAsia="zh-CN"/>
              </w:rPr>
              <w:t>项目经理论述</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leftChars="0"/>
              <w:jc w:val="left"/>
              <w:textAlignment w:val="auto"/>
              <w:rPr>
                <w:rFonts w:hint="eastAsia"/>
                <w:color w:val="auto"/>
                <w:szCs w:val="21"/>
                <w:highlight w:val="none"/>
              </w:rPr>
            </w:pPr>
            <w:r>
              <w:rPr>
                <w:rFonts w:hint="eastAsia"/>
                <w:color w:val="auto"/>
                <w:szCs w:val="21"/>
                <w:highlight w:val="none"/>
              </w:rPr>
              <w:t>（1）具体操作答辩形式：项目经理答辩采用不见面远程答辩形式，项目经理无需到评标现场答辩。</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leftChars="0"/>
              <w:jc w:val="left"/>
              <w:textAlignment w:val="auto"/>
              <w:rPr>
                <w:rFonts w:hint="eastAsia"/>
                <w:color w:val="auto"/>
                <w:szCs w:val="21"/>
                <w:highlight w:val="none"/>
              </w:rPr>
            </w:pPr>
            <w:r>
              <w:rPr>
                <w:rFonts w:hint="eastAsia"/>
                <w:color w:val="auto"/>
                <w:szCs w:val="21"/>
                <w:highlight w:val="none"/>
              </w:rPr>
              <w:t>（2）具体操作及要求：</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leftChars="0"/>
              <w:jc w:val="left"/>
              <w:textAlignment w:val="auto"/>
              <w:rPr>
                <w:rFonts w:hint="eastAsia"/>
                <w:color w:val="auto"/>
                <w:szCs w:val="21"/>
                <w:highlight w:val="none"/>
              </w:rPr>
            </w:pPr>
            <w:r>
              <w:rPr>
                <w:rFonts w:hint="eastAsia"/>
                <w:color w:val="auto"/>
                <w:szCs w:val="21"/>
                <w:highlight w:val="none"/>
              </w:rPr>
              <w:t>本次答辩软件为“腾讯QQ”软件。投标人须在投标文件中提供法定代表人或委托代理人“手机号”和项目经理本人的“手机号”、“QQ号”等相关信息，后附投标人远程答辩信息表（以便接收答辩通知及会议要求）。</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leftChars="0"/>
              <w:jc w:val="left"/>
              <w:textAlignment w:val="auto"/>
              <w:rPr>
                <w:rFonts w:hint="eastAsia"/>
                <w:color w:val="auto"/>
                <w:szCs w:val="21"/>
                <w:highlight w:val="none"/>
              </w:rPr>
            </w:pPr>
            <w:r>
              <w:rPr>
                <w:rFonts w:hint="eastAsia"/>
                <w:color w:val="auto"/>
                <w:szCs w:val="21"/>
                <w:highlight w:val="none"/>
              </w:rPr>
              <w:t>答辩具体操作如下：</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leftChars="0"/>
              <w:jc w:val="left"/>
              <w:textAlignment w:val="auto"/>
              <w:rPr>
                <w:rFonts w:hint="eastAsia"/>
                <w:color w:val="auto"/>
                <w:szCs w:val="21"/>
                <w:highlight w:val="none"/>
              </w:rPr>
            </w:pPr>
            <w:r>
              <w:rPr>
                <w:rFonts w:hint="eastAsia"/>
                <w:color w:val="auto"/>
                <w:szCs w:val="21"/>
                <w:highlight w:val="none"/>
              </w:rPr>
              <w:t>①项目经理答辩前，代理机构将通过“加好友”方式添加“投标人的项目经理”为好友，验证信息为：“答辩”。请投标单位安排答辩</w:t>
            </w:r>
            <w:r>
              <w:rPr>
                <w:rFonts w:hint="eastAsia"/>
                <w:color w:val="auto"/>
                <w:szCs w:val="21"/>
                <w:highlight w:val="none"/>
                <w:lang w:val="en-US" w:eastAsia="zh-CN"/>
              </w:rPr>
              <w:t>项目经理准备好本人身份证原件</w:t>
            </w:r>
            <w:r>
              <w:rPr>
                <w:rFonts w:hint="eastAsia"/>
                <w:color w:val="auto"/>
                <w:szCs w:val="21"/>
                <w:highlight w:val="none"/>
              </w:rPr>
              <w:t>在电脑前做好相关准备。</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leftChars="0"/>
              <w:jc w:val="left"/>
              <w:textAlignment w:val="auto"/>
              <w:rPr>
                <w:rFonts w:hint="eastAsia"/>
                <w:color w:val="auto"/>
                <w:szCs w:val="21"/>
                <w:highlight w:val="none"/>
              </w:rPr>
            </w:pPr>
            <w:r>
              <w:rPr>
                <w:rFonts w:hint="eastAsia"/>
                <w:color w:val="auto"/>
                <w:szCs w:val="21"/>
                <w:highlight w:val="none"/>
              </w:rPr>
              <w:t>②通过好友后，项目经理QQ应保持在线，随时准备接受答辩。各投标人需提前测试好网络及设备（话筒、摄像头等），并熟悉摄像头及话筒的使用，避免答辩过程中因操作失误造成不必要的损失。</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leftChars="0"/>
              <w:jc w:val="left"/>
              <w:textAlignment w:val="auto"/>
              <w:rPr>
                <w:rFonts w:hint="eastAsia"/>
                <w:color w:val="auto"/>
                <w:szCs w:val="21"/>
                <w:highlight w:val="none"/>
              </w:rPr>
            </w:pPr>
            <w:r>
              <w:rPr>
                <w:rFonts w:hint="eastAsia"/>
                <w:color w:val="auto"/>
                <w:szCs w:val="21"/>
                <w:highlight w:val="none"/>
              </w:rPr>
              <w:t>③答辩</w:t>
            </w:r>
            <w:r>
              <w:rPr>
                <w:rFonts w:hint="eastAsia"/>
                <w:color w:val="auto"/>
                <w:szCs w:val="21"/>
                <w:highlight w:val="none"/>
                <w:lang w:val="en-US" w:eastAsia="zh-CN"/>
              </w:rPr>
              <w:t>项目经理必须在正规办公场所进行</w:t>
            </w:r>
            <w:r>
              <w:rPr>
                <w:rFonts w:hint="eastAsia"/>
                <w:color w:val="auto"/>
                <w:szCs w:val="21"/>
                <w:highlight w:val="none"/>
              </w:rPr>
              <w:t>答辩</w:t>
            </w:r>
            <w:r>
              <w:rPr>
                <w:rFonts w:hint="eastAsia"/>
                <w:color w:val="auto"/>
                <w:szCs w:val="21"/>
                <w:highlight w:val="none"/>
                <w:lang w:val="en-US" w:eastAsia="zh-CN"/>
              </w:rPr>
              <w:t>，同时应着装得体，</w:t>
            </w:r>
            <w:r>
              <w:rPr>
                <w:rFonts w:hint="eastAsia"/>
                <w:color w:val="auto"/>
                <w:szCs w:val="21"/>
                <w:highlight w:val="none"/>
              </w:rPr>
              <w:t>答辩</w:t>
            </w:r>
            <w:r>
              <w:rPr>
                <w:rFonts w:hint="eastAsia"/>
                <w:color w:val="auto"/>
                <w:szCs w:val="21"/>
                <w:highlight w:val="none"/>
                <w:lang w:val="en-US" w:eastAsia="zh-CN"/>
              </w:rPr>
              <w:t>时间内，不得接听电话，不得有无关人员在场。</w:t>
            </w:r>
          </w:p>
          <w:p>
            <w:pPr>
              <w:keepNext w:val="0"/>
              <w:keepLines w:val="0"/>
              <w:pageBreakBefore w:val="0"/>
              <w:kinsoku/>
              <w:wordWrap/>
              <w:overflowPunct/>
              <w:bidi w:val="0"/>
              <w:adjustRightInd w:val="0"/>
              <w:snapToGrid/>
              <w:spacing w:line="440" w:lineRule="exact"/>
              <w:textAlignment w:val="baseline"/>
              <w:rPr>
                <w:rFonts w:hint="eastAsia"/>
                <w:color w:val="auto"/>
                <w:szCs w:val="21"/>
                <w:highlight w:val="none"/>
                <w:lang w:val="en-US" w:eastAsia="zh-CN"/>
              </w:rPr>
            </w:pPr>
            <w:r>
              <w:rPr>
                <w:rFonts w:hint="eastAsia"/>
                <w:color w:val="auto"/>
                <w:szCs w:val="21"/>
                <w:highlight w:val="none"/>
              </w:rPr>
              <w:t>④按照现场排序情况，与项目经理本人进行视频通话。若添加好友出现不接受、无响应的情况或接受好友后，发起3次视频通话均无法接通者，按未参加本项目“项目经理答辩”认定。</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hint="default" w:eastAsia="宋体"/>
                <w:color w:val="auto"/>
                <w:szCs w:val="21"/>
                <w:highlight w:val="none"/>
                <w:lang w:val="en-US" w:eastAsia="zh-CN"/>
              </w:rPr>
            </w:pPr>
            <w:r>
              <w:rPr>
                <w:rFonts w:hint="eastAsia"/>
                <w:color w:val="auto"/>
                <w:szCs w:val="21"/>
                <w:highlight w:val="none"/>
                <w:lang w:val="en-US" w:eastAsia="zh-CN"/>
              </w:rPr>
              <w:t>10.4</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hint="eastAsia"/>
                <w:color w:val="auto"/>
                <w:szCs w:val="21"/>
                <w:highlight w:val="none"/>
                <w:lang w:val="en-US" w:eastAsia="zh-CN"/>
              </w:rPr>
            </w:pPr>
            <w:r>
              <w:rPr>
                <w:rFonts w:hint="eastAsia"/>
                <w:color w:val="auto"/>
                <w:szCs w:val="21"/>
                <w:highlight w:val="none"/>
                <w:lang w:val="en-US" w:eastAsia="zh-CN"/>
              </w:rPr>
              <w:t>电子投标文件</w:t>
            </w:r>
          </w:p>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rFonts w:hint="eastAsia"/>
                <w:color w:val="auto"/>
                <w:szCs w:val="21"/>
                <w:highlight w:val="none"/>
                <w:lang w:val="en-US" w:eastAsia="zh-CN"/>
              </w:rPr>
              <w:t>雷同性检查提示</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rFonts w:hint="eastAsia"/>
                <w:color w:val="auto"/>
                <w:szCs w:val="21"/>
                <w:highlight w:val="none"/>
              </w:rPr>
            </w:pPr>
            <w:r>
              <w:rPr>
                <w:rFonts w:hint="eastAsia"/>
                <w:color w:val="auto"/>
                <w:szCs w:val="21"/>
                <w:highlight w:val="none"/>
                <w:lang w:val="en-US" w:eastAsia="zh-CN"/>
              </w:rPr>
              <w:t>洛阳市住建局将建立计价软件电子加密锁实名信息管理库，对参与洛阳市房屋建筑和市政基础设施项目的，实行计价软件电子加密锁进行实名管理（具体要求详见（洛建【2020】60号文）《关于房屋建筑和市政基础设施工程电子投标文件雷同认定与处理的通知》）。投标人原则上应使用本单位的计价软件加密锁编制已标价工程量清单。行政监督部门对使用非本单位或个人计价软件加密锁编制已标价工程量清单的投标人，以及频繁变更加密锁信息的单位或个人，予以列入重点监管对象，同时对其参与投标的项目进行重点监管。</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hint="eastAsia" w:eastAsia="宋体"/>
                <w:color w:val="auto"/>
                <w:szCs w:val="21"/>
                <w:highlight w:val="none"/>
                <w:lang w:val="en-US" w:eastAsia="zh-CN"/>
              </w:rPr>
            </w:pPr>
            <w:r>
              <w:rPr>
                <w:rFonts w:hint="eastAsia"/>
                <w:color w:val="auto"/>
                <w:szCs w:val="21"/>
                <w:highlight w:val="none"/>
              </w:rPr>
              <w:t>10.</w:t>
            </w:r>
            <w:r>
              <w:rPr>
                <w:rFonts w:hint="eastAsia"/>
                <w:color w:val="auto"/>
                <w:szCs w:val="21"/>
                <w:highlight w:val="none"/>
                <w:lang w:val="en-US" w:eastAsia="zh-CN"/>
              </w:rPr>
              <w:t>5</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代理服务费</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color w:val="auto"/>
                <w:szCs w:val="21"/>
                <w:highlight w:val="none"/>
              </w:rPr>
              <w:t>本次招标代理服务费参照</w:t>
            </w:r>
            <w:r>
              <w:rPr>
                <w:rFonts w:hint="eastAsia"/>
                <w:color w:val="auto"/>
                <w:szCs w:val="21"/>
                <w:highlight w:val="none"/>
                <w:lang w:eastAsia="zh-CN"/>
              </w:rPr>
              <w:t>《</w:t>
            </w:r>
            <w:r>
              <w:rPr>
                <w:rFonts w:hint="eastAsia"/>
                <w:color w:val="auto"/>
                <w:szCs w:val="21"/>
                <w:highlight w:val="none"/>
                <w:lang w:val="en-US" w:eastAsia="zh-CN"/>
              </w:rPr>
              <w:t>洛阳市市级政府采购代理服务费支付标准</w:t>
            </w:r>
            <w:r>
              <w:rPr>
                <w:rFonts w:hint="eastAsia"/>
                <w:color w:val="auto"/>
                <w:szCs w:val="21"/>
                <w:highlight w:val="none"/>
                <w:lang w:eastAsia="zh-CN"/>
              </w:rPr>
              <w:t>》</w:t>
            </w:r>
            <w:r>
              <w:rPr>
                <w:rFonts w:hint="eastAsia"/>
                <w:color w:val="auto"/>
                <w:szCs w:val="21"/>
                <w:highlight w:val="none"/>
              </w:rPr>
              <w:t>由中标人在领取《中标通知书》时向招标代理机构一次性缴纳，此费用由投标人在投标报价中综合考虑。</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hint="default" w:eastAsia="宋体"/>
                <w:color w:val="auto"/>
                <w:szCs w:val="21"/>
                <w:highlight w:val="none"/>
                <w:lang w:val="en-US" w:eastAsia="zh-CN"/>
              </w:rPr>
            </w:pPr>
            <w:r>
              <w:rPr>
                <w:rFonts w:hint="eastAsia"/>
                <w:color w:val="auto"/>
                <w:szCs w:val="21"/>
                <w:highlight w:val="none"/>
                <w:lang w:val="en-US" w:eastAsia="zh-CN"/>
              </w:rPr>
              <w:t>10.6</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ind w:firstLine="420" w:firstLineChars="200"/>
              <w:jc w:val="left"/>
              <w:textAlignment w:val="baseline"/>
              <w:rPr>
                <w:rFonts w:hint="eastAsia"/>
                <w:color w:val="auto"/>
                <w:szCs w:val="21"/>
                <w:highlight w:val="none"/>
              </w:rPr>
            </w:pPr>
            <w:r>
              <w:rPr>
                <w:rFonts w:hint="eastAsia"/>
                <w:color w:val="auto"/>
                <w:szCs w:val="21"/>
                <w:highlight w:val="none"/>
              </w:rPr>
              <w:t>付款方式</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left"/>
              <w:textAlignment w:val="baseline"/>
              <w:rPr>
                <w:rFonts w:hint="eastAsia"/>
                <w:color w:val="auto"/>
                <w:szCs w:val="21"/>
                <w:highlight w:val="none"/>
              </w:rPr>
            </w:pPr>
            <w:r>
              <w:rPr>
                <w:rFonts w:hint="eastAsia"/>
                <w:color w:val="auto"/>
                <w:szCs w:val="21"/>
                <w:highlight w:val="none"/>
              </w:rPr>
              <w:t>具体以双方签订的施工合同为准。</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hint="eastAsia" w:eastAsia="宋体"/>
                <w:color w:val="auto"/>
                <w:szCs w:val="21"/>
                <w:highlight w:val="none"/>
                <w:lang w:val="en-US" w:eastAsia="zh-CN"/>
              </w:rPr>
            </w:pPr>
            <w:r>
              <w:rPr>
                <w:rFonts w:hint="eastAsia"/>
                <w:color w:val="auto"/>
                <w:szCs w:val="21"/>
                <w:highlight w:val="none"/>
              </w:rPr>
              <w:t>10.</w:t>
            </w:r>
            <w:r>
              <w:rPr>
                <w:rFonts w:hint="eastAsia"/>
                <w:color w:val="auto"/>
                <w:szCs w:val="21"/>
                <w:highlight w:val="none"/>
                <w:lang w:val="en-US" w:eastAsia="zh-CN"/>
              </w:rPr>
              <w:t>7</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rFonts w:hint="eastAsia"/>
                <w:color w:val="auto"/>
                <w:szCs w:val="21"/>
                <w:highlight w:val="none"/>
              </w:rPr>
              <w:t>投标人违法行为</w:t>
            </w:r>
          </w:p>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rFonts w:hint="eastAsia"/>
                <w:color w:val="auto"/>
                <w:szCs w:val="21"/>
                <w:highlight w:val="none"/>
              </w:rPr>
              <w:t>的处理</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left"/>
              <w:textAlignment w:val="baseline"/>
              <w:rPr>
                <w:color w:val="auto"/>
                <w:szCs w:val="21"/>
                <w:highlight w:val="none"/>
              </w:rPr>
            </w:pPr>
            <w:r>
              <w:rPr>
                <w:rFonts w:hint="eastAsia"/>
                <w:color w:val="auto"/>
                <w:szCs w:val="21"/>
                <w:highlight w:val="none"/>
              </w:rPr>
              <w:t>招标人若发现评标委员会推举的中标候选人有借用资质、串标围标、弄虚作假或其他违法行为谋取中标的，招标人将报请有关监督部门取消其中候选人资格或中标资格，情节严重的，招标人将上报有关监督部门按相关法律法规处理。给招标人造成的损失还应当予以赔偿。</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hint="eastAsia" w:eastAsia="宋体"/>
                <w:color w:val="auto"/>
                <w:szCs w:val="21"/>
                <w:highlight w:val="none"/>
                <w:lang w:val="en-US" w:eastAsia="zh-CN"/>
              </w:rPr>
            </w:pPr>
            <w:r>
              <w:rPr>
                <w:rFonts w:hint="eastAsia"/>
                <w:color w:val="auto"/>
                <w:szCs w:val="21"/>
                <w:highlight w:val="none"/>
              </w:rPr>
              <w:t>1</w:t>
            </w:r>
            <w:r>
              <w:rPr>
                <w:color w:val="auto"/>
                <w:szCs w:val="21"/>
                <w:highlight w:val="none"/>
              </w:rPr>
              <w:t>0.</w:t>
            </w:r>
            <w:r>
              <w:rPr>
                <w:rFonts w:hint="eastAsia"/>
                <w:color w:val="auto"/>
                <w:szCs w:val="21"/>
                <w:highlight w:val="none"/>
                <w:lang w:val="en-US" w:eastAsia="zh-CN"/>
              </w:rPr>
              <w:t>8</w:t>
            </w:r>
          </w:p>
        </w:tc>
        <w:tc>
          <w:tcPr>
            <w:tcW w:w="900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napToGrid/>
              <w:spacing w:line="440" w:lineRule="exact"/>
              <w:rPr>
                <w:rFonts w:ascii="宋体" w:hAnsi="宋体" w:cs="宋体"/>
                <w:b/>
                <w:color w:val="auto"/>
                <w:szCs w:val="21"/>
                <w:highlight w:val="none"/>
              </w:rPr>
            </w:pPr>
            <w:r>
              <w:rPr>
                <w:rFonts w:hint="eastAsia" w:ascii="宋体" w:hAnsi="宋体" w:cs="宋体"/>
                <w:b/>
                <w:color w:val="auto"/>
                <w:szCs w:val="21"/>
                <w:highlight w:val="none"/>
              </w:rPr>
              <w:t>注：1、本项目采用远程不见面电子开评标，投标人开标前必须通过CA上传投标文件及清单电子版。</w:t>
            </w:r>
            <w:r>
              <w:rPr>
                <w:rFonts w:ascii="宋体" w:hAnsi="宋体" w:cs="宋体"/>
                <w:b/>
                <w:color w:val="auto"/>
                <w:szCs w:val="21"/>
                <w:highlight w:val="none"/>
              </w:rPr>
              <w:t>因投标人自身原因而导致投标文件无法导入“洛阳市电子招投标交易平台”电子开标、评标系统，该投标视为无效投标，投标人自行承担由此导致的全部责任。</w:t>
            </w:r>
          </w:p>
          <w:p>
            <w:pPr>
              <w:keepNext w:val="0"/>
              <w:keepLines w:val="0"/>
              <w:pageBreakBefore w:val="0"/>
              <w:kinsoku/>
              <w:wordWrap/>
              <w:overflowPunct/>
              <w:bidi w:val="0"/>
              <w:snapToGrid/>
              <w:spacing w:line="440" w:lineRule="exact"/>
              <w:rPr>
                <w:rFonts w:ascii="宋体" w:hAnsi="宋体" w:cs="宋体"/>
                <w:b/>
                <w:color w:val="auto"/>
                <w:szCs w:val="21"/>
                <w:highlight w:val="none"/>
              </w:rPr>
            </w:pPr>
            <w:r>
              <w:rPr>
                <w:rFonts w:ascii="宋体" w:hAnsi="宋体" w:cs="宋体"/>
                <w:b/>
                <w:color w:val="auto"/>
                <w:szCs w:val="21"/>
                <w:highlight w:val="none"/>
              </w:rPr>
              <w:t>2</w:t>
            </w:r>
            <w:r>
              <w:rPr>
                <w:rFonts w:hint="eastAsia" w:ascii="宋体" w:hAnsi="宋体" w:cs="宋体"/>
                <w:b/>
                <w:color w:val="auto"/>
                <w:szCs w:val="21"/>
                <w:highlight w:val="none"/>
              </w:rPr>
              <w:t>、投标人无需递交纸质版投标文件。</w:t>
            </w:r>
          </w:p>
          <w:p>
            <w:pPr>
              <w:keepNext w:val="0"/>
              <w:keepLines w:val="0"/>
              <w:pageBreakBefore w:val="0"/>
              <w:kinsoku/>
              <w:wordWrap/>
              <w:overflowPunct/>
              <w:bidi w:val="0"/>
              <w:snapToGrid/>
              <w:spacing w:line="440" w:lineRule="exact"/>
              <w:rPr>
                <w:rFonts w:ascii="宋体" w:hAnsi="宋体" w:cs="宋体"/>
                <w:b/>
                <w:color w:val="auto"/>
                <w:szCs w:val="21"/>
                <w:highlight w:val="none"/>
              </w:rPr>
            </w:pPr>
            <w:r>
              <w:rPr>
                <w:rFonts w:ascii="宋体" w:hAnsi="宋体" w:cs="宋体"/>
                <w:b/>
                <w:color w:val="auto"/>
                <w:szCs w:val="21"/>
                <w:highlight w:val="none"/>
              </w:rPr>
              <w:t>3、投标文件的制作</w:t>
            </w:r>
          </w:p>
          <w:p>
            <w:pPr>
              <w:keepNext w:val="0"/>
              <w:keepLines w:val="0"/>
              <w:pageBreakBefore w:val="0"/>
              <w:kinsoku/>
              <w:wordWrap/>
              <w:overflowPunct/>
              <w:bidi w:val="0"/>
              <w:snapToGrid/>
              <w:spacing w:line="440" w:lineRule="exact"/>
              <w:rPr>
                <w:rFonts w:ascii="宋体" w:hAnsi="宋体" w:cs="宋体"/>
                <w:b/>
                <w:color w:val="auto"/>
                <w:szCs w:val="21"/>
                <w:highlight w:val="none"/>
              </w:rPr>
            </w:pPr>
            <w:r>
              <w:rPr>
                <w:rFonts w:hint="eastAsia" w:ascii="宋体" w:hAnsi="宋体" w:cs="宋体"/>
                <w:b/>
                <w:color w:val="auto"/>
                <w:szCs w:val="21"/>
                <w:highlight w:val="none"/>
              </w:rPr>
              <w:t>（</w:t>
            </w:r>
            <w:r>
              <w:rPr>
                <w:rFonts w:ascii="宋体" w:hAnsi="宋体" w:cs="宋体"/>
                <w:b/>
                <w:color w:val="auto"/>
                <w:szCs w:val="21"/>
                <w:highlight w:val="none"/>
              </w:rPr>
              <w:t>1）投标文件由投标人使用洛阳市公共资源交易中心网站提供的最新版的投标文件制作工具制作生成。</w:t>
            </w:r>
          </w:p>
          <w:p>
            <w:pPr>
              <w:keepNext w:val="0"/>
              <w:keepLines w:val="0"/>
              <w:pageBreakBefore w:val="0"/>
              <w:kinsoku/>
              <w:wordWrap/>
              <w:overflowPunct/>
              <w:bidi w:val="0"/>
              <w:snapToGrid/>
              <w:spacing w:line="440" w:lineRule="exact"/>
              <w:rPr>
                <w:rFonts w:ascii="宋体" w:hAnsi="宋体" w:cs="宋体"/>
                <w:b/>
                <w:color w:val="auto"/>
                <w:szCs w:val="21"/>
                <w:highlight w:val="none"/>
              </w:rPr>
            </w:pPr>
            <w:r>
              <w:rPr>
                <w:rFonts w:hint="eastAsia" w:ascii="宋体" w:hAnsi="宋体" w:cs="宋体"/>
                <w:b/>
                <w:color w:val="auto"/>
                <w:szCs w:val="21"/>
                <w:highlight w:val="none"/>
              </w:rPr>
              <w:t>（</w:t>
            </w:r>
            <w:r>
              <w:rPr>
                <w:rFonts w:ascii="宋体" w:hAnsi="宋体" w:cs="宋体"/>
                <w:b/>
                <w:color w:val="auto"/>
                <w:szCs w:val="21"/>
                <w:highlight w:val="none"/>
              </w:rPr>
              <w:t>2）投标人在编制投标文件时应建立分级目录，并按照标签提示导入相关内容。</w:t>
            </w:r>
          </w:p>
          <w:p>
            <w:pPr>
              <w:keepNext w:val="0"/>
              <w:keepLines w:val="0"/>
              <w:pageBreakBefore w:val="0"/>
              <w:kinsoku/>
              <w:wordWrap/>
              <w:overflowPunct/>
              <w:bidi w:val="0"/>
              <w:snapToGrid/>
              <w:spacing w:line="440" w:lineRule="exact"/>
              <w:rPr>
                <w:rFonts w:ascii="宋体" w:hAnsi="宋体" w:cs="宋体"/>
                <w:b/>
                <w:color w:val="auto"/>
                <w:szCs w:val="21"/>
                <w:highlight w:val="none"/>
              </w:rPr>
            </w:pPr>
            <w:r>
              <w:rPr>
                <w:rFonts w:hint="eastAsia" w:ascii="宋体" w:hAnsi="宋体" w:cs="宋体"/>
                <w:b/>
                <w:color w:val="auto"/>
                <w:szCs w:val="21"/>
                <w:highlight w:val="none"/>
              </w:rPr>
              <w:t>（</w:t>
            </w:r>
            <w:r>
              <w:rPr>
                <w:rFonts w:ascii="宋体" w:hAnsi="宋体" w:cs="宋体"/>
                <w:b/>
                <w:color w:val="auto"/>
                <w:szCs w:val="21"/>
                <w:highlight w:val="none"/>
              </w:rPr>
              <w:t>3）投标文件所附证明材料均为原件的扫描件，尺寸和清晰度应该能够在电脑上被阅读、识别和判断；若投标人未按要求提供证明材料或提供不清晰的扫描件的，评标委员会有权认定其投标文件未对招标文件有关要求进行响应</w:t>
            </w:r>
            <w:r>
              <w:rPr>
                <w:rFonts w:hint="eastAsia" w:ascii="宋体" w:hAnsi="宋体" w:cs="宋体"/>
                <w:b/>
                <w:color w:val="auto"/>
                <w:szCs w:val="21"/>
                <w:highlight w:val="none"/>
              </w:rPr>
              <w:t>，各投标单位对原件扫描件的真实性、合法性、有效性负责。</w:t>
            </w:r>
          </w:p>
          <w:p>
            <w:pPr>
              <w:keepNext w:val="0"/>
              <w:keepLines w:val="0"/>
              <w:pageBreakBefore w:val="0"/>
              <w:kinsoku/>
              <w:wordWrap/>
              <w:overflowPunct/>
              <w:bidi w:val="0"/>
              <w:snapToGrid/>
              <w:spacing w:line="440" w:lineRule="exact"/>
              <w:rPr>
                <w:rFonts w:ascii="宋体" w:hAnsi="宋体" w:cs="宋体"/>
                <w:b/>
                <w:color w:val="auto"/>
                <w:szCs w:val="21"/>
                <w:highlight w:val="none"/>
              </w:rPr>
            </w:pPr>
            <w:r>
              <w:rPr>
                <w:rFonts w:hint="eastAsia" w:ascii="宋体" w:hAnsi="宋体" w:cs="宋体"/>
                <w:b/>
                <w:color w:val="auto"/>
                <w:szCs w:val="21"/>
                <w:highlight w:val="none"/>
              </w:rPr>
              <w:t>（</w:t>
            </w:r>
            <w:r>
              <w:rPr>
                <w:rFonts w:ascii="宋体" w:hAnsi="宋体" w:cs="宋体"/>
                <w:b/>
                <w:color w:val="auto"/>
                <w:szCs w:val="21"/>
                <w:highlight w:val="none"/>
              </w:rPr>
              <w:t>4）投标文件中的已标价工程量清单数据文件应与招标人提供的工程量清单数据文件格式一致。</w:t>
            </w:r>
          </w:p>
          <w:p>
            <w:pPr>
              <w:keepNext w:val="0"/>
              <w:keepLines w:val="0"/>
              <w:pageBreakBefore w:val="0"/>
              <w:kinsoku/>
              <w:wordWrap/>
              <w:overflowPunct/>
              <w:bidi w:val="0"/>
              <w:snapToGrid/>
              <w:spacing w:line="440" w:lineRule="exact"/>
              <w:rPr>
                <w:rFonts w:ascii="宋体" w:hAnsi="宋体" w:cs="宋体"/>
                <w:b/>
                <w:color w:val="auto"/>
                <w:szCs w:val="21"/>
                <w:highlight w:val="none"/>
              </w:rPr>
            </w:pPr>
            <w:r>
              <w:rPr>
                <w:rFonts w:hint="eastAsia" w:ascii="宋体" w:hAnsi="宋体" w:cs="宋体"/>
                <w:b/>
                <w:color w:val="auto"/>
                <w:szCs w:val="21"/>
                <w:highlight w:val="none"/>
              </w:rPr>
              <w:t>（5）招标文件中要求提供网页查询路径或查询网址的，投标人在制作投标文件时应将查询路径或查询网址复制至投标文件中，方便评委会在评审时点击网址便可查询相关内容。</w:t>
            </w:r>
          </w:p>
          <w:p>
            <w:pPr>
              <w:keepNext w:val="0"/>
              <w:keepLines w:val="0"/>
              <w:pageBreakBefore w:val="0"/>
              <w:kinsoku/>
              <w:wordWrap/>
              <w:overflowPunct/>
              <w:bidi w:val="0"/>
              <w:snapToGrid/>
              <w:spacing w:line="440" w:lineRule="exact"/>
              <w:rPr>
                <w:b/>
                <w:color w:val="auto"/>
                <w:szCs w:val="21"/>
                <w:highlight w:val="none"/>
              </w:rPr>
            </w:pPr>
            <w:r>
              <w:rPr>
                <w:rFonts w:hint="eastAsia" w:ascii="宋体" w:hAnsi="宋体" w:cs="宋体"/>
                <w:b/>
                <w:color w:val="auto"/>
                <w:szCs w:val="21"/>
                <w:highlight w:val="none"/>
              </w:rPr>
              <w:t>（6</w:t>
            </w:r>
            <w:r>
              <w:rPr>
                <w:rFonts w:ascii="宋体" w:hAnsi="宋体" w:cs="宋体"/>
                <w:b/>
                <w:color w:val="auto"/>
                <w:szCs w:val="21"/>
                <w:highlight w:val="none"/>
              </w:rPr>
              <w:t>）投标文件中</w:t>
            </w:r>
            <w:r>
              <w:rPr>
                <w:rFonts w:hint="eastAsia" w:ascii="宋体" w:hAnsi="宋体" w:cs="宋体"/>
                <w:b/>
                <w:color w:val="auto"/>
                <w:szCs w:val="21"/>
                <w:highlight w:val="none"/>
              </w:rPr>
              <w:t>要</w:t>
            </w:r>
            <w:r>
              <w:rPr>
                <w:rFonts w:ascii="宋体" w:hAnsi="宋体" w:cs="宋体"/>
                <w:b/>
                <w:color w:val="auto"/>
                <w:szCs w:val="21"/>
                <w:highlight w:val="none"/>
              </w:rPr>
              <w:t>盖单位章的地方，</w:t>
            </w:r>
            <w:r>
              <w:rPr>
                <w:rFonts w:hint="eastAsia"/>
                <w:b/>
                <w:color w:val="auto"/>
                <w:szCs w:val="21"/>
                <w:highlight w:val="none"/>
              </w:rPr>
              <w:t>投标人均应使用</w:t>
            </w:r>
            <w:r>
              <w:rPr>
                <w:rFonts w:hint="eastAsia" w:ascii="宋体" w:hAnsi="宋体" w:eastAsia="宋体" w:cs="宋体"/>
                <w:b/>
                <w:color w:val="auto"/>
                <w:szCs w:val="21"/>
                <w:highlight w:val="none"/>
              </w:rPr>
              <w:t>CA</w:t>
            </w:r>
            <w:r>
              <w:rPr>
                <w:rFonts w:hint="eastAsia"/>
                <w:b/>
                <w:color w:val="auto"/>
                <w:szCs w:val="21"/>
                <w:highlight w:val="none"/>
              </w:rPr>
              <w:t>数字证书加盖投标人的单位电子签章。签字可以是手签后上传的，也可以是电子手写签名或法定代表人的个人电子签章。</w:t>
            </w:r>
          </w:p>
          <w:p>
            <w:pPr>
              <w:keepNext w:val="0"/>
              <w:keepLines w:val="0"/>
              <w:pageBreakBefore w:val="0"/>
              <w:kinsoku/>
              <w:wordWrap/>
              <w:overflowPunct/>
              <w:bidi w:val="0"/>
              <w:snapToGrid/>
              <w:spacing w:line="440" w:lineRule="exact"/>
              <w:rPr>
                <w:rFonts w:ascii="宋体" w:hAnsi="宋体" w:cs="宋体"/>
                <w:b/>
                <w:color w:val="auto"/>
                <w:szCs w:val="21"/>
                <w:highlight w:val="none"/>
              </w:rPr>
            </w:pPr>
            <w:r>
              <w:rPr>
                <w:rFonts w:hint="eastAsia" w:ascii="宋体" w:hAnsi="宋体" w:cs="宋体"/>
                <w:b/>
                <w:color w:val="auto"/>
                <w:szCs w:val="21"/>
                <w:highlight w:val="none"/>
              </w:rPr>
              <w:t>（7</w:t>
            </w:r>
            <w:r>
              <w:rPr>
                <w:rFonts w:ascii="宋体" w:hAnsi="宋体" w:cs="宋体"/>
                <w:b/>
                <w:color w:val="auto"/>
                <w:szCs w:val="21"/>
                <w:highlight w:val="none"/>
              </w:rPr>
              <w:t>）投标文件制作完成后，最后一步生成电子投标文件和对投标文件进行加密时，投标人应使用投标人单位CA数字证书。</w:t>
            </w:r>
          </w:p>
          <w:p>
            <w:pPr>
              <w:keepNext w:val="0"/>
              <w:keepLines w:val="0"/>
              <w:pageBreakBefore w:val="0"/>
              <w:kinsoku/>
              <w:wordWrap/>
              <w:overflowPunct/>
              <w:bidi w:val="0"/>
              <w:snapToGrid/>
              <w:spacing w:line="440" w:lineRule="exact"/>
              <w:rPr>
                <w:rFonts w:ascii="宋体" w:hAnsi="宋体" w:cs="宋体"/>
                <w:b/>
                <w:color w:val="auto"/>
                <w:szCs w:val="21"/>
                <w:highlight w:val="none"/>
              </w:rPr>
            </w:pPr>
            <w:r>
              <w:rPr>
                <w:rFonts w:hint="eastAsia" w:ascii="宋体" w:hAnsi="宋体" w:cs="宋体"/>
                <w:b/>
                <w:color w:val="auto"/>
                <w:szCs w:val="21"/>
                <w:highlight w:val="none"/>
              </w:rPr>
              <w:t>（8</w:t>
            </w:r>
            <w:r>
              <w:rPr>
                <w:rFonts w:ascii="宋体" w:hAnsi="宋体" w:cs="宋体"/>
                <w:b/>
                <w:color w:val="auto"/>
                <w:szCs w:val="21"/>
                <w:highlight w:val="none"/>
              </w:rPr>
              <w:t>）投标文件制作的具体方法详见投标文件制作工具操作手册及投标文件制作工具中的帮助文档。</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hint="eastAsia" w:eastAsia="宋体"/>
                <w:color w:val="auto"/>
                <w:szCs w:val="21"/>
                <w:highlight w:val="none"/>
                <w:lang w:val="en-US" w:eastAsia="zh-CN"/>
              </w:rPr>
            </w:pPr>
            <w:r>
              <w:rPr>
                <w:rFonts w:hint="eastAsia"/>
                <w:color w:val="auto"/>
                <w:szCs w:val="21"/>
                <w:highlight w:val="none"/>
              </w:rPr>
              <w:t>10.</w:t>
            </w:r>
            <w:r>
              <w:rPr>
                <w:rFonts w:hint="eastAsia"/>
                <w:color w:val="auto"/>
                <w:szCs w:val="21"/>
                <w:highlight w:val="none"/>
                <w:lang w:val="en-US" w:eastAsia="zh-CN"/>
              </w:rPr>
              <w:t>9</w:t>
            </w:r>
          </w:p>
        </w:tc>
        <w:tc>
          <w:tcPr>
            <w:tcW w:w="9003" w:type="dxa"/>
            <w:gridSpan w:val="2"/>
            <w:tcBorders>
              <w:top w:val="single" w:color="auto" w:sz="4" w:space="0"/>
              <w:left w:val="single" w:color="auto" w:sz="4" w:space="0"/>
              <w:bottom w:val="single" w:color="auto" w:sz="4" w:space="0"/>
              <w:right w:val="single" w:color="auto" w:sz="4" w:space="0"/>
            </w:tcBorders>
            <w:vAlign w:val="center"/>
          </w:tcPr>
          <w:p>
            <w:pPr>
              <w:pStyle w:val="32"/>
              <w:keepNext w:val="0"/>
              <w:keepLines w:val="0"/>
              <w:pageBreakBefore w:val="0"/>
              <w:shd w:val="clear" w:color="auto" w:fill="FFFFFF"/>
              <w:kinsoku/>
              <w:wordWrap/>
              <w:overflowPunct/>
              <w:bidi w:val="0"/>
              <w:snapToGrid/>
              <w:spacing w:line="440" w:lineRule="exact"/>
              <w:jc w:val="both"/>
              <w:rPr>
                <w:rFonts w:hint="eastAsia" w:ascii="宋体" w:hAnsi="宋体"/>
                <w:b/>
                <w:color w:val="auto"/>
                <w:sz w:val="21"/>
                <w:szCs w:val="21"/>
                <w:highlight w:val="none"/>
                <w:lang w:val="en-US" w:eastAsia="zh-CN"/>
              </w:rPr>
            </w:pPr>
            <w:r>
              <w:rPr>
                <w:rFonts w:hint="eastAsia" w:ascii="宋体" w:hAnsi="宋体"/>
                <w:b/>
                <w:color w:val="auto"/>
                <w:sz w:val="21"/>
                <w:szCs w:val="21"/>
                <w:highlight w:val="none"/>
                <w:lang w:val="en-US" w:eastAsia="zh-CN"/>
              </w:rPr>
              <w:t>最高投标限价：见本节后附表《最高投标限价(招标控制价)表》。</w:t>
            </w:r>
          </w:p>
          <w:p>
            <w:pPr>
              <w:pStyle w:val="32"/>
              <w:keepNext w:val="0"/>
              <w:keepLines w:val="0"/>
              <w:pageBreakBefore w:val="0"/>
              <w:shd w:val="clear" w:color="auto" w:fill="FFFFFF"/>
              <w:kinsoku/>
              <w:wordWrap/>
              <w:overflowPunct/>
              <w:bidi w:val="0"/>
              <w:snapToGrid/>
              <w:spacing w:line="440" w:lineRule="exact"/>
              <w:jc w:val="both"/>
              <w:rPr>
                <w:rFonts w:ascii="宋体" w:hAnsi="宋体"/>
                <w:color w:val="auto"/>
                <w:sz w:val="21"/>
                <w:szCs w:val="21"/>
                <w:highlight w:val="none"/>
              </w:rPr>
            </w:pPr>
            <w:r>
              <w:rPr>
                <w:rFonts w:hint="eastAsia" w:ascii="宋体" w:hAnsi="宋体"/>
                <w:b/>
                <w:color w:val="auto"/>
                <w:sz w:val="21"/>
                <w:szCs w:val="21"/>
                <w:highlight w:val="none"/>
              </w:rPr>
              <w:t>注：最高投标限价是招标人设定的最高限价</w:t>
            </w:r>
            <w:r>
              <w:rPr>
                <w:rFonts w:hint="eastAsia" w:ascii="宋体" w:hAnsi="宋体"/>
                <w:b/>
                <w:color w:val="auto"/>
                <w:sz w:val="21"/>
                <w:szCs w:val="21"/>
                <w:highlight w:val="none"/>
                <w:lang w:eastAsia="zh-CN"/>
              </w:rPr>
              <w:t>，</w:t>
            </w:r>
            <w:r>
              <w:rPr>
                <w:rFonts w:hint="eastAsia" w:ascii="宋体" w:hAnsi="宋体"/>
                <w:b/>
                <w:color w:val="auto"/>
                <w:sz w:val="21"/>
                <w:szCs w:val="21"/>
                <w:highlight w:val="none"/>
              </w:rPr>
              <w:t>投标人的投标报价不得高于最高投标限价中所列各项费用，否则，按废标处理。</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hint="default" w:eastAsia="宋体"/>
                <w:color w:val="auto"/>
                <w:szCs w:val="21"/>
                <w:highlight w:val="none"/>
                <w:lang w:val="en-US" w:eastAsia="zh-CN"/>
              </w:rPr>
            </w:pPr>
            <w:r>
              <w:rPr>
                <w:rFonts w:hint="eastAsia"/>
                <w:color w:val="auto"/>
                <w:szCs w:val="21"/>
                <w:highlight w:val="none"/>
              </w:rPr>
              <w:t>10.</w:t>
            </w:r>
            <w:r>
              <w:rPr>
                <w:rFonts w:hint="eastAsia"/>
                <w:color w:val="auto"/>
                <w:szCs w:val="21"/>
                <w:highlight w:val="none"/>
                <w:lang w:val="en-US" w:eastAsia="zh-CN"/>
              </w:rPr>
              <w:t>10</w:t>
            </w:r>
          </w:p>
        </w:tc>
        <w:tc>
          <w:tcPr>
            <w:tcW w:w="900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adjustRightInd w:val="0"/>
              <w:snapToGrid/>
              <w:spacing w:line="440" w:lineRule="exact"/>
              <w:textAlignment w:val="baseline"/>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农民工工资保障金：</w:t>
            </w:r>
          </w:p>
          <w:p>
            <w:pPr>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1、按照洛阳市住房和城乡建设局《关于进一步规范农民工工资保障金和工程担保管理的通知》洛建【2019】78号执行：</w:t>
            </w:r>
          </w:p>
          <w:p>
            <w:pPr>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（1）企业注册地在洛的施工企业按照单项工程总造价的1%存储农民工保障金，外地进洛施工企业按照单项工程总造价的2%存储农民工工资保障金。</w:t>
            </w:r>
          </w:p>
          <w:p>
            <w:pPr>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被评为我市“重点扶持企业”或近两年内落实实名制信息化管理且没有拖欠不良行为记录的施工企业，根据企业申请，可选择一次性存储一定数额的应急押金的农民工工资保障金缴存方式，不再按单项工程存储农民工工资保障金，并在市区范围内通用。其中：</w:t>
            </w:r>
          </w:p>
          <w:p>
            <w:pPr>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（一）市重点扶持企业一次性存储应急押金100万元；</w:t>
            </w:r>
          </w:p>
          <w:p>
            <w:pPr>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（二）特级、一级建筑业企业一次性存储应急押金200万元；</w:t>
            </w:r>
          </w:p>
          <w:p>
            <w:pPr>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（三）二级、三级建筑业企业一次性存储应急押金50万元；</w:t>
            </w:r>
          </w:p>
          <w:p>
            <w:pPr>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建设项目由外地施工企业施工的建设单位按照单项工程总造价2%缴纳农民工保障金；项目由我市建筑企业施工的建设单位按照单项工程总造价的1%缴纳农民工保障金；建设项目由我市重点扶持企业施工建设单位该项目可享受对应重点扶持企业一次性存储应急押金的优惠政策。</w:t>
            </w:r>
          </w:p>
          <w:p>
            <w:pPr>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（4）施工企业发生拖欠农民工工资或建设单位拖欠工程款造成拖欠农民工工资的，经建设主管部门和劳动监察部门认定，可使用施工企业或建设单位缴存的农民工工资保障金，用于垫付被拖欠的农民工工资。</w:t>
            </w:r>
          </w:p>
          <w:p>
            <w:pPr>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农民工工资保障金使用后，相关企业应在一个月内按标准足额补缴；逾期未补缴的，记入洛阳市建筑市场诚信建设“黑榜”名单，并予以追缴。</w:t>
            </w:r>
          </w:p>
          <w:p>
            <w:pPr>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2、施工单位（投标人）在参与竞标时，必须对农民工工资保障金的问题做出以下承诺：</w:t>
            </w:r>
          </w:p>
          <w:p>
            <w:pPr>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一是施工单位（投标人）在竞标时必须在标书中如实反映其以前所承建工程中工资支付的情况，需特别注明</w:t>
            </w:r>
            <w:r>
              <w:rPr>
                <w:rFonts w:hint="eastAsia" w:ascii="宋体" w:hAnsi="宋体" w:eastAsia="宋体" w:cs="宋体"/>
                <w:color w:val="auto"/>
                <w:sz w:val="21"/>
                <w:szCs w:val="21"/>
              </w:rPr>
              <w:t>截止竞标之日</w:t>
            </w:r>
            <w:r>
              <w:rPr>
                <w:rFonts w:hint="eastAsia" w:ascii="宋体" w:hAnsi="宋体" w:eastAsia="宋体" w:cs="宋体"/>
                <w:color w:val="auto"/>
                <w:sz w:val="21"/>
                <w:szCs w:val="21"/>
                <w:highlight w:val="none"/>
                <w:lang w:val="en-US" w:eastAsia="zh-CN"/>
              </w:rPr>
              <w:t>，是否存在拖欠或克扣农民工工资的行为；</w:t>
            </w:r>
          </w:p>
          <w:p>
            <w:pPr>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二是施工单位（投标人）在竞标时必须在标书中承诺中标后能够及时、足额存入农民工工资保障金；</w:t>
            </w:r>
          </w:p>
          <w:p>
            <w:pPr>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三是施工单位（投标人）在竞标时必须在标书中承诺：一旦其承包的建筑工程项目中出现拖欠职工工资情况的，可由建设行政主管部门从工资保障金中先予划支。</w:t>
            </w:r>
          </w:p>
          <w:p>
            <w:pPr>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lang w:val="en-US" w:eastAsia="zh-CN"/>
              </w:rPr>
              <w:t>投标人提交的投标文件不具备以上三项内容的，在评标时对其实行“一票否决”。</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hint="default" w:eastAsia="宋体"/>
                <w:color w:val="auto"/>
                <w:szCs w:val="21"/>
                <w:highlight w:val="none"/>
                <w:lang w:val="en-US" w:eastAsia="zh-CN"/>
              </w:rPr>
            </w:pPr>
            <w:bookmarkStart w:id="12" w:name="_Toc152042305"/>
            <w:bookmarkStart w:id="13" w:name="_Toc8423529"/>
            <w:bookmarkStart w:id="14" w:name="_Toc144974497"/>
            <w:bookmarkStart w:id="15" w:name="_Toc152045529"/>
            <w:r>
              <w:rPr>
                <w:rFonts w:hint="eastAsia"/>
                <w:color w:val="auto"/>
                <w:szCs w:val="21"/>
                <w:highlight w:val="none"/>
                <w:lang w:val="en-US" w:eastAsia="zh-CN"/>
              </w:rPr>
              <w:t>10.11</w:t>
            </w:r>
          </w:p>
        </w:tc>
        <w:tc>
          <w:tcPr>
            <w:tcW w:w="900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可以享受中小企业扶持政策的具体要求：</w:t>
            </w:r>
          </w:p>
          <w:p>
            <w:pPr>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根据财政部、工业和信息化部《政府采购促进中小企业发展管理办法》（财库〔2020〕46号）第六条</w:t>
            </w:r>
            <w:r>
              <w:rPr>
                <w:rFonts w:hint="eastAsia" w:ascii="宋体" w:hAnsi="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lang w:val="en-US" w:eastAsia="zh-CN"/>
              </w:rPr>
              <w:t>可不专门面向中小企业预留采购份额</w:t>
            </w:r>
            <w:r>
              <w:rPr>
                <w:rFonts w:hint="eastAsia" w:ascii="宋体" w:hAnsi="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lang w:val="en-US" w:eastAsia="zh-CN"/>
              </w:rPr>
              <w:t>之第三款规定</w:t>
            </w:r>
            <w:r>
              <w:rPr>
                <w:rFonts w:hint="eastAsia" w:ascii="宋体" w:hAnsi="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lang w:val="en-US" w:eastAsia="zh-CN"/>
              </w:rPr>
              <w:t>按照本办法规定预留采购份额无法确保充分供应、充分竞争，或者存在可能影响政府采购目标实现的情形</w:t>
            </w:r>
            <w:r>
              <w:rPr>
                <w:rFonts w:hint="eastAsia" w:ascii="宋体" w:hAnsi="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lang w:val="en-US" w:eastAsia="zh-CN"/>
              </w:rPr>
              <w:t>本项目支持中小微企业（监狱企业、残疾人福利性企业视同小微企业）。</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jc w:val="left"/>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val="en-US" w:eastAsia="zh-CN"/>
              </w:rPr>
              <w:t>相关的中小企业应当出具《中小企业声明函》，否则不享受相关中小企业扶持政策。本次招标项目对应的中小企业划分标准所属行业为</w:t>
            </w:r>
            <w:r>
              <w:rPr>
                <w:rFonts w:hint="eastAsia" w:ascii="宋体" w:hAnsi="宋体" w:eastAsia="宋体" w:cs="宋体"/>
                <w:b/>
                <w:bCs/>
                <w:color w:val="auto"/>
                <w:sz w:val="21"/>
                <w:szCs w:val="21"/>
                <w:highlight w:val="none"/>
                <w:lang w:val="en-US" w:eastAsia="zh-CN"/>
              </w:rPr>
              <w:t>建筑业</w:t>
            </w:r>
            <w:r>
              <w:rPr>
                <w:rFonts w:hint="eastAsia" w:ascii="宋体" w:hAnsi="宋体" w:eastAsia="宋体" w:cs="宋体"/>
                <w:b w:val="0"/>
                <w:bCs w:val="0"/>
                <w:color w:val="auto"/>
                <w:sz w:val="21"/>
                <w:szCs w:val="21"/>
                <w:highlight w:val="none"/>
                <w:lang w:val="en-US" w:eastAsia="zh-CN"/>
              </w:rPr>
              <w:t>。</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leftChars="0"/>
              <w:jc w:val="left"/>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lang w:val="en-US" w:eastAsia="zh-CN"/>
              </w:rPr>
              <w:t>对符合规定的小微企业</w:t>
            </w:r>
            <w:r>
              <w:rPr>
                <w:rFonts w:hint="eastAsia" w:ascii="宋体" w:hAnsi="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lang w:val="en-US" w:eastAsia="zh-CN"/>
              </w:rPr>
              <w:t>评标时在采用原报价进行评分的基础上增加其价格得分的3%作为其价格分。</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leftChars="0"/>
              <w:jc w:val="left"/>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lang w:val="en-US" w:eastAsia="zh-CN"/>
              </w:rPr>
              <w:t>依法享受扶持政策获得政府采购合同的，小微企业不将合同分包给大中型企业，中型企业不得将合同分包给大型企业。</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leftChars="0"/>
              <w:jc w:val="left"/>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w:t>
            </w: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lang w:val="en-US" w:eastAsia="zh-CN"/>
              </w:rPr>
              <w:t>）提供声明函内容不实的，属于弄虚作假骗取中标，依照《中华人民共和国招标投标法》等国家有关规定追究相应责任。</w:t>
            </w:r>
          </w:p>
        </w:tc>
      </w:tr>
      <w:tr>
        <w:tblPrEx>
          <w:tblCellMar>
            <w:top w:w="0" w:type="dxa"/>
            <w:left w:w="108" w:type="dxa"/>
            <w:bottom w:w="0" w:type="dxa"/>
            <w:right w:w="108" w:type="dxa"/>
          </w:tblCellMar>
        </w:tblPrEx>
        <w:trPr>
          <w:trHeight w:val="90"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hint="default"/>
                <w:color w:val="auto"/>
                <w:szCs w:val="21"/>
                <w:highlight w:val="none"/>
                <w:lang w:val="en-US" w:eastAsia="zh-CN"/>
              </w:rPr>
            </w:pPr>
            <w:r>
              <w:rPr>
                <w:rFonts w:hint="eastAsia"/>
                <w:color w:val="auto"/>
                <w:szCs w:val="21"/>
                <w:highlight w:val="none"/>
                <w:lang w:val="en-US" w:eastAsia="zh-CN"/>
              </w:rPr>
              <w:t>10.12</w:t>
            </w:r>
          </w:p>
        </w:tc>
        <w:tc>
          <w:tcPr>
            <w:tcW w:w="900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leftChars="0"/>
              <w:jc w:val="left"/>
              <w:textAlignment w:val="auto"/>
              <w:rPr>
                <w:rFonts w:hint="eastAsia" w:ascii="宋体" w:hAnsi="宋体" w:eastAsia="宋体" w:cs="宋体"/>
                <w:b w:val="0"/>
                <w:bCs w:val="0"/>
                <w:color w:val="auto"/>
                <w:sz w:val="21"/>
                <w:szCs w:val="21"/>
                <w:highlight w:val="none"/>
                <w:lang w:val="en-US" w:eastAsia="zh-CN"/>
              </w:rPr>
            </w:pPr>
            <w:r>
              <w:rPr>
                <w:rFonts w:hint="eastAsia"/>
                <w:color w:val="auto"/>
                <w:szCs w:val="21"/>
                <w:highlight w:val="none"/>
              </w:rPr>
              <w:t>解释权：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或招标代理机构负责解释。</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hint="default"/>
                <w:color w:val="auto"/>
                <w:szCs w:val="21"/>
                <w:highlight w:val="none"/>
                <w:lang w:val="en-US" w:eastAsia="zh-CN"/>
              </w:rPr>
            </w:pPr>
            <w:r>
              <w:rPr>
                <w:rFonts w:hint="eastAsia"/>
                <w:color w:val="auto"/>
                <w:szCs w:val="21"/>
                <w:highlight w:val="none"/>
                <w:lang w:val="en-US" w:eastAsia="zh-CN"/>
              </w:rPr>
              <w:t>10.13</w:t>
            </w:r>
          </w:p>
        </w:tc>
        <w:tc>
          <w:tcPr>
            <w:tcW w:w="900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leftChars="0"/>
              <w:jc w:val="left"/>
              <w:textAlignment w:val="auto"/>
              <w:rPr>
                <w:rFonts w:hint="eastAsia" w:ascii="宋体" w:hAnsi="宋体" w:eastAsia="宋体" w:cs="宋体"/>
                <w:b w:val="0"/>
                <w:bCs w:val="0"/>
                <w:color w:val="auto"/>
                <w:sz w:val="21"/>
                <w:szCs w:val="21"/>
                <w:highlight w:val="none"/>
                <w:lang w:val="en-US" w:eastAsia="zh-CN"/>
              </w:rPr>
            </w:pPr>
            <w:r>
              <w:rPr>
                <w:rFonts w:hint="eastAsia"/>
                <w:color w:val="auto"/>
                <w:szCs w:val="21"/>
                <w:highlight w:val="none"/>
              </w:rPr>
              <w:t>其它未尽事宜，按国家有关法律、法规执行。</w:t>
            </w:r>
          </w:p>
        </w:tc>
      </w:tr>
    </w:tbl>
    <w:p>
      <w:pPr>
        <w:widowControl/>
        <w:jc w:val="left"/>
        <w:rPr>
          <w:rFonts w:ascii="宋体" w:hAnsi="宋体" w:cs="Arial"/>
          <w:b/>
          <w:bCs/>
          <w:color w:val="auto"/>
          <w:kern w:val="0"/>
          <w:sz w:val="24"/>
          <w:highlight w:val="yellow"/>
        </w:rPr>
      </w:pPr>
      <w:r>
        <w:rPr>
          <w:color w:val="auto"/>
        </w:rPr>
        <w:br w:type="page"/>
      </w:r>
    </w:p>
    <w:p>
      <w:pPr>
        <w:pStyle w:val="66"/>
        <w:spacing w:line="360" w:lineRule="auto"/>
        <w:rPr>
          <w:rFonts w:hint="eastAsia"/>
          <w:color w:val="auto"/>
        </w:rPr>
        <w:sectPr>
          <w:footerReference r:id="rId9" w:type="default"/>
          <w:pgSz w:w="11906" w:h="16838"/>
          <w:pgMar w:top="1440" w:right="1080" w:bottom="1440" w:left="1080" w:header="851" w:footer="992" w:gutter="0"/>
          <w:pgNumType w:fmt="decimal" w:start="1"/>
          <w:cols w:space="720" w:num="1"/>
          <w:docGrid w:type="lines" w:linePitch="312" w:charSpace="0"/>
        </w:sectPr>
      </w:pPr>
    </w:p>
    <w:p>
      <w:pPr>
        <w:pStyle w:val="3"/>
        <w:jc w:val="left"/>
        <w:rPr>
          <w:rFonts w:hint="eastAsia" w:ascii="宋体" w:hAnsi="宋体" w:eastAsia="宋体" w:cs="宋体"/>
          <w:color w:val="auto"/>
          <w:sz w:val="24"/>
          <w:szCs w:val="16"/>
        </w:rPr>
      </w:pPr>
      <w:r>
        <w:rPr>
          <w:rFonts w:hint="eastAsia" w:ascii="宋体" w:hAnsi="宋体" w:eastAsia="宋体" w:cs="宋体"/>
          <w:color w:val="auto"/>
          <w:sz w:val="24"/>
          <w:szCs w:val="16"/>
          <w:lang w:val="en-US" w:eastAsia="zh-CN"/>
        </w:rPr>
        <w:t xml:space="preserve">附表： </w:t>
      </w:r>
    </w:p>
    <w:p>
      <w:pPr>
        <w:pStyle w:val="3"/>
        <w:rPr>
          <w:rFonts w:hint="eastAsia" w:ascii="宋体" w:hAnsi="宋体" w:eastAsia="宋体" w:cs="宋体"/>
          <w:b/>
          <w:bCs/>
          <w:color w:val="auto"/>
          <w:sz w:val="24"/>
          <w:szCs w:val="16"/>
          <w:lang w:val="en-US" w:eastAsia="zh-CN"/>
        </w:rPr>
      </w:pPr>
      <w:r>
        <w:rPr>
          <w:rFonts w:hint="eastAsia" w:ascii="宋体" w:hAnsi="宋体" w:eastAsia="宋体" w:cs="宋体"/>
          <w:b/>
          <w:bCs/>
          <w:color w:val="auto"/>
          <w:sz w:val="24"/>
          <w:szCs w:val="16"/>
          <w:lang w:val="en-US" w:eastAsia="zh-CN"/>
        </w:rPr>
        <w:t>最高投标限价（招标控制价）表</w:t>
      </w:r>
    </w:p>
    <w:p>
      <w:pPr>
        <w:pStyle w:val="3"/>
        <w:rPr>
          <w:rFonts w:hint="eastAsia"/>
          <w:color w:val="auto"/>
          <w:lang w:val="en-US" w:eastAsia="zh-CN"/>
        </w:rPr>
      </w:pPr>
    </w:p>
    <w:tbl>
      <w:tblPr>
        <w:tblStyle w:val="3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3"/>
        <w:gridCol w:w="1536"/>
        <w:gridCol w:w="1832"/>
        <w:gridCol w:w="1446"/>
        <w:gridCol w:w="1315"/>
        <w:gridCol w:w="1531"/>
        <w:gridCol w:w="1531"/>
        <w:gridCol w:w="15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3" w:type="dxa"/>
            <w:noWrap w:val="0"/>
            <w:vAlign w:val="center"/>
          </w:tcPr>
          <w:p>
            <w:pPr>
              <w:keepNext/>
              <w:keepLines/>
              <w:pageBreakBefore w:val="0"/>
              <w:widowControl w:val="0"/>
              <w:kinsoku/>
              <w:wordWrap/>
              <w:overflowPunct/>
              <w:topLinePunct w:val="0"/>
              <w:autoSpaceDE/>
              <w:autoSpaceDN/>
              <w:bidi w:val="0"/>
              <w:adjustRightInd/>
              <w:snapToGrid/>
              <w:spacing w:before="0" w:after="0" w:line="460" w:lineRule="exact"/>
              <w:jc w:val="center"/>
              <w:textAlignment w:val="auto"/>
              <w:outlineLvl w:val="9"/>
              <w:rPr>
                <w:rFonts w:hint="default" w:ascii="宋体" w:hAnsi="宋体" w:eastAsia="宋体"/>
                <w:b w:val="0"/>
                <w:bCs w:val="0"/>
                <w:color w:val="auto"/>
                <w:sz w:val="24"/>
                <w:szCs w:val="24"/>
                <w:vertAlign w:val="baseline"/>
                <w:lang w:val="en-US" w:eastAsia="zh-CN"/>
              </w:rPr>
            </w:pPr>
            <w:r>
              <w:rPr>
                <w:rFonts w:hint="eastAsia" w:ascii="宋体" w:hAnsi="宋体" w:eastAsia="宋体"/>
                <w:b w:val="0"/>
                <w:bCs w:val="0"/>
                <w:color w:val="auto"/>
                <w:sz w:val="24"/>
                <w:szCs w:val="24"/>
                <w:vertAlign w:val="baseline"/>
                <w:lang w:val="en-US" w:eastAsia="zh-CN"/>
              </w:rPr>
              <w:t>工程名称</w:t>
            </w:r>
          </w:p>
        </w:tc>
        <w:tc>
          <w:tcPr>
            <w:tcW w:w="1536" w:type="dxa"/>
            <w:noWrap w:val="0"/>
            <w:vAlign w:val="center"/>
          </w:tcPr>
          <w:p>
            <w:pPr>
              <w:keepNext/>
              <w:keepLines/>
              <w:pageBreakBefore w:val="0"/>
              <w:widowControl w:val="0"/>
              <w:kinsoku/>
              <w:wordWrap/>
              <w:overflowPunct/>
              <w:topLinePunct w:val="0"/>
              <w:autoSpaceDE/>
              <w:autoSpaceDN/>
              <w:bidi w:val="0"/>
              <w:adjustRightInd/>
              <w:snapToGrid/>
              <w:spacing w:before="0" w:after="0" w:line="460" w:lineRule="exact"/>
              <w:jc w:val="center"/>
              <w:textAlignment w:val="auto"/>
              <w:outlineLvl w:val="9"/>
              <w:rPr>
                <w:rFonts w:hint="eastAsia" w:ascii="宋体" w:hAnsi="宋体" w:eastAsia="宋体"/>
                <w:b w:val="0"/>
                <w:bCs w:val="0"/>
                <w:color w:val="auto"/>
                <w:sz w:val="24"/>
                <w:szCs w:val="24"/>
                <w:vertAlign w:val="baseline"/>
                <w:lang w:val="en-US" w:eastAsia="zh-CN"/>
              </w:rPr>
            </w:pPr>
            <w:r>
              <w:rPr>
                <w:rFonts w:hint="eastAsia" w:ascii="宋体" w:hAnsi="宋体" w:eastAsia="宋体"/>
                <w:b w:val="0"/>
                <w:bCs w:val="0"/>
                <w:color w:val="auto"/>
                <w:sz w:val="24"/>
                <w:szCs w:val="24"/>
                <w:vertAlign w:val="baseline"/>
                <w:lang w:val="en-US" w:eastAsia="zh-CN"/>
              </w:rPr>
              <w:t>金额（元）</w:t>
            </w:r>
          </w:p>
        </w:tc>
        <w:tc>
          <w:tcPr>
            <w:tcW w:w="1832" w:type="dxa"/>
            <w:noWrap w:val="0"/>
            <w:vAlign w:val="center"/>
          </w:tcPr>
          <w:p>
            <w:pPr>
              <w:keepNext/>
              <w:keepLines/>
              <w:pageBreakBefore w:val="0"/>
              <w:widowControl w:val="0"/>
              <w:kinsoku/>
              <w:wordWrap/>
              <w:overflowPunct/>
              <w:topLinePunct w:val="0"/>
              <w:autoSpaceDE/>
              <w:autoSpaceDN/>
              <w:bidi w:val="0"/>
              <w:adjustRightInd/>
              <w:snapToGrid/>
              <w:spacing w:before="0" w:after="0" w:line="460" w:lineRule="exact"/>
              <w:jc w:val="center"/>
              <w:textAlignment w:val="auto"/>
              <w:outlineLvl w:val="9"/>
              <w:rPr>
                <w:rFonts w:hint="default" w:ascii="宋体" w:hAnsi="宋体" w:eastAsia="宋体"/>
                <w:b w:val="0"/>
                <w:bCs w:val="0"/>
                <w:color w:val="auto"/>
                <w:sz w:val="24"/>
                <w:szCs w:val="24"/>
                <w:vertAlign w:val="baseline"/>
                <w:lang w:val="en-US" w:eastAsia="zh-CN"/>
              </w:rPr>
            </w:pPr>
            <w:r>
              <w:rPr>
                <w:rFonts w:hint="eastAsia" w:ascii="宋体" w:hAnsi="宋体" w:eastAsia="宋体"/>
                <w:b w:val="0"/>
                <w:bCs w:val="0"/>
                <w:color w:val="auto"/>
                <w:sz w:val="24"/>
                <w:szCs w:val="24"/>
                <w:vertAlign w:val="baseline"/>
                <w:lang w:val="en-US" w:eastAsia="zh-CN"/>
              </w:rPr>
              <w:t>措施费（含安文费）（元）</w:t>
            </w:r>
          </w:p>
        </w:tc>
        <w:tc>
          <w:tcPr>
            <w:tcW w:w="1446" w:type="dxa"/>
            <w:noWrap w:val="0"/>
            <w:vAlign w:val="center"/>
          </w:tcPr>
          <w:p>
            <w:pPr>
              <w:keepNext/>
              <w:keepLines/>
              <w:pageBreakBefore w:val="0"/>
              <w:widowControl w:val="0"/>
              <w:kinsoku/>
              <w:wordWrap/>
              <w:overflowPunct/>
              <w:topLinePunct w:val="0"/>
              <w:autoSpaceDE/>
              <w:autoSpaceDN/>
              <w:bidi w:val="0"/>
              <w:adjustRightInd/>
              <w:snapToGrid/>
              <w:spacing w:before="0" w:after="0" w:line="460" w:lineRule="exact"/>
              <w:jc w:val="center"/>
              <w:textAlignment w:val="auto"/>
              <w:outlineLvl w:val="9"/>
              <w:rPr>
                <w:rFonts w:hint="default" w:ascii="宋体" w:hAnsi="宋体" w:eastAsia="宋体"/>
                <w:b w:val="0"/>
                <w:bCs w:val="0"/>
                <w:color w:val="auto"/>
                <w:sz w:val="24"/>
                <w:szCs w:val="24"/>
                <w:vertAlign w:val="baseline"/>
                <w:lang w:val="en-US" w:eastAsia="zh-CN"/>
              </w:rPr>
            </w:pPr>
            <w:r>
              <w:rPr>
                <w:rFonts w:hint="eastAsia" w:ascii="宋体" w:hAnsi="宋体" w:eastAsia="宋体"/>
                <w:b w:val="0"/>
                <w:bCs w:val="0"/>
                <w:color w:val="auto"/>
                <w:sz w:val="24"/>
                <w:szCs w:val="24"/>
                <w:vertAlign w:val="baseline"/>
                <w:lang w:val="en-US" w:eastAsia="zh-CN"/>
              </w:rPr>
              <w:t>安全文明措施费（元）</w:t>
            </w:r>
          </w:p>
        </w:tc>
        <w:tc>
          <w:tcPr>
            <w:tcW w:w="1315" w:type="dxa"/>
            <w:noWrap w:val="0"/>
            <w:vAlign w:val="center"/>
          </w:tcPr>
          <w:p>
            <w:pPr>
              <w:keepNext/>
              <w:keepLines/>
              <w:pageBreakBefore w:val="0"/>
              <w:widowControl w:val="0"/>
              <w:kinsoku/>
              <w:wordWrap/>
              <w:overflowPunct/>
              <w:topLinePunct w:val="0"/>
              <w:autoSpaceDE/>
              <w:autoSpaceDN/>
              <w:bidi w:val="0"/>
              <w:adjustRightInd/>
              <w:snapToGrid/>
              <w:spacing w:before="0" w:after="0" w:line="460" w:lineRule="exact"/>
              <w:jc w:val="center"/>
              <w:textAlignment w:val="auto"/>
              <w:outlineLvl w:val="9"/>
              <w:rPr>
                <w:rFonts w:hint="default" w:ascii="宋体" w:hAnsi="宋体" w:eastAsia="宋体"/>
                <w:b w:val="0"/>
                <w:bCs w:val="0"/>
                <w:color w:val="auto"/>
                <w:sz w:val="24"/>
                <w:szCs w:val="24"/>
                <w:vertAlign w:val="baseline"/>
                <w:lang w:val="en-US" w:eastAsia="zh-CN"/>
              </w:rPr>
            </w:pPr>
            <w:r>
              <w:rPr>
                <w:rFonts w:hint="eastAsia" w:ascii="宋体" w:hAnsi="宋体" w:eastAsia="宋体"/>
                <w:b w:val="0"/>
                <w:bCs w:val="0"/>
                <w:color w:val="auto"/>
                <w:sz w:val="24"/>
                <w:szCs w:val="24"/>
                <w:vertAlign w:val="baseline"/>
                <w:lang w:val="en-US" w:eastAsia="zh-CN"/>
              </w:rPr>
              <w:t>暂列金额（元）</w:t>
            </w:r>
          </w:p>
        </w:tc>
        <w:tc>
          <w:tcPr>
            <w:tcW w:w="1531" w:type="dxa"/>
            <w:noWrap w:val="0"/>
            <w:vAlign w:val="center"/>
          </w:tcPr>
          <w:p>
            <w:pPr>
              <w:keepNext/>
              <w:keepLines/>
              <w:pageBreakBefore w:val="0"/>
              <w:widowControl w:val="0"/>
              <w:kinsoku/>
              <w:wordWrap/>
              <w:overflowPunct/>
              <w:topLinePunct w:val="0"/>
              <w:autoSpaceDE/>
              <w:autoSpaceDN/>
              <w:bidi w:val="0"/>
              <w:adjustRightInd/>
              <w:snapToGrid/>
              <w:spacing w:before="0" w:after="0" w:line="460" w:lineRule="exact"/>
              <w:jc w:val="center"/>
              <w:textAlignment w:val="auto"/>
              <w:outlineLvl w:val="9"/>
              <w:rPr>
                <w:rFonts w:hint="default" w:ascii="宋体" w:hAnsi="宋体" w:eastAsia="宋体"/>
                <w:b w:val="0"/>
                <w:bCs w:val="0"/>
                <w:color w:val="auto"/>
                <w:sz w:val="24"/>
                <w:szCs w:val="24"/>
                <w:vertAlign w:val="baseline"/>
                <w:lang w:val="en-US" w:eastAsia="zh-CN"/>
              </w:rPr>
            </w:pPr>
            <w:r>
              <w:rPr>
                <w:rFonts w:hint="eastAsia" w:ascii="宋体" w:hAnsi="宋体"/>
                <w:b w:val="0"/>
                <w:bCs w:val="0"/>
                <w:color w:val="auto"/>
                <w:sz w:val="24"/>
                <w:szCs w:val="24"/>
                <w:vertAlign w:val="baseline"/>
                <w:lang w:val="en-US" w:eastAsia="zh-CN"/>
              </w:rPr>
              <w:t>专业</w:t>
            </w:r>
            <w:r>
              <w:rPr>
                <w:rFonts w:hint="eastAsia" w:ascii="宋体" w:hAnsi="宋体" w:eastAsia="宋体"/>
                <w:b w:val="0"/>
                <w:bCs w:val="0"/>
                <w:color w:val="auto"/>
                <w:sz w:val="24"/>
                <w:szCs w:val="24"/>
                <w:vertAlign w:val="baseline"/>
                <w:lang w:val="en-US" w:eastAsia="zh-CN"/>
              </w:rPr>
              <w:t>暂估价（元）</w:t>
            </w:r>
          </w:p>
        </w:tc>
        <w:tc>
          <w:tcPr>
            <w:tcW w:w="1531" w:type="dxa"/>
            <w:noWrap w:val="0"/>
            <w:vAlign w:val="center"/>
          </w:tcPr>
          <w:p>
            <w:pPr>
              <w:keepNext/>
              <w:keepLines/>
              <w:pageBreakBefore w:val="0"/>
              <w:widowControl w:val="0"/>
              <w:kinsoku/>
              <w:wordWrap/>
              <w:overflowPunct/>
              <w:topLinePunct w:val="0"/>
              <w:autoSpaceDE/>
              <w:autoSpaceDN/>
              <w:bidi w:val="0"/>
              <w:adjustRightInd/>
              <w:snapToGrid/>
              <w:spacing w:before="0" w:after="0" w:line="460" w:lineRule="exact"/>
              <w:jc w:val="center"/>
              <w:textAlignment w:val="auto"/>
              <w:outlineLvl w:val="9"/>
              <w:rPr>
                <w:rFonts w:hint="eastAsia" w:ascii="宋体" w:hAnsi="宋体" w:eastAsia="宋体"/>
                <w:b w:val="0"/>
                <w:bCs w:val="0"/>
                <w:color w:val="auto"/>
                <w:sz w:val="24"/>
                <w:szCs w:val="24"/>
                <w:vertAlign w:val="baseline"/>
                <w:lang w:val="en-US" w:eastAsia="zh-CN"/>
              </w:rPr>
            </w:pPr>
            <w:r>
              <w:rPr>
                <w:rFonts w:hint="eastAsia" w:ascii="宋体" w:hAnsi="宋体" w:eastAsia="宋体"/>
                <w:b w:val="0"/>
                <w:bCs w:val="0"/>
                <w:color w:val="auto"/>
                <w:sz w:val="24"/>
                <w:szCs w:val="24"/>
                <w:vertAlign w:val="baseline"/>
                <w:lang w:val="en-US" w:eastAsia="zh-CN"/>
              </w:rPr>
              <w:t>规费（元）</w:t>
            </w:r>
          </w:p>
        </w:tc>
        <w:tc>
          <w:tcPr>
            <w:tcW w:w="1531" w:type="dxa"/>
            <w:noWrap w:val="0"/>
            <w:vAlign w:val="center"/>
          </w:tcPr>
          <w:p>
            <w:pPr>
              <w:keepNext/>
              <w:keepLines/>
              <w:pageBreakBefore w:val="0"/>
              <w:widowControl w:val="0"/>
              <w:kinsoku/>
              <w:wordWrap/>
              <w:overflowPunct/>
              <w:topLinePunct w:val="0"/>
              <w:autoSpaceDE/>
              <w:autoSpaceDN/>
              <w:bidi w:val="0"/>
              <w:adjustRightInd/>
              <w:snapToGrid/>
              <w:spacing w:before="0" w:after="0" w:line="460" w:lineRule="exact"/>
              <w:jc w:val="center"/>
              <w:textAlignment w:val="auto"/>
              <w:outlineLvl w:val="9"/>
              <w:rPr>
                <w:rFonts w:hint="eastAsia" w:ascii="宋体" w:hAnsi="宋体" w:eastAsia="宋体"/>
                <w:b w:val="0"/>
                <w:bCs w:val="0"/>
                <w:color w:val="auto"/>
                <w:sz w:val="24"/>
                <w:szCs w:val="24"/>
                <w:vertAlign w:val="baseline"/>
                <w:lang w:val="en-US" w:eastAsia="zh-CN"/>
              </w:rPr>
            </w:pPr>
            <w:r>
              <w:rPr>
                <w:rFonts w:hint="eastAsia" w:ascii="宋体" w:hAnsi="宋体" w:eastAsia="宋体"/>
                <w:b w:val="0"/>
                <w:bCs w:val="0"/>
                <w:color w:val="auto"/>
                <w:sz w:val="24"/>
                <w:szCs w:val="24"/>
                <w:vertAlign w:val="baseline"/>
                <w:lang w:val="en-US" w:eastAsia="zh-CN"/>
              </w:rPr>
              <w:t>税金（元）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3" w:type="dxa"/>
            <w:noWrap w:val="0"/>
            <w:vAlign w:val="center"/>
          </w:tcPr>
          <w:p>
            <w:pPr>
              <w:keepNext/>
              <w:keepLines/>
              <w:pageBreakBefore w:val="0"/>
              <w:widowControl w:val="0"/>
              <w:kinsoku/>
              <w:wordWrap/>
              <w:overflowPunct/>
              <w:topLinePunct w:val="0"/>
              <w:autoSpaceDE/>
              <w:autoSpaceDN/>
              <w:bidi w:val="0"/>
              <w:adjustRightInd/>
              <w:snapToGrid/>
              <w:spacing w:before="0" w:after="0" w:line="460" w:lineRule="exact"/>
              <w:jc w:val="center"/>
              <w:textAlignment w:val="auto"/>
              <w:outlineLvl w:val="9"/>
              <w:rPr>
                <w:rFonts w:hint="eastAsia" w:ascii="宋体" w:hAnsi="宋体" w:eastAsia="宋体"/>
                <w:b w:val="0"/>
                <w:bCs w:val="0"/>
                <w:color w:val="auto"/>
                <w:sz w:val="24"/>
                <w:szCs w:val="24"/>
                <w:vertAlign w:val="baseline"/>
              </w:rPr>
            </w:pPr>
            <w:r>
              <w:rPr>
                <w:rFonts w:hint="eastAsia" w:ascii="宋体" w:hAnsi="宋体" w:eastAsia="宋体"/>
                <w:b w:val="0"/>
                <w:bCs w:val="0"/>
                <w:color w:val="auto"/>
                <w:sz w:val="24"/>
                <w:szCs w:val="24"/>
                <w:vertAlign w:val="baseline"/>
                <w:lang w:val="en-US" w:eastAsia="zh-CN"/>
              </w:rPr>
              <w:t>涧西区太原路建筑立面改造工程项目</w:t>
            </w:r>
          </w:p>
        </w:tc>
        <w:tc>
          <w:tcPr>
            <w:tcW w:w="1536" w:type="dxa"/>
            <w:noWrap w:val="0"/>
            <w:vAlign w:val="center"/>
          </w:tcPr>
          <w:p>
            <w:pPr>
              <w:keepNext/>
              <w:keepLines/>
              <w:pageBreakBefore w:val="0"/>
              <w:widowControl w:val="0"/>
              <w:kinsoku/>
              <w:wordWrap/>
              <w:overflowPunct/>
              <w:topLinePunct w:val="0"/>
              <w:autoSpaceDE/>
              <w:autoSpaceDN/>
              <w:bidi w:val="0"/>
              <w:adjustRightInd/>
              <w:snapToGrid/>
              <w:spacing w:before="0" w:after="0" w:line="460" w:lineRule="exact"/>
              <w:jc w:val="center"/>
              <w:textAlignment w:val="auto"/>
              <w:outlineLvl w:val="9"/>
              <w:rPr>
                <w:rFonts w:hint="eastAsia" w:ascii="宋体" w:hAnsi="宋体" w:eastAsia="宋体"/>
                <w:b w:val="0"/>
                <w:bCs w:val="0"/>
                <w:color w:val="auto"/>
                <w:sz w:val="24"/>
                <w:szCs w:val="24"/>
                <w:vertAlign w:val="baseline"/>
              </w:rPr>
            </w:pPr>
            <w:r>
              <w:rPr>
                <w:rFonts w:hint="eastAsia" w:ascii="宋体" w:hAnsi="宋体" w:eastAsia="宋体"/>
                <w:b w:val="0"/>
                <w:bCs w:val="0"/>
                <w:color w:val="auto"/>
                <w:sz w:val="24"/>
                <w:szCs w:val="24"/>
                <w:vertAlign w:val="baseline"/>
                <w:lang w:val="en-US" w:eastAsia="zh-CN"/>
              </w:rPr>
              <w:t>10356988.28</w:t>
            </w:r>
          </w:p>
        </w:tc>
        <w:tc>
          <w:tcPr>
            <w:tcW w:w="1832" w:type="dxa"/>
            <w:noWrap w:val="0"/>
            <w:vAlign w:val="center"/>
          </w:tcPr>
          <w:p>
            <w:pPr>
              <w:keepNext/>
              <w:keepLines/>
              <w:pageBreakBefore w:val="0"/>
              <w:widowControl w:val="0"/>
              <w:kinsoku/>
              <w:wordWrap/>
              <w:overflowPunct/>
              <w:topLinePunct w:val="0"/>
              <w:autoSpaceDE/>
              <w:autoSpaceDN/>
              <w:bidi w:val="0"/>
              <w:adjustRightInd/>
              <w:snapToGrid/>
              <w:spacing w:before="0" w:after="0" w:line="460" w:lineRule="exact"/>
              <w:jc w:val="center"/>
              <w:textAlignment w:val="auto"/>
              <w:outlineLvl w:val="9"/>
              <w:rPr>
                <w:rFonts w:hint="default" w:ascii="宋体" w:hAnsi="宋体" w:eastAsia="宋体"/>
                <w:b w:val="0"/>
                <w:bCs w:val="0"/>
                <w:color w:val="auto"/>
                <w:sz w:val="24"/>
                <w:szCs w:val="24"/>
                <w:vertAlign w:val="baseline"/>
                <w:lang w:val="en-US" w:eastAsia="zh-CN"/>
              </w:rPr>
            </w:pPr>
            <w:r>
              <w:rPr>
                <w:rFonts w:hint="eastAsia" w:ascii="宋体" w:hAnsi="宋体"/>
                <w:b w:val="0"/>
                <w:bCs w:val="0"/>
                <w:color w:val="auto"/>
                <w:sz w:val="24"/>
                <w:szCs w:val="24"/>
                <w:vertAlign w:val="baseline"/>
                <w:lang w:val="en-US" w:eastAsia="zh-CN"/>
              </w:rPr>
              <w:t>1507996.20</w:t>
            </w:r>
          </w:p>
        </w:tc>
        <w:tc>
          <w:tcPr>
            <w:tcW w:w="1446" w:type="dxa"/>
            <w:noWrap w:val="0"/>
            <w:vAlign w:val="center"/>
          </w:tcPr>
          <w:p>
            <w:pPr>
              <w:keepNext/>
              <w:keepLines/>
              <w:pageBreakBefore w:val="0"/>
              <w:widowControl w:val="0"/>
              <w:kinsoku/>
              <w:wordWrap/>
              <w:overflowPunct/>
              <w:topLinePunct w:val="0"/>
              <w:autoSpaceDE/>
              <w:autoSpaceDN/>
              <w:bidi w:val="0"/>
              <w:adjustRightInd/>
              <w:snapToGrid/>
              <w:spacing w:before="0" w:after="0" w:line="460" w:lineRule="exact"/>
              <w:jc w:val="center"/>
              <w:textAlignment w:val="auto"/>
              <w:outlineLvl w:val="9"/>
              <w:rPr>
                <w:rFonts w:hint="default" w:ascii="宋体" w:hAnsi="宋体" w:eastAsia="宋体"/>
                <w:b w:val="0"/>
                <w:bCs w:val="0"/>
                <w:color w:val="auto"/>
                <w:sz w:val="24"/>
                <w:szCs w:val="24"/>
                <w:vertAlign w:val="baseline"/>
                <w:lang w:val="en-US" w:eastAsia="zh-CN"/>
              </w:rPr>
            </w:pPr>
            <w:r>
              <w:rPr>
                <w:rFonts w:hint="eastAsia" w:ascii="宋体" w:hAnsi="宋体"/>
                <w:b w:val="0"/>
                <w:bCs w:val="0"/>
                <w:color w:val="auto"/>
                <w:sz w:val="24"/>
                <w:szCs w:val="24"/>
                <w:vertAlign w:val="baseline"/>
                <w:lang w:val="en-US" w:eastAsia="zh-CN"/>
              </w:rPr>
              <w:t>288673.14</w:t>
            </w:r>
          </w:p>
        </w:tc>
        <w:tc>
          <w:tcPr>
            <w:tcW w:w="1315" w:type="dxa"/>
            <w:noWrap w:val="0"/>
            <w:vAlign w:val="center"/>
          </w:tcPr>
          <w:p>
            <w:pPr>
              <w:keepNext/>
              <w:keepLines/>
              <w:pageBreakBefore w:val="0"/>
              <w:widowControl w:val="0"/>
              <w:kinsoku/>
              <w:wordWrap/>
              <w:overflowPunct/>
              <w:topLinePunct w:val="0"/>
              <w:autoSpaceDE/>
              <w:autoSpaceDN/>
              <w:bidi w:val="0"/>
              <w:adjustRightInd/>
              <w:snapToGrid/>
              <w:spacing w:before="0" w:after="0" w:line="460" w:lineRule="exact"/>
              <w:jc w:val="center"/>
              <w:textAlignment w:val="auto"/>
              <w:outlineLvl w:val="9"/>
              <w:rPr>
                <w:rFonts w:hint="default" w:ascii="宋体" w:hAnsi="宋体" w:eastAsia="宋体"/>
                <w:b w:val="0"/>
                <w:bCs w:val="0"/>
                <w:color w:val="auto"/>
                <w:sz w:val="24"/>
                <w:szCs w:val="24"/>
                <w:vertAlign w:val="baseline"/>
                <w:lang w:val="en-US" w:eastAsia="zh-CN"/>
              </w:rPr>
            </w:pPr>
            <w:r>
              <w:rPr>
                <w:rFonts w:hint="eastAsia" w:ascii="宋体" w:hAnsi="宋体"/>
                <w:b w:val="0"/>
                <w:bCs w:val="0"/>
                <w:color w:val="auto"/>
                <w:sz w:val="24"/>
                <w:szCs w:val="24"/>
                <w:vertAlign w:val="baseline"/>
                <w:lang w:val="en-US" w:eastAsia="zh-CN"/>
              </w:rPr>
              <w:t>0</w:t>
            </w:r>
          </w:p>
        </w:tc>
        <w:tc>
          <w:tcPr>
            <w:tcW w:w="1531" w:type="dxa"/>
            <w:noWrap w:val="0"/>
            <w:vAlign w:val="center"/>
          </w:tcPr>
          <w:p>
            <w:pPr>
              <w:keepNext/>
              <w:keepLines/>
              <w:pageBreakBefore w:val="0"/>
              <w:widowControl w:val="0"/>
              <w:kinsoku/>
              <w:wordWrap/>
              <w:overflowPunct/>
              <w:topLinePunct w:val="0"/>
              <w:autoSpaceDE/>
              <w:autoSpaceDN/>
              <w:bidi w:val="0"/>
              <w:adjustRightInd/>
              <w:snapToGrid/>
              <w:spacing w:before="0" w:after="0" w:line="460" w:lineRule="exact"/>
              <w:jc w:val="center"/>
              <w:textAlignment w:val="auto"/>
              <w:outlineLvl w:val="9"/>
              <w:rPr>
                <w:rFonts w:hint="default" w:ascii="宋体" w:hAnsi="宋体" w:eastAsia="宋体"/>
                <w:b w:val="0"/>
                <w:bCs w:val="0"/>
                <w:color w:val="auto"/>
                <w:sz w:val="24"/>
                <w:szCs w:val="24"/>
                <w:vertAlign w:val="baseline"/>
                <w:lang w:val="en-US" w:eastAsia="zh-CN"/>
              </w:rPr>
            </w:pPr>
            <w:r>
              <w:rPr>
                <w:rFonts w:hint="eastAsia" w:ascii="宋体" w:hAnsi="宋体"/>
                <w:b w:val="0"/>
                <w:bCs w:val="0"/>
                <w:color w:val="auto"/>
                <w:sz w:val="24"/>
                <w:szCs w:val="24"/>
                <w:vertAlign w:val="baseline"/>
                <w:lang w:val="en-US" w:eastAsia="zh-CN"/>
              </w:rPr>
              <w:t>0</w:t>
            </w:r>
          </w:p>
        </w:tc>
        <w:tc>
          <w:tcPr>
            <w:tcW w:w="1531" w:type="dxa"/>
            <w:noWrap w:val="0"/>
            <w:vAlign w:val="center"/>
          </w:tcPr>
          <w:p>
            <w:pPr>
              <w:keepNext/>
              <w:keepLines/>
              <w:pageBreakBefore w:val="0"/>
              <w:widowControl w:val="0"/>
              <w:kinsoku/>
              <w:wordWrap/>
              <w:overflowPunct/>
              <w:topLinePunct w:val="0"/>
              <w:autoSpaceDE/>
              <w:autoSpaceDN/>
              <w:bidi w:val="0"/>
              <w:adjustRightInd/>
              <w:snapToGrid/>
              <w:spacing w:before="0" w:after="0" w:line="460" w:lineRule="exact"/>
              <w:jc w:val="center"/>
              <w:textAlignment w:val="auto"/>
              <w:outlineLvl w:val="9"/>
              <w:rPr>
                <w:rFonts w:hint="default" w:ascii="宋体" w:hAnsi="宋体" w:eastAsia="宋体"/>
                <w:b w:val="0"/>
                <w:bCs w:val="0"/>
                <w:color w:val="auto"/>
                <w:sz w:val="24"/>
                <w:szCs w:val="24"/>
                <w:vertAlign w:val="baseline"/>
                <w:lang w:val="en-US" w:eastAsia="zh-CN"/>
              </w:rPr>
            </w:pPr>
            <w:r>
              <w:rPr>
                <w:rFonts w:hint="eastAsia" w:ascii="宋体" w:hAnsi="宋体"/>
                <w:b w:val="0"/>
                <w:bCs w:val="0"/>
                <w:color w:val="auto"/>
                <w:sz w:val="24"/>
                <w:szCs w:val="24"/>
                <w:vertAlign w:val="baseline"/>
                <w:lang w:val="en-US" w:eastAsia="zh-CN"/>
              </w:rPr>
              <w:t>357934.23</w:t>
            </w:r>
          </w:p>
        </w:tc>
        <w:tc>
          <w:tcPr>
            <w:tcW w:w="1531" w:type="dxa"/>
            <w:noWrap w:val="0"/>
            <w:vAlign w:val="center"/>
          </w:tcPr>
          <w:p>
            <w:pPr>
              <w:keepNext/>
              <w:keepLines/>
              <w:pageBreakBefore w:val="0"/>
              <w:widowControl w:val="0"/>
              <w:kinsoku/>
              <w:wordWrap/>
              <w:overflowPunct/>
              <w:topLinePunct w:val="0"/>
              <w:autoSpaceDE/>
              <w:autoSpaceDN/>
              <w:bidi w:val="0"/>
              <w:adjustRightInd/>
              <w:snapToGrid/>
              <w:spacing w:before="0" w:after="0" w:line="460" w:lineRule="exact"/>
              <w:jc w:val="center"/>
              <w:textAlignment w:val="auto"/>
              <w:outlineLvl w:val="9"/>
              <w:rPr>
                <w:rFonts w:hint="default" w:ascii="宋体" w:hAnsi="宋体" w:eastAsia="宋体"/>
                <w:b w:val="0"/>
                <w:bCs w:val="0"/>
                <w:color w:val="auto"/>
                <w:sz w:val="24"/>
                <w:szCs w:val="24"/>
                <w:vertAlign w:val="baseline"/>
                <w:lang w:val="en-US" w:eastAsia="zh-CN"/>
              </w:rPr>
            </w:pPr>
            <w:r>
              <w:rPr>
                <w:rFonts w:hint="eastAsia" w:ascii="宋体" w:hAnsi="宋体"/>
                <w:b w:val="0"/>
                <w:bCs w:val="0"/>
                <w:color w:val="auto"/>
                <w:sz w:val="24"/>
                <w:szCs w:val="24"/>
                <w:vertAlign w:val="baseline"/>
                <w:lang w:val="en-US" w:eastAsia="zh-CN"/>
              </w:rPr>
              <w:t>855164.19</w:t>
            </w:r>
          </w:p>
        </w:tc>
      </w:tr>
    </w:tbl>
    <w:p>
      <w:pPr>
        <w:pStyle w:val="3"/>
        <w:rPr>
          <w:rFonts w:hint="eastAsia"/>
          <w:color w:val="auto"/>
        </w:rPr>
      </w:pPr>
    </w:p>
    <w:p>
      <w:pPr>
        <w:rPr>
          <w:rFonts w:hint="eastAsia" w:eastAsia="宋体"/>
          <w:color w:val="auto"/>
          <w:lang w:val="en-US" w:eastAsia="zh-CN"/>
        </w:rPr>
        <w:sectPr>
          <w:pgSz w:w="16838" w:h="11906" w:orient="landscape"/>
          <w:pgMar w:top="1080" w:right="1440" w:bottom="1080" w:left="1440" w:header="851" w:footer="992" w:gutter="0"/>
          <w:pgNumType w:fmt="decimal"/>
          <w:cols w:space="720" w:num="1"/>
          <w:docGrid w:type="lines" w:linePitch="312" w:charSpace="0"/>
        </w:sectPr>
      </w:pPr>
    </w:p>
    <w:p>
      <w:pPr>
        <w:pStyle w:val="66"/>
        <w:pageBreakBefore w:val="0"/>
        <w:widowControl w:val="0"/>
        <w:kinsoku/>
        <w:wordWrap/>
        <w:overflowPunct/>
        <w:topLinePunct w:val="0"/>
        <w:autoSpaceDE/>
        <w:autoSpaceDN/>
        <w:bidi w:val="0"/>
        <w:snapToGrid/>
        <w:spacing w:before="0" w:line="240" w:lineRule="auto"/>
        <w:rPr>
          <w:color w:val="auto"/>
        </w:rPr>
      </w:pPr>
      <w:r>
        <w:rPr>
          <w:rFonts w:hint="eastAsia"/>
          <w:color w:val="auto"/>
        </w:rPr>
        <w:t>1、总则</w:t>
      </w:r>
      <w:bookmarkEnd w:id="12"/>
      <w:bookmarkEnd w:id="13"/>
      <w:bookmarkEnd w:id="14"/>
      <w:bookmarkEnd w:id="15"/>
    </w:p>
    <w:p>
      <w:pPr>
        <w:pStyle w:val="69"/>
        <w:pageBreakBefore w:val="0"/>
        <w:widowControl w:val="0"/>
        <w:kinsoku/>
        <w:wordWrap/>
        <w:overflowPunct/>
        <w:topLinePunct w:val="0"/>
        <w:autoSpaceDE/>
        <w:autoSpaceDN/>
        <w:bidi w:val="0"/>
        <w:snapToGrid/>
        <w:spacing w:before="0" w:line="240" w:lineRule="auto"/>
        <w:rPr>
          <w:color w:val="auto"/>
        </w:rPr>
      </w:pPr>
      <w:bookmarkStart w:id="16" w:name="_Toc152045530"/>
      <w:bookmarkStart w:id="17" w:name="_Toc8423530"/>
      <w:bookmarkStart w:id="18" w:name="_Toc144974498"/>
      <w:bookmarkStart w:id="19" w:name="_Toc152042306"/>
      <w:r>
        <w:rPr>
          <w:rFonts w:hint="eastAsia"/>
          <w:color w:val="auto"/>
        </w:rPr>
        <w:t>1.1 项目概况</w:t>
      </w:r>
      <w:bookmarkEnd w:id="16"/>
      <w:bookmarkEnd w:id="17"/>
      <w:bookmarkEnd w:id="18"/>
      <w:bookmarkEnd w:id="19"/>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1.1.1根据《中华人民共和国招标投标法》等有关法律、法规和规章的规定，本项目已具备招标条件，现对本项目施工进行招标。</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1.1.2 本项目招标人：见投标人须知前附表。</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1.1.3 本项目代理机构：见投标人须知前附表。</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1.1.4 本项目名称：见投标人须知前附表。</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1.1.5 本项目建设地点：见投标人须知前附表。</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1.1.</w:t>
      </w:r>
      <w:r>
        <w:rPr>
          <w:rFonts w:hint="eastAsia"/>
          <w:color w:val="auto"/>
          <w:lang w:val="en-US" w:eastAsia="zh-CN"/>
        </w:rPr>
        <w:t>6</w:t>
      </w:r>
      <w:r>
        <w:rPr>
          <w:rFonts w:hint="eastAsia"/>
          <w:color w:val="auto"/>
        </w:rPr>
        <w:t xml:space="preserve"> 本项目</w:t>
      </w:r>
      <w:r>
        <w:rPr>
          <w:rFonts w:hint="eastAsia"/>
          <w:color w:val="auto"/>
          <w:lang w:val="en-US" w:eastAsia="zh-CN"/>
        </w:rPr>
        <w:t>项目概况</w:t>
      </w:r>
      <w:r>
        <w:rPr>
          <w:rFonts w:hint="eastAsia"/>
          <w:color w:val="auto"/>
        </w:rPr>
        <w:t>：见投标人须知前附表。</w:t>
      </w:r>
    </w:p>
    <w:p>
      <w:pPr>
        <w:pStyle w:val="69"/>
        <w:pageBreakBefore w:val="0"/>
        <w:widowControl w:val="0"/>
        <w:kinsoku/>
        <w:wordWrap/>
        <w:overflowPunct/>
        <w:topLinePunct w:val="0"/>
        <w:autoSpaceDE/>
        <w:autoSpaceDN/>
        <w:bidi w:val="0"/>
        <w:snapToGrid/>
        <w:spacing w:before="0" w:line="240" w:lineRule="auto"/>
        <w:rPr>
          <w:color w:val="auto"/>
        </w:rPr>
      </w:pPr>
      <w:bookmarkStart w:id="20" w:name="_Toc152045531"/>
      <w:bookmarkStart w:id="21" w:name="_Toc144974499"/>
      <w:bookmarkStart w:id="22" w:name="_Toc8423531"/>
      <w:bookmarkStart w:id="23" w:name="_Toc152042307"/>
      <w:r>
        <w:rPr>
          <w:rFonts w:hint="eastAsia"/>
          <w:color w:val="auto"/>
        </w:rPr>
        <w:t>1.2 资金来源和落实情况</w:t>
      </w:r>
      <w:bookmarkEnd w:id="20"/>
      <w:bookmarkEnd w:id="21"/>
      <w:bookmarkEnd w:id="22"/>
      <w:bookmarkEnd w:id="23"/>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1.2.1 本招标项目的资金来源：见投标人须知前附表。</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1.2.2</w:t>
      </w:r>
      <w:r>
        <w:rPr>
          <w:rFonts w:hint="eastAsia"/>
          <w:color w:val="auto"/>
          <w:lang w:val="en-US" w:eastAsia="zh-CN"/>
        </w:rPr>
        <w:t xml:space="preserve"> </w:t>
      </w:r>
      <w:r>
        <w:rPr>
          <w:rFonts w:hint="eastAsia"/>
          <w:color w:val="auto"/>
        </w:rPr>
        <w:t>本招标项目的</w:t>
      </w:r>
      <w:r>
        <w:rPr>
          <w:rFonts w:hint="eastAsia"/>
          <w:color w:val="auto"/>
          <w:lang w:val="en-US" w:eastAsia="zh-CN"/>
        </w:rPr>
        <w:t>出资比例</w:t>
      </w:r>
      <w:r>
        <w:rPr>
          <w:rFonts w:hint="eastAsia"/>
          <w:color w:val="auto"/>
        </w:rPr>
        <w:t>：见投标人须知前附表。</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1.2.</w:t>
      </w:r>
      <w:r>
        <w:rPr>
          <w:rFonts w:hint="eastAsia"/>
          <w:color w:val="auto"/>
          <w:lang w:val="en-US" w:eastAsia="zh-CN"/>
        </w:rPr>
        <w:t xml:space="preserve">3 </w:t>
      </w:r>
      <w:r>
        <w:rPr>
          <w:rFonts w:hint="eastAsia"/>
          <w:color w:val="auto"/>
        </w:rPr>
        <w:t>本招标项目的资金落实情况：见投标人须知前附表。</w:t>
      </w:r>
    </w:p>
    <w:p>
      <w:pPr>
        <w:pStyle w:val="69"/>
        <w:pageBreakBefore w:val="0"/>
        <w:widowControl w:val="0"/>
        <w:kinsoku/>
        <w:wordWrap/>
        <w:overflowPunct/>
        <w:topLinePunct w:val="0"/>
        <w:autoSpaceDE/>
        <w:autoSpaceDN/>
        <w:bidi w:val="0"/>
        <w:snapToGrid/>
        <w:spacing w:before="0" w:line="240" w:lineRule="auto"/>
        <w:rPr>
          <w:color w:val="auto"/>
        </w:rPr>
      </w:pPr>
      <w:bookmarkStart w:id="24" w:name="_Toc152045532"/>
      <w:bookmarkStart w:id="25" w:name="_Toc152042308"/>
      <w:bookmarkStart w:id="26" w:name="_Toc8423532"/>
      <w:bookmarkStart w:id="27" w:name="_Toc144974500"/>
      <w:r>
        <w:rPr>
          <w:rFonts w:hint="eastAsia"/>
          <w:color w:val="auto"/>
        </w:rPr>
        <w:t>1.3 招标范围、工期、质量和安全文明工地要求</w:t>
      </w:r>
      <w:bookmarkEnd w:id="24"/>
      <w:bookmarkEnd w:id="25"/>
      <w:bookmarkEnd w:id="26"/>
      <w:bookmarkEnd w:id="27"/>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1.3.1 本项目的招标范围</w:t>
      </w:r>
      <w:r>
        <w:rPr>
          <w:rFonts w:hint="eastAsia"/>
          <w:color w:val="auto"/>
          <w:lang w:val="en-US" w:eastAsia="zh-CN"/>
        </w:rPr>
        <w:t>及</w:t>
      </w:r>
      <w:r>
        <w:rPr>
          <w:rFonts w:hint="eastAsia"/>
          <w:color w:val="auto"/>
        </w:rPr>
        <w:t>标段划分：见投标人须知前附表。</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1.3.2 本项目的工期：见投标人须知前附表。</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1.3.3 本项目的质量要求：见投标人须知前附表。</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1.3.</w:t>
      </w:r>
      <w:r>
        <w:rPr>
          <w:rFonts w:hint="eastAsia"/>
          <w:color w:val="auto"/>
          <w:lang w:val="en-US" w:eastAsia="zh-CN"/>
        </w:rPr>
        <w:t>4</w:t>
      </w:r>
      <w:r>
        <w:rPr>
          <w:rFonts w:hint="eastAsia"/>
          <w:color w:val="auto"/>
        </w:rPr>
        <w:t xml:space="preserve"> 本项目的安全目标：见投标人须知前附表。</w:t>
      </w:r>
      <w:r>
        <w:rPr>
          <w:rFonts w:hint="eastAsia"/>
          <w:color w:val="auto"/>
        </w:rPr>
        <w:tab/>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1.3.</w:t>
      </w:r>
      <w:r>
        <w:rPr>
          <w:rFonts w:hint="eastAsia"/>
          <w:color w:val="auto"/>
          <w:lang w:val="en-US" w:eastAsia="zh-CN"/>
        </w:rPr>
        <w:t>5</w:t>
      </w:r>
      <w:r>
        <w:rPr>
          <w:rFonts w:hint="eastAsia"/>
          <w:color w:val="auto"/>
        </w:rPr>
        <w:t xml:space="preserve"> 本项目的文明工地目标：见投标人须知前附表。</w:t>
      </w:r>
      <w:r>
        <w:rPr>
          <w:rFonts w:hint="eastAsia"/>
          <w:color w:val="auto"/>
        </w:rPr>
        <w:tab/>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1.3.</w:t>
      </w:r>
      <w:r>
        <w:rPr>
          <w:rFonts w:hint="eastAsia"/>
          <w:color w:val="auto"/>
          <w:lang w:val="en-US" w:eastAsia="zh-CN"/>
        </w:rPr>
        <w:t>6</w:t>
      </w:r>
      <w:r>
        <w:rPr>
          <w:rFonts w:hint="eastAsia"/>
          <w:color w:val="auto"/>
        </w:rPr>
        <w:t xml:space="preserve"> 本项目的扬尘治理目标：见投标人须知前附表。</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1.3.</w:t>
      </w:r>
      <w:r>
        <w:rPr>
          <w:rFonts w:hint="eastAsia"/>
          <w:color w:val="auto"/>
          <w:lang w:val="en-US" w:eastAsia="zh-CN"/>
        </w:rPr>
        <w:t>7</w:t>
      </w:r>
      <w:r>
        <w:rPr>
          <w:rFonts w:hint="eastAsia"/>
          <w:color w:val="auto"/>
        </w:rPr>
        <w:t xml:space="preserve"> 本项目的缺陷责任期：见投标人须知前附表。</w:t>
      </w:r>
    </w:p>
    <w:p>
      <w:pPr>
        <w:pStyle w:val="69"/>
        <w:pageBreakBefore w:val="0"/>
        <w:widowControl w:val="0"/>
        <w:kinsoku/>
        <w:wordWrap/>
        <w:overflowPunct/>
        <w:topLinePunct w:val="0"/>
        <w:autoSpaceDE/>
        <w:autoSpaceDN/>
        <w:bidi w:val="0"/>
        <w:snapToGrid/>
        <w:spacing w:before="0" w:line="240" w:lineRule="auto"/>
        <w:rPr>
          <w:color w:val="auto"/>
        </w:rPr>
      </w:pPr>
      <w:bookmarkStart w:id="28" w:name="_Toc152045534"/>
      <w:bookmarkStart w:id="29" w:name="_Toc144974502"/>
      <w:bookmarkStart w:id="30" w:name="_Toc8423533"/>
      <w:bookmarkStart w:id="31" w:name="_Toc152042310"/>
      <w:r>
        <w:rPr>
          <w:rFonts w:hint="eastAsia"/>
          <w:color w:val="auto"/>
        </w:rPr>
        <w:t>1.4 投标人资格要求</w:t>
      </w:r>
      <w:bookmarkEnd w:id="28"/>
      <w:bookmarkEnd w:id="29"/>
      <w:bookmarkEnd w:id="30"/>
      <w:bookmarkEnd w:id="31"/>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1.4.1</w:t>
      </w:r>
      <w:r>
        <w:rPr>
          <w:rFonts w:hint="eastAsia"/>
          <w:color w:val="auto"/>
          <w:lang w:val="en-US" w:eastAsia="zh-CN"/>
        </w:rPr>
        <w:t xml:space="preserve"> </w:t>
      </w:r>
      <w:r>
        <w:rPr>
          <w:rFonts w:hint="eastAsia"/>
          <w:color w:val="auto"/>
        </w:rPr>
        <w:t>投标人应具备承担本项目施工的资质条件、能力和信誉。</w:t>
      </w:r>
    </w:p>
    <w:p>
      <w:pPr>
        <w:pageBreakBefore w:val="0"/>
        <w:widowControl w:val="0"/>
        <w:kinsoku/>
        <w:wordWrap/>
        <w:overflowPunct/>
        <w:topLinePunct w:val="0"/>
        <w:autoSpaceDE/>
        <w:autoSpaceDN/>
        <w:bidi w:val="0"/>
        <w:snapToGrid/>
        <w:spacing w:line="240" w:lineRule="auto"/>
        <w:ind w:firstLine="695" w:firstLineChars="342"/>
        <w:rPr>
          <w:color w:val="auto"/>
        </w:rPr>
      </w:pPr>
      <w:r>
        <w:rPr>
          <w:rFonts w:hint="eastAsia"/>
          <w:color w:val="auto"/>
        </w:rPr>
        <w:t>（1）资质条件：见投标人须知前附表；</w:t>
      </w:r>
    </w:p>
    <w:p>
      <w:pPr>
        <w:pageBreakBefore w:val="0"/>
        <w:widowControl w:val="0"/>
        <w:kinsoku/>
        <w:wordWrap/>
        <w:overflowPunct/>
        <w:topLinePunct w:val="0"/>
        <w:autoSpaceDE/>
        <w:autoSpaceDN/>
        <w:bidi w:val="0"/>
        <w:snapToGrid/>
        <w:spacing w:line="240" w:lineRule="auto"/>
        <w:ind w:firstLine="695" w:firstLineChars="342"/>
        <w:rPr>
          <w:color w:val="auto"/>
        </w:rPr>
      </w:pPr>
      <w:r>
        <w:rPr>
          <w:rFonts w:hint="eastAsia"/>
          <w:color w:val="auto"/>
        </w:rPr>
        <w:t>（2）财务要求：见投标人须知前附表；</w:t>
      </w:r>
    </w:p>
    <w:p>
      <w:pPr>
        <w:pageBreakBefore w:val="0"/>
        <w:widowControl w:val="0"/>
        <w:kinsoku/>
        <w:wordWrap/>
        <w:overflowPunct/>
        <w:topLinePunct w:val="0"/>
        <w:autoSpaceDE/>
        <w:autoSpaceDN/>
        <w:bidi w:val="0"/>
        <w:snapToGrid/>
        <w:spacing w:line="240" w:lineRule="auto"/>
        <w:ind w:firstLine="695" w:firstLineChars="342"/>
        <w:rPr>
          <w:color w:val="auto"/>
        </w:rPr>
      </w:pPr>
      <w:r>
        <w:rPr>
          <w:rFonts w:hint="eastAsia"/>
          <w:color w:val="auto"/>
        </w:rPr>
        <w:t>（</w:t>
      </w:r>
      <w:r>
        <w:rPr>
          <w:rFonts w:hint="eastAsia"/>
          <w:color w:val="auto"/>
          <w:lang w:val="en-US" w:eastAsia="zh-CN"/>
        </w:rPr>
        <w:t>3</w:t>
      </w:r>
      <w:r>
        <w:rPr>
          <w:rFonts w:hint="eastAsia"/>
          <w:color w:val="auto"/>
        </w:rPr>
        <w:t>）信誉要求：见投标人须知前附表；</w:t>
      </w:r>
    </w:p>
    <w:p>
      <w:pPr>
        <w:pageBreakBefore w:val="0"/>
        <w:widowControl w:val="0"/>
        <w:kinsoku/>
        <w:wordWrap/>
        <w:overflowPunct/>
        <w:topLinePunct w:val="0"/>
        <w:autoSpaceDE/>
        <w:autoSpaceDN/>
        <w:bidi w:val="0"/>
        <w:snapToGrid/>
        <w:spacing w:line="240" w:lineRule="auto"/>
        <w:ind w:firstLine="711" w:firstLineChars="350"/>
        <w:rPr>
          <w:color w:val="auto"/>
        </w:rPr>
      </w:pPr>
      <w:r>
        <w:rPr>
          <w:rFonts w:hint="eastAsia"/>
          <w:color w:val="auto"/>
        </w:rPr>
        <w:t>（</w:t>
      </w:r>
      <w:r>
        <w:rPr>
          <w:rFonts w:hint="eastAsia"/>
          <w:color w:val="auto"/>
          <w:lang w:val="en-US" w:eastAsia="zh-CN"/>
        </w:rPr>
        <w:t>4</w:t>
      </w:r>
      <w:r>
        <w:rPr>
          <w:rFonts w:hint="eastAsia"/>
          <w:color w:val="auto"/>
        </w:rPr>
        <w:t>）项目经理资格：见投标人须知前附表；</w:t>
      </w:r>
    </w:p>
    <w:p>
      <w:pPr>
        <w:pageBreakBefore w:val="0"/>
        <w:widowControl w:val="0"/>
        <w:kinsoku/>
        <w:wordWrap/>
        <w:overflowPunct/>
        <w:topLinePunct w:val="0"/>
        <w:autoSpaceDE/>
        <w:autoSpaceDN/>
        <w:bidi w:val="0"/>
        <w:snapToGrid/>
        <w:spacing w:line="240" w:lineRule="auto"/>
        <w:ind w:firstLine="711" w:firstLineChars="350"/>
        <w:rPr>
          <w:color w:val="auto"/>
        </w:rPr>
      </w:pPr>
      <w:r>
        <w:rPr>
          <w:rFonts w:hint="eastAsia"/>
          <w:color w:val="auto"/>
        </w:rPr>
        <w:t>（</w:t>
      </w:r>
      <w:r>
        <w:rPr>
          <w:rFonts w:hint="eastAsia"/>
          <w:color w:val="auto"/>
          <w:lang w:val="en-US" w:eastAsia="zh-CN"/>
        </w:rPr>
        <w:t>5</w:t>
      </w:r>
      <w:r>
        <w:rPr>
          <w:rFonts w:hint="eastAsia"/>
          <w:color w:val="auto"/>
        </w:rPr>
        <w:t>）其他要求：见投标人须知前附表。</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 xml:space="preserve">1.4.2 投标人须知前附表规定接受联合体投标的，除应符合本章第1.4.1项和投标人须知前附表的要求外，还应遵守以下规定： </w:t>
      </w:r>
    </w:p>
    <w:p>
      <w:pPr>
        <w:pageBreakBefore w:val="0"/>
        <w:widowControl w:val="0"/>
        <w:kinsoku/>
        <w:wordWrap/>
        <w:overflowPunct/>
        <w:topLinePunct w:val="0"/>
        <w:autoSpaceDE/>
        <w:autoSpaceDN/>
        <w:bidi w:val="0"/>
        <w:snapToGrid/>
        <w:spacing w:line="240" w:lineRule="auto"/>
        <w:ind w:firstLine="695" w:firstLineChars="342"/>
        <w:rPr>
          <w:color w:val="auto"/>
        </w:rPr>
      </w:pPr>
      <w:r>
        <w:rPr>
          <w:rFonts w:hint="eastAsia"/>
          <w:color w:val="auto"/>
        </w:rPr>
        <w:t>（1）联合体各方应按招标文件提供的格式签订联合体协议书，明确联合体牵头人和各方权利义务；</w:t>
      </w:r>
    </w:p>
    <w:p>
      <w:pPr>
        <w:pageBreakBefore w:val="0"/>
        <w:widowControl w:val="0"/>
        <w:kinsoku/>
        <w:wordWrap/>
        <w:overflowPunct/>
        <w:topLinePunct w:val="0"/>
        <w:autoSpaceDE/>
        <w:autoSpaceDN/>
        <w:bidi w:val="0"/>
        <w:snapToGrid/>
        <w:spacing w:line="240" w:lineRule="auto"/>
        <w:ind w:firstLine="695" w:firstLineChars="342"/>
        <w:rPr>
          <w:color w:val="auto"/>
        </w:rPr>
      </w:pPr>
      <w:r>
        <w:rPr>
          <w:rFonts w:hint="eastAsia"/>
          <w:color w:val="auto"/>
        </w:rPr>
        <w:t xml:space="preserve">（2）由同一专业的单位组成的联合体，按照资质等级较低的单位确定资质等级； </w:t>
      </w:r>
    </w:p>
    <w:p>
      <w:pPr>
        <w:pageBreakBefore w:val="0"/>
        <w:widowControl w:val="0"/>
        <w:kinsoku/>
        <w:wordWrap/>
        <w:overflowPunct/>
        <w:topLinePunct w:val="0"/>
        <w:autoSpaceDE/>
        <w:autoSpaceDN/>
        <w:bidi w:val="0"/>
        <w:snapToGrid/>
        <w:spacing w:line="240" w:lineRule="auto"/>
        <w:ind w:firstLine="695" w:firstLineChars="342"/>
        <w:rPr>
          <w:color w:val="auto"/>
        </w:rPr>
      </w:pPr>
      <w:r>
        <w:rPr>
          <w:rFonts w:hint="eastAsia"/>
          <w:color w:val="auto"/>
        </w:rPr>
        <w:t>（3）联合体各方不得再以自己名义单独或参加其他联合体在同一项目中投标。</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1.4.3 投标人不得存在下列情形之一：</w:t>
      </w:r>
    </w:p>
    <w:p>
      <w:pPr>
        <w:pageBreakBefore w:val="0"/>
        <w:widowControl w:val="0"/>
        <w:kinsoku/>
        <w:wordWrap/>
        <w:overflowPunct/>
        <w:topLinePunct w:val="0"/>
        <w:autoSpaceDE/>
        <w:autoSpaceDN/>
        <w:bidi w:val="0"/>
        <w:snapToGrid/>
        <w:spacing w:line="240" w:lineRule="auto"/>
        <w:ind w:firstLine="695" w:firstLineChars="342"/>
        <w:rPr>
          <w:color w:val="auto"/>
        </w:rPr>
      </w:pPr>
      <w:r>
        <w:rPr>
          <w:rFonts w:hint="eastAsia"/>
          <w:color w:val="auto"/>
        </w:rPr>
        <w:t xml:space="preserve">（1）为招标人不具有独立法人资格的附属机构（单位）； </w:t>
      </w:r>
    </w:p>
    <w:p>
      <w:pPr>
        <w:pageBreakBefore w:val="0"/>
        <w:widowControl w:val="0"/>
        <w:kinsoku/>
        <w:wordWrap/>
        <w:overflowPunct/>
        <w:topLinePunct w:val="0"/>
        <w:autoSpaceDE/>
        <w:autoSpaceDN/>
        <w:bidi w:val="0"/>
        <w:snapToGrid/>
        <w:spacing w:line="240" w:lineRule="auto"/>
        <w:ind w:firstLine="695" w:firstLineChars="342"/>
        <w:rPr>
          <w:color w:val="auto"/>
        </w:rPr>
      </w:pPr>
      <w:r>
        <w:rPr>
          <w:rFonts w:hint="eastAsia"/>
          <w:color w:val="auto"/>
        </w:rPr>
        <w:t xml:space="preserve">（2）为本项目前期准备提供设计或咨询服务的，但设计施工总承包的除外； </w:t>
      </w:r>
    </w:p>
    <w:p>
      <w:pPr>
        <w:pageBreakBefore w:val="0"/>
        <w:widowControl w:val="0"/>
        <w:kinsoku/>
        <w:wordWrap/>
        <w:overflowPunct/>
        <w:topLinePunct w:val="0"/>
        <w:autoSpaceDE/>
        <w:autoSpaceDN/>
        <w:bidi w:val="0"/>
        <w:snapToGrid/>
        <w:spacing w:line="240" w:lineRule="auto"/>
        <w:ind w:firstLine="695" w:firstLineChars="342"/>
        <w:rPr>
          <w:color w:val="auto"/>
        </w:rPr>
      </w:pPr>
      <w:r>
        <w:rPr>
          <w:rFonts w:hint="eastAsia"/>
          <w:color w:val="auto"/>
        </w:rPr>
        <w:t>（3）为本项目的监理人；</w:t>
      </w:r>
    </w:p>
    <w:p>
      <w:pPr>
        <w:pageBreakBefore w:val="0"/>
        <w:widowControl w:val="0"/>
        <w:kinsoku/>
        <w:wordWrap/>
        <w:overflowPunct/>
        <w:topLinePunct w:val="0"/>
        <w:autoSpaceDE/>
        <w:autoSpaceDN/>
        <w:bidi w:val="0"/>
        <w:snapToGrid/>
        <w:spacing w:line="240" w:lineRule="auto"/>
        <w:ind w:firstLine="695" w:firstLineChars="342"/>
        <w:rPr>
          <w:color w:val="auto"/>
        </w:rPr>
      </w:pPr>
      <w:r>
        <w:rPr>
          <w:rFonts w:hint="eastAsia"/>
          <w:color w:val="auto"/>
        </w:rPr>
        <w:t xml:space="preserve">（4）为本项目的代建人； </w:t>
      </w:r>
    </w:p>
    <w:p>
      <w:pPr>
        <w:pageBreakBefore w:val="0"/>
        <w:widowControl w:val="0"/>
        <w:kinsoku/>
        <w:wordWrap/>
        <w:overflowPunct/>
        <w:topLinePunct w:val="0"/>
        <w:autoSpaceDE/>
        <w:autoSpaceDN/>
        <w:bidi w:val="0"/>
        <w:snapToGrid/>
        <w:spacing w:line="240" w:lineRule="auto"/>
        <w:ind w:firstLine="695" w:firstLineChars="342"/>
        <w:rPr>
          <w:color w:val="auto"/>
        </w:rPr>
      </w:pPr>
      <w:r>
        <w:rPr>
          <w:rFonts w:hint="eastAsia"/>
          <w:color w:val="auto"/>
        </w:rPr>
        <w:t xml:space="preserve">（5）为本项目提供招标代理服务的； </w:t>
      </w:r>
    </w:p>
    <w:p>
      <w:pPr>
        <w:pageBreakBefore w:val="0"/>
        <w:widowControl w:val="0"/>
        <w:kinsoku/>
        <w:wordWrap/>
        <w:overflowPunct/>
        <w:topLinePunct w:val="0"/>
        <w:autoSpaceDE/>
        <w:autoSpaceDN/>
        <w:bidi w:val="0"/>
        <w:snapToGrid/>
        <w:spacing w:line="240" w:lineRule="auto"/>
        <w:ind w:firstLine="695" w:firstLineChars="342"/>
        <w:rPr>
          <w:color w:val="auto"/>
        </w:rPr>
      </w:pPr>
      <w:r>
        <w:rPr>
          <w:rFonts w:hint="eastAsia"/>
          <w:color w:val="auto"/>
        </w:rPr>
        <w:t>（6）与本项目的监理人或代建人或招标代理机构同为一个法定代表人的；</w:t>
      </w:r>
    </w:p>
    <w:p>
      <w:pPr>
        <w:pageBreakBefore w:val="0"/>
        <w:widowControl w:val="0"/>
        <w:kinsoku/>
        <w:wordWrap/>
        <w:overflowPunct/>
        <w:topLinePunct w:val="0"/>
        <w:autoSpaceDE/>
        <w:autoSpaceDN/>
        <w:bidi w:val="0"/>
        <w:snapToGrid/>
        <w:spacing w:line="240" w:lineRule="auto"/>
        <w:ind w:firstLine="695" w:firstLineChars="342"/>
        <w:rPr>
          <w:color w:val="auto"/>
        </w:rPr>
      </w:pPr>
      <w:r>
        <w:rPr>
          <w:rFonts w:hint="eastAsia"/>
          <w:color w:val="auto"/>
        </w:rPr>
        <w:t>（7）与本项目的监理人或代建人或招标代理机构相互控股或参股的；</w:t>
      </w:r>
    </w:p>
    <w:p>
      <w:pPr>
        <w:pageBreakBefore w:val="0"/>
        <w:widowControl w:val="0"/>
        <w:kinsoku/>
        <w:wordWrap/>
        <w:overflowPunct/>
        <w:topLinePunct w:val="0"/>
        <w:autoSpaceDE/>
        <w:autoSpaceDN/>
        <w:bidi w:val="0"/>
        <w:snapToGrid/>
        <w:spacing w:line="240" w:lineRule="auto"/>
        <w:ind w:firstLine="695" w:firstLineChars="342"/>
        <w:rPr>
          <w:color w:val="auto"/>
        </w:rPr>
      </w:pPr>
      <w:r>
        <w:rPr>
          <w:rFonts w:hint="eastAsia"/>
          <w:color w:val="auto"/>
        </w:rPr>
        <w:t>（8）与本项目的监理人或代建人或招标代理机构相互任职或工作的；</w:t>
      </w:r>
    </w:p>
    <w:p>
      <w:pPr>
        <w:pageBreakBefore w:val="0"/>
        <w:widowControl w:val="0"/>
        <w:kinsoku/>
        <w:wordWrap/>
        <w:overflowPunct/>
        <w:topLinePunct w:val="0"/>
        <w:autoSpaceDE/>
        <w:autoSpaceDN/>
        <w:bidi w:val="0"/>
        <w:snapToGrid/>
        <w:spacing w:line="240" w:lineRule="auto"/>
        <w:ind w:firstLine="695" w:firstLineChars="342"/>
        <w:rPr>
          <w:color w:val="auto"/>
        </w:rPr>
      </w:pPr>
      <w:r>
        <w:rPr>
          <w:rFonts w:hint="eastAsia"/>
          <w:color w:val="auto"/>
        </w:rPr>
        <w:t xml:space="preserve">（9）被责令停业的； </w:t>
      </w:r>
    </w:p>
    <w:p>
      <w:pPr>
        <w:pageBreakBefore w:val="0"/>
        <w:widowControl w:val="0"/>
        <w:kinsoku/>
        <w:wordWrap/>
        <w:overflowPunct/>
        <w:topLinePunct w:val="0"/>
        <w:autoSpaceDE/>
        <w:autoSpaceDN/>
        <w:bidi w:val="0"/>
        <w:snapToGrid/>
        <w:spacing w:line="240" w:lineRule="auto"/>
        <w:ind w:firstLine="695" w:firstLineChars="342"/>
        <w:rPr>
          <w:color w:val="auto"/>
        </w:rPr>
      </w:pPr>
      <w:r>
        <w:rPr>
          <w:rFonts w:hint="eastAsia"/>
          <w:color w:val="auto"/>
        </w:rPr>
        <w:t xml:space="preserve">（10）被暂停或取消投标资格的； </w:t>
      </w:r>
    </w:p>
    <w:p>
      <w:pPr>
        <w:pageBreakBefore w:val="0"/>
        <w:widowControl w:val="0"/>
        <w:kinsoku/>
        <w:wordWrap/>
        <w:overflowPunct/>
        <w:topLinePunct w:val="0"/>
        <w:autoSpaceDE/>
        <w:autoSpaceDN/>
        <w:bidi w:val="0"/>
        <w:snapToGrid/>
        <w:spacing w:line="240" w:lineRule="auto"/>
        <w:ind w:firstLine="695" w:firstLineChars="342"/>
        <w:rPr>
          <w:color w:val="auto"/>
        </w:rPr>
      </w:pPr>
      <w:r>
        <w:rPr>
          <w:rFonts w:hint="eastAsia"/>
          <w:color w:val="auto"/>
        </w:rPr>
        <w:t>（11）财产被接管或冻结的；</w:t>
      </w:r>
    </w:p>
    <w:p>
      <w:pPr>
        <w:pageBreakBefore w:val="0"/>
        <w:widowControl w:val="0"/>
        <w:kinsoku/>
        <w:wordWrap/>
        <w:overflowPunct/>
        <w:topLinePunct w:val="0"/>
        <w:autoSpaceDE/>
        <w:autoSpaceDN/>
        <w:bidi w:val="0"/>
        <w:snapToGrid/>
        <w:spacing w:line="240" w:lineRule="auto"/>
        <w:ind w:firstLine="695" w:firstLineChars="342"/>
        <w:rPr>
          <w:color w:val="auto"/>
        </w:rPr>
      </w:pPr>
      <w:r>
        <w:rPr>
          <w:rFonts w:hint="eastAsia"/>
          <w:color w:val="auto"/>
        </w:rPr>
        <w:t>（12）在最近三年内有骗取中标或严重违约或重大工程质量问题的。</w:t>
      </w:r>
    </w:p>
    <w:p>
      <w:pPr>
        <w:pStyle w:val="69"/>
        <w:pageBreakBefore w:val="0"/>
        <w:widowControl w:val="0"/>
        <w:kinsoku/>
        <w:wordWrap/>
        <w:overflowPunct/>
        <w:topLinePunct w:val="0"/>
        <w:autoSpaceDE/>
        <w:autoSpaceDN/>
        <w:bidi w:val="0"/>
        <w:snapToGrid/>
        <w:spacing w:before="0" w:line="240" w:lineRule="auto"/>
        <w:rPr>
          <w:color w:val="auto"/>
        </w:rPr>
      </w:pPr>
      <w:bookmarkStart w:id="32" w:name="_Toc152042311"/>
      <w:bookmarkStart w:id="33" w:name="_Toc144974503"/>
      <w:bookmarkStart w:id="34" w:name="_Toc152045535"/>
      <w:bookmarkStart w:id="35" w:name="_Toc8423534"/>
      <w:r>
        <w:rPr>
          <w:rFonts w:hint="eastAsia"/>
          <w:color w:val="auto"/>
        </w:rPr>
        <w:t>1.5 费用承担</w:t>
      </w:r>
      <w:bookmarkEnd w:id="32"/>
      <w:bookmarkEnd w:id="33"/>
      <w:bookmarkEnd w:id="34"/>
      <w:bookmarkEnd w:id="35"/>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投标人准备和参加投标活动发生的费用自理。</w:t>
      </w:r>
    </w:p>
    <w:p>
      <w:pPr>
        <w:pStyle w:val="69"/>
        <w:pageBreakBefore w:val="0"/>
        <w:widowControl w:val="0"/>
        <w:kinsoku/>
        <w:wordWrap/>
        <w:overflowPunct/>
        <w:topLinePunct w:val="0"/>
        <w:autoSpaceDE/>
        <w:autoSpaceDN/>
        <w:bidi w:val="0"/>
        <w:snapToGrid/>
        <w:spacing w:before="0" w:line="240" w:lineRule="auto"/>
        <w:rPr>
          <w:color w:val="auto"/>
        </w:rPr>
      </w:pPr>
      <w:bookmarkStart w:id="36" w:name="_Toc152042312"/>
      <w:bookmarkStart w:id="37" w:name="_Toc8423535"/>
      <w:bookmarkStart w:id="38" w:name="_Toc152045536"/>
      <w:bookmarkStart w:id="39" w:name="_Toc144974504"/>
      <w:r>
        <w:rPr>
          <w:rFonts w:hint="eastAsia"/>
          <w:color w:val="auto"/>
        </w:rPr>
        <w:t>1.6 保密</w:t>
      </w:r>
      <w:bookmarkEnd w:id="36"/>
      <w:bookmarkEnd w:id="37"/>
      <w:bookmarkEnd w:id="38"/>
      <w:bookmarkEnd w:id="39"/>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 xml:space="preserve">参与招标投标活动的各方应对招标文件和投标文件中的商业和技术等秘密保密，违者应对由此造成的后果承担法律责任。 </w:t>
      </w:r>
    </w:p>
    <w:p>
      <w:pPr>
        <w:pStyle w:val="69"/>
        <w:pageBreakBefore w:val="0"/>
        <w:widowControl w:val="0"/>
        <w:kinsoku/>
        <w:wordWrap/>
        <w:overflowPunct/>
        <w:topLinePunct w:val="0"/>
        <w:autoSpaceDE/>
        <w:autoSpaceDN/>
        <w:bidi w:val="0"/>
        <w:snapToGrid/>
        <w:spacing w:before="0" w:line="240" w:lineRule="auto"/>
        <w:rPr>
          <w:color w:val="auto"/>
        </w:rPr>
      </w:pPr>
      <w:bookmarkStart w:id="40" w:name="_Toc144974505"/>
      <w:bookmarkStart w:id="41" w:name="_Toc8423536"/>
      <w:bookmarkStart w:id="42" w:name="_Toc152042313"/>
      <w:bookmarkStart w:id="43" w:name="_Toc152045537"/>
      <w:r>
        <w:rPr>
          <w:rFonts w:hint="eastAsia"/>
          <w:color w:val="auto"/>
        </w:rPr>
        <w:t>1.7 语言</w:t>
      </w:r>
      <w:bookmarkEnd w:id="40"/>
      <w:r>
        <w:rPr>
          <w:rFonts w:hint="eastAsia"/>
          <w:color w:val="auto"/>
        </w:rPr>
        <w:t>文字</w:t>
      </w:r>
      <w:bookmarkEnd w:id="41"/>
      <w:bookmarkEnd w:id="42"/>
      <w:bookmarkEnd w:id="43"/>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除专用术语外，与招标投标有关的语言均使用中文。必要时专用术语应附有中文注释。</w:t>
      </w:r>
    </w:p>
    <w:p>
      <w:pPr>
        <w:pStyle w:val="69"/>
        <w:pageBreakBefore w:val="0"/>
        <w:widowControl w:val="0"/>
        <w:kinsoku/>
        <w:wordWrap/>
        <w:overflowPunct/>
        <w:topLinePunct w:val="0"/>
        <w:autoSpaceDE/>
        <w:autoSpaceDN/>
        <w:bidi w:val="0"/>
        <w:snapToGrid/>
        <w:spacing w:before="0" w:line="240" w:lineRule="auto"/>
        <w:rPr>
          <w:color w:val="auto"/>
        </w:rPr>
      </w:pPr>
      <w:bookmarkStart w:id="44" w:name="_Toc152045538"/>
      <w:bookmarkStart w:id="45" w:name="_Toc8423537"/>
      <w:bookmarkStart w:id="46" w:name="_Toc144974506"/>
      <w:bookmarkStart w:id="47" w:name="_Toc152042314"/>
      <w:r>
        <w:rPr>
          <w:rFonts w:hint="eastAsia"/>
          <w:color w:val="auto"/>
        </w:rPr>
        <w:t>1.8 计量单位</w:t>
      </w:r>
      <w:bookmarkEnd w:id="44"/>
      <w:bookmarkEnd w:id="45"/>
      <w:bookmarkEnd w:id="46"/>
      <w:bookmarkEnd w:id="47"/>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所有计量均采用中华人民共和国法定计量单位。</w:t>
      </w:r>
    </w:p>
    <w:p>
      <w:pPr>
        <w:pStyle w:val="69"/>
        <w:pageBreakBefore w:val="0"/>
        <w:widowControl w:val="0"/>
        <w:kinsoku/>
        <w:wordWrap/>
        <w:overflowPunct/>
        <w:topLinePunct w:val="0"/>
        <w:autoSpaceDE/>
        <w:autoSpaceDN/>
        <w:bidi w:val="0"/>
        <w:snapToGrid/>
        <w:spacing w:before="0" w:line="240" w:lineRule="auto"/>
        <w:rPr>
          <w:color w:val="auto"/>
        </w:rPr>
      </w:pPr>
      <w:bookmarkStart w:id="48" w:name="_Toc152042315"/>
      <w:bookmarkStart w:id="49" w:name="_Toc8423538"/>
      <w:bookmarkStart w:id="50" w:name="_Toc144974507"/>
      <w:bookmarkStart w:id="51" w:name="_Toc152045539"/>
      <w:r>
        <w:rPr>
          <w:rFonts w:hint="eastAsia"/>
          <w:color w:val="auto"/>
        </w:rPr>
        <w:t>1.9 踏勘现场</w:t>
      </w:r>
      <w:bookmarkEnd w:id="48"/>
      <w:bookmarkEnd w:id="49"/>
      <w:bookmarkEnd w:id="50"/>
      <w:bookmarkEnd w:id="51"/>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1.9.2 投标人踏勘现场发生的费用自理。</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1.9.3 除招标人的原因外，投标人自行负责在踏勘现场中所发生的人员伤亡和财产损失。</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1.9.4 招标人在踏勘现场中介绍的工程场地和相关的周边环境情况，供投标人在编制投标文件时参考，招标人不对投标人据此作出的判断和决策负责。</w:t>
      </w:r>
    </w:p>
    <w:p>
      <w:pPr>
        <w:pStyle w:val="69"/>
        <w:pageBreakBefore w:val="0"/>
        <w:widowControl w:val="0"/>
        <w:kinsoku/>
        <w:wordWrap/>
        <w:overflowPunct/>
        <w:topLinePunct w:val="0"/>
        <w:autoSpaceDE/>
        <w:autoSpaceDN/>
        <w:bidi w:val="0"/>
        <w:snapToGrid/>
        <w:spacing w:before="0" w:line="240" w:lineRule="auto"/>
        <w:rPr>
          <w:color w:val="auto"/>
        </w:rPr>
      </w:pPr>
      <w:bookmarkStart w:id="52" w:name="_Toc144974508"/>
      <w:bookmarkStart w:id="53" w:name="_Toc152045540"/>
      <w:bookmarkStart w:id="54" w:name="_Toc152042316"/>
      <w:bookmarkStart w:id="55" w:name="_Toc8423539"/>
      <w:r>
        <w:rPr>
          <w:rFonts w:hint="eastAsia"/>
          <w:color w:val="auto"/>
        </w:rPr>
        <w:t>1.10 投标预备会</w:t>
      </w:r>
      <w:bookmarkEnd w:id="52"/>
      <w:bookmarkEnd w:id="53"/>
      <w:bookmarkEnd w:id="54"/>
      <w:bookmarkEnd w:id="55"/>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1.10.3 投标预备会后，招标人在投标人须知前附表规定的时间内，将对投标人所提问题的澄清，以书面方式通知所有购买招标文件的投标人。该澄清内容为招标文件的组成部分。</w:t>
      </w:r>
    </w:p>
    <w:p>
      <w:pPr>
        <w:pStyle w:val="69"/>
        <w:pageBreakBefore w:val="0"/>
        <w:widowControl w:val="0"/>
        <w:kinsoku/>
        <w:wordWrap/>
        <w:overflowPunct/>
        <w:topLinePunct w:val="0"/>
        <w:autoSpaceDE/>
        <w:autoSpaceDN/>
        <w:bidi w:val="0"/>
        <w:snapToGrid/>
        <w:spacing w:before="0" w:line="240" w:lineRule="auto"/>
        <w:rPr>
          <w:color w:val="auto"/>
        </w:rPr>
      </w:pPr>
      <w:bookmarkStart w:id="56" w:name="_Toc152042317"/>
      <w:bookmarkStart w:id="57" w:name="_Toc152045541"/>
      <w:bookmarkStart w:id="58" w:name="_Toc144974509"/>
      <w:bookmarkStart w:id="59" w:name="_Toc8423540"/>
      <w:r>
        <w:rPr>
          <w:rFonts w:hint="eastAsia"/>
          <w:color w:val="auto"/>
        </w:rPr>
        <w:t>1.11 分包</w:t>
      </w:r>
      <w:bookmarkEnd w:id="56"/>
      <w:bookmarkEnd w:id="57"/>
      <w:bookmarkEnd w:id="58"/>
      <w:bookmarkEnd w:id="59"/>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投标人拟在中标后将中标项目的部分非主体、非关键性工作进行分包的，应符合投标人须知前附表规定的分包内容、分包金额和接受分包的第三人资质要求等限制性条件。</w:t>
      </w:r>
    </w:p>
    <w:p>
      <w:pPr>
        <w:pStyle w:val="69"/>
        <w:pageBreakBefore w:val="0"/>
        <w:widowControl w:val="0"/>
        <w:kinsoku/>
        <w:wordWrap/>
        <w:overflowPunct/>
        <w:topLinePunct w:val="0"/>
        <w:autoSpaceDE/>
        <w:autoSpaceDN/>
        <w:bidi w:val="0"/>
        <w:snapToGrid/>
        <w:spacing w:before="0" w:line="240" w:lineRule="auto"/>
        <w:rPr>
          <w:color w:val="auto"/>
        </w:rPr>
      </w:pPr>
      <w:bookmarkStart w:id="60" w:name="_Toc8423541"/>
      <w:r>
        <w:rPr>
          <w:rFonts w:hint="eastAsia"/>
          <w:color w:val="auto"/>
        </w:rPr>
        <w:t>1.12 偏离</w:t>
      </w:r>
      <w:bookmarkEnd w:id="60"/>
    </w:p>
    <w:p>
      <w:pPr>
        <w:pageBreakBefore w:val="0"/>
        <w:widowControl w:val="0"/>
        <w:kinsoku/>
        <w:wordWrap/>
        <w:overflowPunct/>
        <w:topLinePunct w:val="0"/>
        <w:autoSpaceDE/>
        <w:autoSpaceDN/>
        <w:bidi w:val="0"/>
        <w:snapToGrid/>
        <w:spacing w:line="240" w:lineRule="auto"/>
        <w:ind w:firstLine="348" w:firstLineChars="171"/>
        <w:rPr>
          <w:rFonts w:hint="eastAsia" w:eastAsia="宋体"/>
          <w:color w:val="auto"/>
          <w:lang w:eastAsia="zh-CN"/>
        </w:rPr>
      </w:pPr>
      <w:r>
        <w:rPr>
          <w:rFonts w:hint="eastAsia"/>
          <w:color w:val="auto"/>
        </w:rPr>
        <w:t>不允许偏离招标文件的实质性要求和条件</w:t>
      </w:r>
      <w:r>
        <w:rPr>
          <w:rFonts w:hint="eastAsia"/>
          <w:color w:val="auto"/>
          <w:lang w:eastAsia="zh-CN"/>
        </w:rPr>
        <w:t>。</w:t>
      </w:r>
    </w:p>
    <w:p>
      <w:pPr>
        <w:pStyle w:val="66"/>
        <w:pageBreakBefore w:val="0"/>
        <w:widowControl w:val="0"/>
        <w:kinsoku/>
        <w:wordWrap/>
        <w:overflowPunct/>
        <w:topLinePunct w:val="0"/>
        <w:autoSpaceDE/>
        <w:autoSpaceDN/>
        <w:bidi w:val="0"/>
        <w:snapToGrid/>
        <w:spacing w:before="0" w:line="240" w:lineRule="auto"/>
        <w:rPr>
          <w:color w:val="auto"/>
        </w:rPr>
      </w:pPr>
      <w:bookmarkStart w:id="61" w:name="_Toc152045542"/>
      <w:bookmarkStart w:id="62" w:name="_Toc8423543"/>
      <w:bookmarkStart w:id="63" w:name="_Toc144974510"/>
      <w:bookmarkStart w:id="64" w:name="_Toc152042318"/>
      <w:r>
        <w:rPr>
          <w:rFonts w:hint="eastAsia"/>
          <w:color w:val="auto"/>
        </w:rPr>
        <w:t>2、招标文件</w:t>
      </w:r>
      <w:bookmarkEnd w:id="61"/>
      <w:bookmarkEnd w:id="62"/>
      <w:bookmarkEnd w:id="63"/>
      <w:bookmarkEnd w:id="64"/>
    </w:p>
    <w:p>
      <w:pPr>
        <w:pStyle w:val="69"/>
        <w:pageBreakBefore w:val="0"/>
        <w:widowControl w:val="0"/>
        <w:kinsoku/>
        <w:wordWrap/>
        <w:overflowPunct/>
        <w:topLinePunct w:val="0"/>
        <w:autoSpaceDE/>
        <w:autoSpaceDN/>
        <w:bidi w:val="0"/>
        <w:snapToGrid/>
        <w:spacing w:before="0" w:line="240" w:lineRule="auto"/>
        <w:rPr>
          <w:color w:val="auto"/>
        </w:rPr>
      </w:pPr>
      <w:bookmarkStart w:id="65" w:name="_Toc152045543"/>
      <w:bookmarkStart w:id="66" w:name="_Toc144974511"/>
      <w:bookmarkStart w:id="67" w:name="_Toc152042319"/>
      <w:bookmarkStart w:id="68" w:name="_Toc8423544"/>
      <w:r>
        <w:rPr>
          <w:rFonts w:hint="eastAsia"/>
          <w:color w:val="auto"/>
        </w:rPr>
        <w:t>2.1 招标文件的组成</w:t>
      </w:r>
      <w:bookmarkEnd w:id="65"/>
      <w:bookmarkEnd w:id="66"/>
      <w:bookmarkEnd w:id="67"/>
      <w:bookmarkEnd w:id="68"/>
    </w:p>
    <w:p>
      <w:pPr>
        <w:pageBreakBefore w:val="0"/>
        <w:widowControl w:val="0"/>
        <w:kinsoku/>
        <w:wordWrap/>
        <w:overflowPunct/>
        <w:topLinePunct w:val="0"/>
        <w:autoSpaceDE/>
        <w:autoSpaceDN/>
        <w:bidi w:val="0"/>
        <w:snapToGrid/>
        <w:spacing w:line="240" w:lineRule="auto"/>
        <w:rPr>
          <w:color w:val="auto"/>
        </w:rPr>
      </w:pPr>
      <w:r>
        <w:rPr>
          <w:rFonts w:hint="eastAsia"/>
          <w:color w:val="auto"/>
        </w:rPr>
        <w:t>　　本招标文件包括：</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（1）招标公告；</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（2）投标人须知；</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（3）评标办法；</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（4）合同条款及格式；</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 xml:space="preserve">（5）工程量清单； </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 xml:space="preserve">（6）图纸； </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 xml:space="preserve">（7）技术标准和要求； </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（8）投标文件格式；</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（9）其他材料。</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根据本章第1.10款、第2.2款和第2.3款对招标文件所作的澄清、修改，构成招标文件的组成部分。</w:t>
      </w:r>
    </w:p>
    <w:p>
      <w:pPr>
        <w:pStyle w:val="69"/>
        <w:pageBreakBefore w:val="0"/>
        <w:widowControl w:val="0"/>
        <w:kinsoku/>
        <w:wordWrap/>
        <w:overflowPunct/>
        <w:topLinePunct w:val="0"/>
        <w:autoSpaceDE/>
        <w:autoSpaceDN/>
        <w:bidi w:val="0"/>
        <w:snapToGrid/>
        <w:spacing w:before="0" w:line="240" w:lineRule="auto"/>
        <w:rPr>
          <w:color w:val="auto"/>
        </w:rPr>
      </w:pPr>
      <w:bookmarkStart w:id="69" w:name="_Toc8423545"/>
      <w:bookmarkStart w:id="70" w:name="_Toc152045544"/>
      <w:bookmarkStart w:id="71" w:name="_Toc152042320"/>
      <w:bookmarkStart w:id="72" w:name="_Toc144974512"/>
      <w:r>
        <w:rPr>
          <w:rFonts w:hint="eastAsia"/>
          <w:color w:val="auto"/>
        </w:rPr>
        <w:t>2.2 招标文件的澄清</w:t>
      </w:r>
      <w:bookmarkEnd w:id="69"/>
      <w:bookmarkEnd w:id="70"/>
      <w:bookmarkEnd w:id="71"/>
      <w:bookmarkEnd w:id="72"/>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2.2.1投标人应仔细阅读和检查招标文件的全部内容。</w:t>
      </w:r>
      <w:r>
        <w:rPr>
          <w:rFonts w:hint="eastAsia" w:ascii="宋体" w:hAnsi="宋体"/>
          <w:color w:val="auto"/>
          <w:szCs w:val="21"/>
        </w:rPr>
        <w:t>如发现缺页或附件不全，应及时向招标人提出，以便补齐。</w:t>
      </w:r>
      <w:r>
        <w:rPr>
          <w:rFonts w:hint="eastAsia"/>
          <w:color w:val="auto"/>
        </w:rPr>
        <w:t>如有疑问，应在投标人须知前附表规定的时间前以书面形式，要求招标人对招标文件予以澄清。</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2.2.2 招标文件的澄清将在投标人须知前附表规定的投标截止时间15天前发布，如果澄清发出的时间距投标截止时间不足15天，且澄清的内容影响投标文件编制的，相应延长投标截止时间。</w:t>
      </w:r>
    </w:p>
    <w:p>
      <w:pPr>
        <w:pageBreakBefore w:val="0"/>
        <w:widowControl w:val="0"/>
        <w:kinsoku/>
        <w:wordWrap/>
        <w:overflowPunct/>
        <w:topLinePunct w:val="0"/>
        <w:autoSpaceDE/>
        <w:autoSpaceDN/>
        <w:bidi w:val="0"/>
        <w:snapToGrid/>
        <w:spacing w:line="240" w:lineRule="auto"/>
        <w:ind w:firstLine="406" w:firstLineChars="200"/>
        <w:rPr>
          <w:b/>
          <w:color w:val="auto"/>
        </w:rPr>
      </w:pPr>
      <w:r>
        <w:rPr>
          <w:rFonts w:hint="eastAsia"/>
          <w:b/>
          <w:color w:val="auto"/>
        </w:rPr>
        <w:t>招标文件的澄清将在与招标公告发布媒介的同一媒介发布“变更公告”，如需修改招标文件，则同时在洛阳市电子招投标交易平台发布“答疑文件”（答疑文件指修改后最新的招标文件）。对于各项目中已经成功下载招标文件的投标人，将通过第三方短信群发方式提醒投标人进行查询。各投标人须重新下载最新的“答疑文件”，并以此编制投标文件。如不以最新发布的“答疑文件”编制投标文件，造成投标无效的后果由投标人自己承担。</w:t>
      </w:r>
    </w:p>
    <w:p>
      <w:pPr>
        <w:pageBreakBefore w:val="0"/>
        <w:widowControl w:val="0"/>
        <w:kinsoku/>
        <w:wordWrap/>
        <w:overflowPunct/>
        <w:topLinePunct w:val="0"/>
        <w:autoSpaceDE/>
        <w:autoSpaceDN/>
        <w:bidi w:val="0"/>
        <w:snapToGrid/>
        <w:spacing w:line="240" w:lineRule="auto"/>
        <w:ind w:firstLine="406" w:firstLineChars="200"/>
        <w:rPr>
          <w:b/>
          <w:color w:val="auto"/>
        </w:rPr>
      </w:pPr>
      <w:r>
        <w:rPr>
          <w:rFonts w:hint="eastAsia"/>
          <w:b/>
          <w:color w:val="auto"/>
        </w:rPr>
        <w:t>2</w:t>
      </w:r>
      <w:r>
        <w:rPr>
          <w:b/>
          <w:color w:val="auto"/>
        </w:rPr>
        <w:t>.2.3</w:t>
      </w:r>
      <w:r>
        <w:rPr>
          <w:rFonts w:hint="eastAsia"/>
          <w:b/>
          <w:color w:val="auto"/>
        </w:rPr>
        <w:t>投标人确认收到招标文件澄清的时间见投标人须知前附表。因洛阳市电子招投标交易平台在开标前具有保密性，投标人在投标文件递交截止时间前须自行查看项目进展、变更通知、澄清及回复，因投标人未及时查看而造成的后果自负。</w:t>
      </w:r>
    </w:p>
    <w:p>
      <w:pPr>
        <w:pStyle w:val="69"/>
        <w:pageBreakBefore w:val="0"/>
        <w:widowControl w:val="0"/>
        <w:kinsoku/>
        <w:wordWrap/>
        <w:overflowPunct/>
        <w:topLinePunct w:val="0"/>
        <w:autoSpaceDE/>
        <w:autoSpaceDN/>
        <w:bidi w:val="0"/>
        <w:snapToGrid/>
        <w:spacing w:before="0" w:line="240" w:lineRule="auto"/>
        <w:rPr>
          <w:color w:val="auto"/>
        </w:rPr>
      </w:pPr>
      <w:bookmarkStart w:id="73" w:name="_Toc152045545"/>
      <w:bookmarkStart w:id="74" w:name="_Toc8423546"/>
      <w:bookmarkStart w:id="75" w:name="_Toc152042321"/>
      <w:bookmarkStart w:id="76" w:name="_Toc144974513"/>
      <w:r>
        <w:rPr>
          <w:rFonts w:hint="eastAsia"/>
          <w:color w:val="auto"/>
        </w:rPr>
        <w:t>2.3 招标文件的修改</w:t>
      </w:r>
      <w:bookmarkEnd w:id="73"/>
      <w:bookmarkEnd w:id="74"/>
      <w:bookmarkEnd w:id="75"/>
      <w:bookmarkEnd w:id="76"/>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 xml:space="preserve">2.3.1 招标文件的修改将在投标人须知前附表规定的投标截止时间15天前发布，如果修改发出的时间距投标截止时间不足15天，且修改的内容影响投标文件编制的，相应延长投标截止时间。 </w:t>
      </w:r>
    </w:p>
    <w:p>
      <w:pPr>
        <w:pageBreakBefore w:val="0"/>
        <w:widowControl w:val="0"/>
        <w:kinsoku/>
        <w:wordWrap/>
        <w:overflowPunct/>
        <w:topLinePunct w:val="0"/>
        <w:autoSpaceDE/>
        <w:autoSpaceDN/>
        <w:bidi w:val="0"/>
        <w:snapToGrid/>
        <w:spacing w:line="240" w:lineRule="auto"/>
        <w:ind w:firstLine="406" w:firstLineChars="200"/>
        <w:rPr>
          <w:b/>
          <w:color w:val="auto"/>
        </w:rPr>
      </w:pPr>
      <w:r>
        <w:rPr>
          <w:rFonts w:hint="eastAsia"/>
          <w:b/>
          <w:color w:val="auto"/>
        </w:rPr>
        <w:t>招标文件的修改将在与招标公告发布媒介的同一媒介发布“变更公告”，同时在洛阳市电子招投标交易平台发布“答疑文件”（答疑文件指修改后最新的招标文件）。对于各项目中已经成功报名并下载招标文件的投标人，将通过第三方短信群发方式提醒投标人进行查询。各投标人须重新下载最新的“答疑文件”，并以此编制投标文件。如不以最新发布的“答疑文件”编制投标文件，造成投标无效的后果由投标人自己承担。</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b/>
          <w:color w:val="auto"/>
        </w:rPr>
        <w:t>2</w:t>
      </w:r>
      <w:r>
        <w:rPr>
          <w:b/>
          <w:color w:val="auto"/>
        </w:rPr>
        <w:t>.3.2</w:t>
      </w:r>
      <w:r>
        <w:rPr>
          <w:rFonts w:hint="eastAsia"/>
          <w:b/>
          <w:color w:val="auto"/>
        </w:rPr>
        <w:t>投标人确认收到招标文件修改的时间见投标人须知前附表。因洛阳市电子招投标交易平台在开标前具有保密性，投标人在投标文件递交截止时间前须自行查看项目进展、变更通知、澄清及回复，因投标人未及时查看而造成的后果自负。</w:t>
      </w:r>
    </w:p>
    <w:p>
      <w:pPr>
        <w:pStyle w:val="66"/>
        <w:pageBreakBefore w:val="0"/>
        <w:widowControl w:val="0"/>
        <w:kinsoku/>
        <w:wordWrap/>
        <w:overflowPunct/>
        <w:topLinePunct w:val="0"/>
        <w:autoSpaceDE/>
        <w:autoSpaceDN/>
        <w:bidi w:val="0"/>
        <w:snapToGrid/>
        <w:spacing w:before="0" w:line="240" w:lineRule="auto"/>
        <w:rPr>
          <w:color w:val="auto"/>
        </w:rPr>
      </w:pPr>
      <w:bookmarkStart w:id="77" w:name="_Toc152045546"/>
      <w:bookmarkStart w:id="78" w:name="_Toc152042322"/>
      <w:bookmarkStart w:id="79" w:name="_Toc144974514"/>
      <w:bookmarkStart w:id="80" w:name="_Toc8423547"/>
      <w:r>
        <w:rPr>
          <w:rFonts w:hint="eastAsia"/>
          <w:color w:val="auto"/>
        </w:rPr>
        <w:t>3、投标文件</w:t>
      </w:r>
      <w:bookmarkEnd w:id="77"/>
      <w:bookmarkEnd w:id="78"/>
      <w:bookmarkEnd w:id="79"/>
      <w:bookmarkEnd w:id="80"/>
    </w:p>
    <w:p>
      <w:pPr>
        <w:pStyle w:val="69"/>
        <w:pageBreakBefore w:val="0"/>
        <w:widowControl w:val="0"/>
        <w:kinsoku/>
        <w:wordWrap/>
        <w:overflowPunct/>
        <w:topLinePunct w:val="0"/>
        <w:autoSpaceDE/>
        <w:autoSpaceDN/>
        <w:bidi w:val="0"/>
        <w:snapToGrid/>
        <w:spacing w:before="0" w:line="240" w:lineRule="auto"/>
        <w:rPr>
          <w:color w:val="auto"/>
        </w:rPr>
      </w:pPr>
      <w:bookmarkStart w:id="81" w:name="_Toc144974515"/>
      <w:bookmarkStart w:id="82" w:name="_Toc8423548"/>
      <w:bookmarkStart w:id="83" w:name="_Toc152042323"/>
      <w:bookmarkStart w:id="84" w:name="_Toc152045547"/>
      <w:r>
        <w:rPr>
          <w:rFonts w:hint="eastAsia"/>
          <w:color w:val="auto"/>
        </w:rPr>
        <w:t>3.1 投标文件的组成</w:t>
      </w:r>
      <w:bookmarkEnd w:id="81"/>
      <w:bookmarkEnd w:id="82"/>
      <w:bookmarkEnd w:id="83"/>
      <w:bookmarkEnd w:id="84"/>
    </w:p>
    <w:p>
      <w:pPr>
        <w:pageBreakBefore w:val="0"/>
        <w:widowControl w:val="0"/>
        <w:kinsoku/>
        <w:wordWrap/>
        <w:overflowPunct/>
        <w:topLinePunct w:val="0"/>
        <w:autoSpaceDE/>
        <w:autoSpaceDN/>
        <w:bidi w:val="0"/>
        <w:snapToGrid/>
        <w:spacing w:line="240" w:lineRule="auto"/>
        <w:rPr>
          <w:color w:val="auto"/>
        </w:rPr>
      </w:pPr>
      <w:r>
        <w:rPr>
          <w:rFonts w:hint="eastAsia"/>
          <w:color w:val="auto"/>
        </w:rPr>
        <w:t>　　3.1.1投标文件应包括下列内容：</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（1）投标函及投标函附录；</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（2）法定代表人身份证明或授权委托书；</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（3）投标保证金；</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（4）已标价工程量清单；</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 xml:space="preserve">（5）施工组织设计； </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（6）项目管理机构；</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（7）资格审查资料；</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（8）投标人须知前附表规定的其他材料。</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3.1.2</w:t>
      </w:r>
      <w:r>
        <w:rPr>
          <w:rFonts w:hint="eastAsia"/>
          <w:color w:val="auto"/>
          <w:lang w:val="en-US" w:eastAsia="zh-CN"/>
        </w:rPr>
        <w:t xml:space="preserve"> </w:t>
      </w:r>
      <w:r>
        <w:rPr>
          <w:rFonts w:hint="eastAsia"/>
          <w:color w:val="auto"/>
        </w:rPr>
        <w:t xml:space="preserve">投标人须知前附表规定的其他材料。不接受联合体投标的，或投标人没有组成联合体的，投标文件不包括本章第3.1.1（3）目所指的联合体协议书。 </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3.1.3</w:t>
      </w:r>
      <w:r>
        <w:rPr>
          <w:rFonts w:hint="eastAsia"/>
          <w:color w:val="auto"/>
          <w:lang w:val="en-US" w:eastAsia="zh-CN"/>
        </w:rPr>
        <w:t xml:space="preserve"> </w:t>
      </w:r>
      <w:r>
        <w:rPr>
          <w:rFonts w:hint="eastAsia"/>
          <w:color w:val="auto"/>
        </w:rPr>
        <w:t>电子投标文件要求：见投标人须知前附表。</w:t>
      </w:r>
    </w:p>
    <w:p>
      <w:pPr>
        <w:pStyle w:val="69"/>
        <w:pageBreakBefore w:val="0"/>
        <w:widowControl w:val="0"/>
        <w:kinsoku/>
        <w:wordWrap/>
        <w:overflowPunct/>
        <w:topLinePunct w:val="0"/>
        <w:autoSpaceDE/>
        <w:autoSpaceDN/>
        <w:bidi w:val="0"/>
        <w:snapToGrid/>
        <w:spacing w:before="0" w:line="240" w:lineRule="auto"/>
        <w:rPr>
          <w:color w:val="auto"/>
        </w:rPr>
      </w:pPr>
      <w:bookmarkStart w:id="85" w:name="_Toc144974516"/>
      <w:bookmarkStart w:id="86" w:name="_Toc8423549"/>
      <w:bookmarkStart w:id="87" w:name="_Toc152042324"/>
      <w:bookmarkStart w:id="88" w:name="_Toc152045548"/>
      <w:r>
        <w:rPr>
          <w:rFonts w:hint="eastAsia"/>
          <w:color w:val="auto"/>
        </w:rPr>
        <w:t>3.2 投标报价</w:t>
      </w:r>
      <w:bookmarkEnd w:id="85"/>
      <w:bookmarkEnd w:id="86"/>
      <w:bookmarkEnd w:id="87"/>
      <w:bookmarkEnd w:id="88"/>
    </w:p>
    <w:p>
      <w:pPr>
        <w:pageBreakBefore w:val="0"/>
        <w:widowControl w:val="0"/>
        <w:kinsoku/>
        <w:wordWrap/>
        <w:overflowPunct/>
        <w:topLinePunct w:val="0"/>
        <w:autoSpaceDE/>
        <w:autoSpaceDN/>
        <w:bidi w:val="0"/>
        <w:snapToGrid/>
        <w:spacing w:line="240" w:lineRule="auto"/>
        <w:ind w:firstLine="348" w:firstLineChars="171"/>
        <w:rPr>
          <w:rFonts w:hint="eastAsia"/>
          <w:b/>
          <w:bCs/>
          <w:color w:val="auto"/>
          <w:highlight w:val="none"/>
          <w:lang w:val="en-US" w:eastAsia="zh-CN"/>
        </w:rPr>
      </w:pPr>
      <w:bookmarkStart w:id="89" w:name="_Toc8423550"/>
      <w:bookmarkStart w:id="90" w:name="_Toc144974517"/>
      <w:bookmarkStart w:id="91" w:name="_Toc152042325"/>
      <w:bookmarkStart w:id="92" w:name="_Toc152045549"/>
      <w:r>
        <w:rPr>
          <w:rFonts w:hint="eastAsia"/>
          <w:b/>
          <w:bCs/>
          <w:color w:val="auto"/>
          <w:highlight w:val="none"/>
        </w:rPr>
        <w:t>3.2.1</w:t>
      </w:r>
      <w:r>
        <w:rPr>
          <w:rFonts w:hint="eastAsia"/>
          <w:b/>
          <w:bCs/>
          <w:color w:val="auto"/>
          <w:highlight w:val="none"/>
          <w:lang w:val="en-US" w:eastAsia="zh-CN"/>
        </w:rPr>
        <w:t xml:space="preserve"> </w:t>
      </w:r>
      <w:r>
        <w:rPr>
          <w:rFonts w:hint="eastAsia"/>
          <w:b/>
          <w:bCs/>
          <w:color w:val="auto"/>
          <w:highlight w:val="none"/>
        </w:rPr>
        <w:t>工程量清单报价编制说明</w:t>
      </w:r>
      <w:r>
        <w:rPr>
          <w:rFonts w:hint="eastAsia"/>
          <w:b/>
          <w:bCs/>
          <w:color w:val="auto"/>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406" w:firstLineChars="200"/>
        <w:textAlignment w:val="auto"/>
        <w:rPr>
          <w:rFonts w:hint="eastAsia"/>
          <w:b/>
          <w:bCs/>
          <w:color w:val="auto"/>
          <w:highlight w:val="none"/>
          <w:lang w:val="en-US" w:eastAsia="zh-CN"/>
        </w:rPr>
      </w:pPr>
      <w:r>
        <w:rPr>
          <w:rFonts w:hint="eastAsia"/>
          <w:b/>
          <w:bCs/>
          <w:color w:val="auto"/>
          <w:highlight w:val="none"/>
          <w:lang w:val="en-US" w:eastAsia="zh-CN"/>
        </w:rPr>
        <w:t>（1）投标人对项目的各项报价和竣工结算的计价方式均采用工程量清单计价方式。工程量清单总报价（投标报价）以招标文件、答疑纪要、《建设工程工程量清单计价规范》[GB50500-2013]、《河南省房屋建筑与装饰工程预算定额》（HA 01-31-2016）及施工同期配套文件，招标人提供的施工图纸及相应标准规范、技术资料、施工现场情况、工程特点及合理的施工方法为依据，充分考虑市场价格，结合实际在合理范围内自主报价，但不得低于企业实际成本。</w:t>
      </w:r>
    </w:p>
    <w:p>
      <w:pPr>
        <w:keepNext w:val="0"/>
        <w:keepLines w:val="0"/>
        <w:pageBreakBefore w:val="0"/>
        <w:widowControl w:val="0"/>
        <w:kinsoku/>
        <w:wordWrap/>
        <w:overflowPunct/>
        <w:topLinePunct w:val="0"/>
        <w:autoSpaceDE/>
        <w:autoSpaceDN/>
        <w:bidi w:val="0"/>
        <w:adjustRightInd/>
        <w:snapToGrid/>
        <w:spacing w:line="240" w:lineRule="auto"/>
        <w:ind w:firstLine="406" w:firstLineChars="200"/>
        <w:textAlignment w:val="auto"/>
        <w:rPr>
          <w:rFonts w:hint="eastAsia"/>
          <w:b/>
          <w:bCs/>
          <w:color w:val="auto"/>
          <w:highlight w:val="none"/>
          <w:lang w:val="en-US" w:eastAsia="zh-CN"/>
        </w:rPr>
      </w:pPr>
      <w:r>
        <w:rPr>
          <w:rFonts w:hint="eastAsia"/>
          <w:b/>
          <w:bCs/>
          <w:color w:val="auto"/>
          <w:highlight w:val="none"/>
          <w:lang w:val="en-US" w:eastAsia="zh-CN"/>
        </w:rPr>
        <w:t>（2）工程量清单中所报的单价和合价，以及投标文件中的投标报价应是招标文件所确定的发包范围内的全部工程内容的价格体现，应包括招标文件及技术规范、设计图纸等规定，实施和完成招标工程所需的全部费用。投标人在投标时应按此要求，在投标文件中认真填写工程量清单所有工程项目的单价和合价。</w:t>
      </w:r>
    </w:p>
    <w:p>
      <w:pPr>
        <w:keepNext w:val="0"/>
        <w:keepLines w:val="0"/>
        <w:pageBreakBefore w:val="0"/>
        <w:widowControl w:val="0"/>
        <w:kinsoku/>
        <w:wordWrap/>
        <w:overflowPunct/>
        <w:topLinePunct w:val="0"/>
        <w:autoSpaceDE/>
        <w:autoSpaceDN/>
        <w:bidi w:val="0"/>
        <w:adjustRightInd/>
        <w:snapToGrid/>
        <w:spacing w:line="240" w:lineRule="auto"/>
        <w:ind w:firstLine="406" w:firstLineChars="200"/>
        <w:textAlignment w:val="auto"/>
        <w:rPr>
          <w:rFonts w:hint="eastAsia"/>
          <w:b/>
          <w:bCs/>
          <w:color w:val="auto"/>
          <w:highlight w:val="none"/>
          <w:lang w:val="en-US" w:eastAsia="zh-CN"/>
        </w:rPr>
      </w:pPr>
      <w:r>
        <w:rPr>
          <w:rFonts w:hint="eastAsia"/>
          <w:b/>
          <w:bCs/>
          <w:color w:val="auto"/>
          <w:highlight w:val="none"/>
          <w:lang w:val="en-US" w:eastAsia="zh-CN"/>
        </w:rPr>
        <w:t>（3）招标人提供的工程量清单是为投标人投标计量计价的依据，投标人不能够直接修改原清单的序号、项目编码、项目名称、项目特征描述、计量单位、工程量，不能直接删除或在中间插入需补充的清单项目。招标人提供的施工图纸等文件资料是投标人投标计量计价的依据。投标人应根据自己对招标文件和设计图纸的理解，凭借自己的实力对本工程进行准确计量和计价，投标人对招标人提供的清单有异议需进行修订的，应按招标项目要求中规定的答疑时间之前书面告知招标人，招标人以答疑纪要的形式予以回复；如招标人和投标人意见不一致时投标人不可以修改招标人提供的工程量清单内容，对于差异部分，由投标人在投标报价中自行考虑。</w:t>
      </w:r>
    </w:p>
    <w:p>
      <w:pPr>
        <w:keepNext w:val="0"/>
        <w:keepLines w:val="0"/>
        <w:pageBreakBefore w:val="0"/>
        <w:widowControl w:val="0"/>
        <w:kinsoku/>
        <w:wordWrap/>
        <w:overflowPunct/>
        <w:topLinePunct w:val="0"/>
        <w:autoSpaceDE/>
        <w:autoSpaceDN/>
        <w:bidi w:val="0"/>
        <w:adjustRightInd/>
        <w:snapToGrid/>
        <w:spacing w:line="240" w:lineRule="auto"/>
        <w:ind w:firstLine="406" w:firstLineChars="200"/>
        <w:textAlignment w:val="auto"/>
        <w:rPr>
          <w:rFonts w:hint="eastAsia"/>
          <w:b/>
          <w:bCs/>
          <w:color w:val="auto"/>
          <w:highlight w:val="none"/>
          <w:lang w:val="en-US" w:eastAsia="zh-CN"/>
        </w:rPr>
      </w:pPr>
      <w:r>
        <w:rPr>
          <w:rFonts w:hint="eastAsia"/>
          <w:b/>
          <w:bCs/>
          <w:color w:val="auto"/>
          <w:highlight w:val="none"/>
          <w:lang w:val="en-US" w:eastAsia="zh-CN"/>
        </w:rPr>
        <w:t>（4）工程变更、签证引起的价款调整。设计图纸、工程量清单、招标文件、招标答疑等书面文件己涵盖的工程范围内所有工作内容，一般不予签证。如果设计图纸有变更或遇不可抗力、市场调节导致重大材差调整等因素，需与招标人协商后，按有关规定执行，最终以区财政评审为准。</w:t>
      </w:r>
    </w:p>
    <w:p>
      <w:pPr>
        <w:pStyle w:val="2"/>
        <w:keepNext w:val="0"/>
        <w:keepLines w:val="0"/>
        <w:pageBreakBefore w:val="0"/>
        <w:widowControl w:val="0"/>
        <w:kinsoku/>
        <w:wordWrap/>
        <w:overflowPunct/>
        <w:topLinePunct w:val="0"/>
        <w:autoSpaceDE/>
        <w:autoSpaceDN/>
        <w:bidi w:val="0"/>
        <w:adjustRightInd/>
        <w:snapToGrid/>
        <w:spacing w:after="0" w:line="240" w:lineRule="auto"/>
        <w:ind w:firstLine="406" w:firstLineChars="200"/>
        <w:textAlignment w:val="auto"/>
        <w:rPr>
          <w:rFonts w:hint="eastAsia" w:ascii="Times New Roman" w:hAnsi="Times New Roman" w:eastAsia="宋体" w:cs="Times New Roman"/>
          <w:b/>
          <w:bCs/>
          <w:color w:val="auto"/>
          <w:kern w:val="2"/>
          <w:sz w:val="21"/>
          <w:szCs w:val="24"/>
          <w:highlight w:val="none"/>
          <w:lang w:val="en-US" w:eastAsia="zh-CN" w:bidi="ar-SA"/>
        </w:rPr>
      </w:pPr>
      <w:r>
        <w:rPr>
          <w:rFonts w:hint="eastAsia" w:ascii="Times New Roman" w:hAnsi="Times New Roman" w:eastAsia="宋体" w:cs="Times New Roman"/>
          <w:b/>
          <w:bCs/>
          <w:color w:val="auto"/>
          <w:kern w:val="2"/>
          <w:sz w:val="21"/>
          <w:szCs w:val="24"/>
          <w:highlight w:val="none"/>
          <w:lang w:val="en-US" w:eastAsia="zh-CN" w:bidi="ar-SA"/>
        </w:rPr>
        <w:t>（5）投标人所报变更签证优惠率不得低于自身投标报价优惠率，否则按废标处理。投标报价优惠率=（最高投标限价-投标标价）/最高投标限价*100%。</w:t>
      </w:r>
    </w:p>
    <w:p>
      <w:pPr>
        <w:keepNext w:val="0"/>
        <w:keepLines w:val="0"/>
        <w:pageBreakBefore w:val="0"/>
        <w:widowControl w:val="0"/>
        <w:kinsoku/>
        <w:wordWrap/>
        <w:overflowPunct/>
        <w:topLinePunct w:val="0"/>
        <w:autoSpaceDE/>
        <w:autoSpaceDN/>
        <w:bidi w:val="0"/>
        <w:adjustRightInd/>
        <w:snapToGrid/>
        <w:spacing w:line="240" w:lineRule="auto"/>
        <w:ind w:firstLine="406" w:firstLineChars="200"/>
        <w:textAlignment w:val="auto"/>
        <w:rPr>
          <w:rFonts w:hint="eastAsia"/>
          <w:b/>
          <w:bCs/>
          <w:color w:val="auto"/>
          <w:highlight w:val="none"/>
          <w:lang w:val="en-US" w:eastAsia="zh-CN"/>
        </w:rPr>
      </w:pPr>
      <w:r>
        <w:rPr>
          <w:rFonts w:hint="eastAsia"/>
          <w:b/>
          <w:bCs/>
          <w:color w:val="auto"/>
          <w:highlight w:val="none"/>
          <w:lang w:val="en-US" w:eastAsia="zh-CN"/>
        </w:rPr>
        <w:t>（6）投标人应充分考虑施工期间的材料价格波动风险，自行考虑并足额计取材料价格风险系数金额，参照工程造价信息价，依据市场情况自主报价。</w:t>
      </w:r>
    </w:p>
    <w:p>
      <w:pPr>
        <w:keepNext w:val="0"/>
        <w:keepLines w:val="0"/>
        <w:pageBreakBefore w:val="0"/>
        <w:widowControl w:val="0"/>
        <w:kinsoku/>
        <w:wordWrap/>
        <w:overflowPunct/>
        <w:topLinePunct w:val="0"/>
        <w:autoSpaceDE/>
        <w:autoSpaceDN/>
        <w:bidi w:val="0"/>
        <w:adjustRightInd/>
        <w:snapToGrid/>
        <w:spacing w:line="240" w:lineRule="auto"/>
        <w:ind w:firstLine="406" w:firstLineChars="200"/>
        <w:textAlignment w:val="auto"/>
        <w:rPr>
          <w:rFonts w:hint="default" w:eastAsia="宋体"/>
          <w:b/>
          <w:bCs/>
          <w:color w:val="auto"/>
          <w:highlight w:val="none"/>
          <w:lang w:val="en-US" w:eastAsia="zh-CN"/>
        </w:rPr>
      </w:pPr>
      <w:r>
        <w:rPr>
          <w:rFonts w:hint="eastAsia"/>
          <w:b/>
          <w:bCs/>
          <w:color w:val="auto"/>
          <w:highlight w:val="none"/>
          <w:lang w:val="en-US" w:eastAsia="zh-CN"/>
        </w:rPr>
        <w:t>（7）中标人必须依法接受招标人委托的监理公司对工程实行全过程监理、签证后方可作为工程决算依据。</w:t>
      </w:r>
    </w:p>
    <w:p>
      <w:pPr>
        <w:keepNext w:val="0"/>
        <w:keepLines w:val="0"/>
        <w:pageBreakBefore w:val="0"/>
        <w:widowControl w:val="0"/>
        <w:kinsoku/>
        <w:wordWrap/>
        <w:overflowPunct/>
        <w:topLinePunct w:val="0"/>
        <w:autoSpaceDE/>
        <w:autoSpaceDN/>
        <w:bidi w:val="0"/>
        <w:adjustRightInd/>
        <w:snapToGrid/>
        <w:spacing w:line="240" w:lineRule="auto"/>
        <w:ind w:firstLine="406" w:firstLineChars="200"/>
        <w:textAlignment w:val="auto"/>
        <w:rPr>
          <w:rFonts w:hint="eastAsia"/>
          <w:b/>
          <w:bCs/>
          <w:color w:val="auto"/>
          <w:highlight w:val="none"/>
          <w:lang w:val="en-US" w:eastAsia="zh-CN"/>
        </w:rPr>
      </w:pPr>
      <w:r>
        <w:rPr>
          <w:rFonts w:hint="eastAsia"/>
          <w:b/>
          <w:bCs/>
          <w:color w:val="auto"/>
          <w:highlight w:val="none"/>
          <w:lang w:val="en-US" w:eastAsia="zh-CN"/>
        </w:rPr>
        <w:t>（8）工程为政府投资项目，结算金额以审计部门或财政评审部门审定为准。</w:t>
      </w:r>
    </w:p>
    <w:p>
      <w:pPr>
        <w:pageBreakBefore w:val="0"/>
        <w:widowControl w:val="0"/>
        <w:kinsoku/>
        <w:wordWrap/>
        <w:overflowPunct/>
        <w:topLinePunct w:val="0"/>
        <w:autoSpaceDE/>
        <w:autoSpaceDN/>
        <w:bidi w:val="0"/>
        <w:snapToGrid/>
        <w:spacing w:line="240" w:lineRule="auto"/>
        <w:ind w:firstLine="348" w:firstLineChars="171"/>
        <w:rPr>
          <w:rFonts w:hint="eastAsia" w:eastAsia="宋体"/>
          <w:b/>
          <w:bCs/>
          <w:color w:val="auto"/>
          <w:highlight w:val="none"/>
          <w:lang w:eastAsia="zh-CN"/>
        </w:rPr>
      </w:pPr>
      <w:r>
        <w:rPr>
          <w:rFonts w:hint="eastAsia"/>
          <w:b/>
          <w:bCs/>
          <w:color w:val="auto"/>
          <w:szCs w:val="21"/>
        </w:rPr>
        <w:t>3.2.</w:t>
      </w:r>
      <w:r>
        <w:rPr>
          <w:rFonts w:hint="eastAsia"/>
          <w:b/>
          <w:bCs/>
          <w:color w:val="auto"/>
          <w:szCs w:val="21"/>
          <w:lang w:val="en-US" w:eastAsia="zh-CN"/>
        </w:rPr>
        <w:t xml:space="preserve">2 </w:t>
      </w:r>
      <w:r>
        <w:rPr>
          <w:rFonts w:hint="eastAsia"/>
          <w:b/>
          <w:bCs/>
          <w:color w:val="auto"/>
          <w:highlight w:val="none"/>
          <w:lang w:val="en-US" w:eastAsia="zh-CN"/>
        </w:rPr>
        <w:t>本工程承包方式详见投标人须知前附表</w:t>
      </w:r>
      <w:r>
        <w:rPr>
          <w:rFonts w:hint="eastAsia"/>
          <w:b/>
          <w:bCs/>
          <w:color w:val="auto"/>
          <w:highlight w:val="none"/>
          <w:lang w:eastAsia="zh-CN"/>
        </w:rPr>
        <w:t>。</w:t>
      </w:r>
    </w:p>
    <w:p>
      <w:pPr>
        <w:pageBreakBefore w:val="0"/>
        <w:widowControl w:val="0"/>
        <w:kinsoku/>
        <w:wordWrap/>
        <w:overflowPunct/>
        <w:topLinePunct w:val="0"/>
        <w:autoSpaceDE/>
        <w:autoSpaceDN/>
        <w:bidi w:val="0"/>
        <w:snapToGrid/>
        <w:spacing w:line="240" w:lineRule="auto"/>
        <w:ind w:firstLine="348" w:firstLineChars="171"/>
        <w:rPr>
          <w:b/>
          <w:bCs/>
          <w:color w:val="auto"/>
          <w:szCs w:val="21"/>
        </w:rPr>
      </w:pPr>
      <w:r>
        <w:rPr>
          <w:rFonts w:hint="eastAsia"/>
          <w:b/>
          <w:bCs/>
          <w:color w:val="auto"/>
          <w:szCs w:val="21"/>
        </w:rPr>
        <w:t>3.2.</w:t>
      </w:r>
      <w:r>
        <w:rPr>
          <w:rFonts w:hint="eastAsia"/>
          <w:b/>
          <w:bCs/>
          <w:color w:val="auto"/>
          <w:szCs w:val="21"/>
          <w:lang w:val="en-US" w:eastAsia="zh-CN"/>
        </w:rPr>
        <w:t xml:space="preserve">3 </w:t>
      </w:r>
      <w:r>
        <w:rPr>
          <w:rFonts w:hint="eastAsia"/>
          <w:b/>
          <w:bCs/>
          <w:color w:val="auto"/>
          <w:szCs w:val="21"/>
        </w:rPr>
        <w:t>投标人应按第五章“工程量清单”的要求填写相应表格。</w:t>
      </w:r>
    </w:p>
    <w:p>
      <w:pPr>
        <w:pageBreakBefore w:val="0"/>
        <w:widowControl w:val="0"/>
        <w:kinsoku/>
        <w:wordWrap/>
        <w:overflowPunct/>
        <w:topLinePunct w:val="0"/>
        <w:autoSpaceDE/>
        <w:autoSpaceDN/>
        <w:bidi w:val="0"/>
        <w:snapToGrid/>
        <w:spacing w:line="240" w:lineRule="auto"/>
        <w:ind w:firstLine="348" w:firstLineChars="171"/>
        <w:rPr>
          <w:b/>
          <w:bCs/>
          <w:color w:val="auto"/>
          <w:szCs w:val="21"/>
        </w:rPr>
      </w:pPr>
      <w:r>
        <w:rPr>
          <w:rFonts w:hint="eastAsia"/>
          <w:b/>
          <w:bCs/>
          <w:color w:val="auto"/>
          <w:szCs w:val="21"/>
        </w:rPr>
        <w:t>3.2.</w:t>
      </w:r>
      <w:r>
        <w:rPr>
          <w:rFonts w:hint="eastAsia"/>
          <w:b/>
          <w:bCs/>
          <w:color w:val="auto"/>
          <w:szCs w:val="21"/>
          <w:lang w:val="en-US" w:eastAsia="zh-CN"/>
        </w:rPr>
        <w:t xml:space="preserve">4 </w:t>
      </w:r>
      <w:r>
        <w:rPr>
          <w:rFonts w:hint="eastAsia"/>
          <w:b/>
          <w:bCs/>
          <w:color w:val="auto"/>
          <w:szCs w:val="21"/>
        </w:rPr>
        <w:t>投标人在投标截止时间前修改投标函中的投标总报价，应同时修改第五章“工程量清单”中的相应报价。此修改须符合本章第4.3款的有关要求。</w:t>
      </w:r>
    </w:p>
    <w:p>
      <w:pPr>
        <w:pStyle w:val="69"/>
        <w:pageBreakBefore w:val="0"/>
        <w:widowControl w:val="0"/>
        <w:kinsoku/>
        <w:wordWrap/>
        <w:overflowPunct/>
        <w:topLinePunct w:val="0"/>
        <w:autoSpaceDE/>
        <w:autoSpaceDN/>
        <w:bidi w:val="0"/>
        <w:snapToGrid/>
        <w:spacing w:before="0" w:line="240" w:lineRule="auto"/>
        <w:rPr>
          <w:color w:val="auto"/>
        </w:rPr>
      </w:pPr>
      <w:r>
        <w:rPr>
          <w:rFonts w:hint="eastAsia"/>
          <w:color w:val="auto"/>
        </w:rPr>
        <w:t>3.3 投标有效期</w:t>
      </w:r>
      <w:bookmarkEnd w:id="89"/>
      <w:bookmarkEnd w:id="90"/>
      <w:bookmarkEnd w:id="91"/>
      <w:bookmarkEnd w:id="92"/>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3.3.1</w:t>
      </w:r>
      <w:r>
        <w:rPr>
          <w:rFonts w:hint="eastAsia"/>
          <w:color w:val="auto"/>
          <w:lang w:val="en-US" w:eastAsia="zh-CN"/>
        </w:rPr>
        <w:t xml:space="preserve"> </w:t>
      </w:r>
      <w:r>
        <w:rPr>
          <w:rFonts w:hint="eastAsia"/>
          <w:color w:val="auto"/>
        </w:rPr>
        <w:t>在投标人须知前附表规定的投标有效期内，投标人不得要求撤销或修改其投标文件。</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3.3.2</w:t>
      </w:r>
      <w:r>
        <w:rPr>
          <w:rFonts w:hint="eastAsia"/>
          <w:color w:val="auto"/>
          <w:lang w:val="en-US" w:eastAsia="zh-CN"/>
        </w:rPr>
        <w:t xml:space="preserve"> </w:t>
      </w:r>
      <w:r>
        <w:rPr>
          <w:rFonts w:hint="eastAsia"/>
          <w:color w:val="auto"/>
        </w:rPr>
        <w:t>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69"/>
        <w:pageBreakBefore w:val="0"/>
        <w:widowControl w:val="0"/>
        <w:kinsoku/>
        <w:wordWrap/>
        <w:overflowPunct/>
        <w:topLinePunct w:val="0"/>
        <w:autoSpaceDE/>
        <w:autoSpaceDN/>
        <w:bidi w:val="0"/>
        <w:snapToGrid/>
        <w:spacing w:before="0" w:line="240" w:lineRule="auto"/>
        <w:rPr>
          <w:color w:val="auto"/>
        </w:rPr>
      </w:pPr>
      <w:bookmarkStart w:id="93" w:name="_Toc8423551"/>
      <w:bookmarkStart w:id="94" w:name="_Toc144974518"/>
      <w:bookmarkStart w:id="95" w:name="_Toc152045550"/>
      <w:bookmarkStart w:id="96" w:name="_Toc152042326"/>
      <w:r>
        <w:rPr>
          <w:rFonts w:hint="eastAsia"/>
          <w:color w:val="auto"/>
        </w:rPr>
        <w:t>3.4 投标保证金</w:t>
      </w:r>
      <w:bookmarkEnd w:id="93"/>
      <w:bookmarkEnd w:id="94"/>
      <w:bookmarkEnd w:id="95"/>
      <w:bookmarkEnd w:id="96"/>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3.4.1 投标人在递交投标文件的同时，应按投标人须知前附表规定的金额、担保形式和第八章“投标文件格式”规定的投标保证金格式递交投标保证金，并作为其投标文件的组成部分。联合体投标的，其投标保证金由牵头人递交，并应符合投标人须知前附表的规定。</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3.4.2 投标人不按本章第3.4.1项要求提交投标保证金的，其投标文件作废标处理。</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3.4.3 在中标候选人公示发布后，非中标候选人的投标保证金，系统自动原账号退还。招标代理机构自确定中标结果后5日内退还未中标人的投标保证金，自合同签订后5日内（中标人通过洛阳市电子招投标交易平台上传合同扫描件，提交退还保证金申请）退还中标人的投标保证金。</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 xml:space="preserve">3.4.4 有下列情形之一的，投标保证金将不予退还： </w:t>
      </w:r>
    </w:p>
    <w:p>
      <w:pPr>
        <w:pageBreakBefore w:val="0"/>
        <w:widowControl w:val="0"/>
        <w:kinsoku/>
        <w:wordWrap/>
        <w:overflowPunct/>
        <w:topLinePunct w:val="0"/>
        <w:autoSpaceDE/>
        <w:autoSpaceDN/>
        <w:bidi w:val="0"/>
        <w:snapToGrid/>
        <w:spacing w:line="240" w:lineRule="auto"/>
        <w:ind w:firstLine="695" w:firstLineChars="342"/>
        <w:rPr>
          <w:color w:val="auto"/>
        </w:rPr>
      </w:pPr>
      <w:r>
        <w:rPr>
          <w:rFonts w:hint="eastAsia"/>
          <w:color w:val="auto"/>
        </w:rPr>
        <w:t>（1）投标人在规定的投标有效期内撤销或修改其投标文件；</w:t>
      </w:r>
    </w:p>
    <w:p>
      <w:pPr>
        <w:pageBreakBefore w:val="0"/>
        <w:widowControl w:val="0"/>
        <w:kinsoku/>
        <w:wordWrap/>
        <w:overflowPunct/>
        <w:topLinePunct w:val="0"/>
        <w:autoSpaceDE/>
        <w:autoSpaceDN/>
        <w:bidi w:val="0"/>
        <w:snapToGrid/>
        <w:spacing w:line="240" w:lineRule="auto"/>
        <w:ind w:firstLine="695" w:firstLineChars="342"/>
        <w:rPr>
          <w:color w:val="auto"/>
        </w:rPr>
      </w:pPr>
      <w:r>
        <w:rPr>
          <w:rFonts w:hint="eastAsia"/>
          <w:color w:val="auto"/>
        </w:rPr>
        <w:t>（2）中标人在收到中标通知书后，无正当理由拒签合同协议书或未按招标文件规定提交履约担保。</w:t>
      </w:r>
    </w:p>
    <w:p>
      <w:pPr>
        <w:pageBreakBefore w:val="0"/>
        <w:widowControl w:val="0"/>
        <w:kinsoku/>
        <w:wordWrap/>
        <w:overflowPunct/>
        <w:topLinePunct w:val="0"/>
        <w:autoSpaceDE/>
        <w:autoSpaceDN/>
        <w:bidi w:val="0"/>
        <w:snapToGrid/>
        <w:spacing w:line="240" w:lineRule="auto"/>
        <w:ind w:firstLine="695" w:firstLineChars="342"/>
        <w:rPr>
          <w:color w:val="auto"/>
        </w:rPr>
      </w:pPr>
      <w:r>
        <w:rPr>
          <w:rFonts w:hint="eastAsia"/>
          <w:color w:val="auto"/>
        </w:rPr>
        <w:t>（3）投标人在投标时有弄虚作假、串通投标等违法行为的。</w:t>
      </w:r>
    </w:p>
    <w:p>
      <w:pPr>
        <w:pStyle w:val="69"/>
        <w:pageBreakBefore w:val="0"/>
        <w:widowControl w:val="0"/>
        <w:kinsoku/>
        <w:wordWrap/>
        <w:overflowPunct/>
        <w:topLinePunct w:val="0"/>
        <w:autoSpaceDE/>
        <w:autoSpaceDN/>
        <w:bidi w:val="0"/>
        <w:snapToGrid/>
        <w:spacing w:before="0" w:line="240" w:lineRule="auto"/>
        <w:rPr>
          <w:color w:val="auto"/>
        </w:rPr>
      </w:pPr>
      <w:bookmarkStart w:id="97" w:name="_Toc152045552"/>
      <w:bookmarkStart w:id="98" w:name="_Toc144974520"/>
      <w:bookmarkStart w:id="99" w:name="_Toc152042328"/>
      <w:bookmarkStart w:id="100" w:name="_Toc8423552"/>
      <w:r>
        <w:rPr>
          <w:rFonts w:hint="eastAsia"/>
          <w:color w:val="auto"/>
        </w:rPr>
        <w:t>3.5 资格审查资料</w:t>
      </w:r>
      <w:bookmarkEnd w:id="97"/>
      <w:bookmarkEnd w:id="98"/>
      <w:bookmarkEnd w:id="99"/>
      <w:bookmarkEnd w:id="100"/>
    </w:p>
    <w:p>
      <w:pPr>
        <w:pageBreakBefore w:val="0"/>
        <w:widowControl w:val="0"/>
        <w:kinsoku/>
        <w:wordWrap/>
        <w:overflowPunct/>
        <w:topLinePunct w:val="0"/>
        <w:autoSpaceDE/>
        <w:autoSpaceDN/>
        <w:bidi w:val="0"/>
        <w:snapToGrid/>
        <w:spacing w:line="240" w:lineRule="auto"/>
        <w:ind w:firstLine="406" w:firstLineChars="200"/>
        <w:rPr>
          <w:rFonts w:hint="eastAsia"/>
          <w:color w:val="auto"/>
        </w:rPr>
      </w:pPr>
      <w:r>
        <w:rPr>
          <w:rFonts w:hint="eastAsia"/>
          <w:color w:val="auto"/>
        </w:rPr>
        <w:t>3.5.1 投标人应按投标人须知前附表1.4.1项的规定提供资格审查资料。</w:t>
      </w:r>
    </w:p>
    <w:p>
      <w:pPr>
        <w:pageBreakBefore w:val="0"/>
        <w:widowControl w:val="0"/>
        <w:kinsoku/>
        <w:wordWrap/>
        <w:overflowPunct/>
        <w:topLinePunct w:val="0"/>
        <w:autoSpaceDE/>
        <w:autoSpaceDN/>
        <w:bidi w:val="0"/>
        <w:snapToGrid/>
        <w:spacing w:line="240" w:lineRule="auto"/>
        <w:ind w:firstLine="406" w:firstLineChars="200"/>
        <w:rPr>
          <w:rFonts w:hint="eastAsia"/>
          <w:color w:val="auto"/>
        </w:rPr>
      </w:pPr>
      <w:r>
        <w:rPr>
          <w:rFonts w:hint="eastAsia"/>
          <w:color w:val="auto"/>
        </w:rPr>
        <w:t>3.5.2 本工程实行资格后审，经评标委员会审查不合格者，取消其投标资格。</w:t>
      </w:r>
    </w:p>
    <w:p>
      <w:pPr>
        <w:pStyle w:val="69"/>
        <w:pageBreakBefore w:val="0"/>
        <w:widowControl w:val="0"/>
        <w:kinsoku/>
        <w:wordWrap/>
        <w:overflowPunct/>
        <w:topLinePunct w:val="0"/>
        <w:autoSpaceDE/>
        <w:autoSpaceDN/>
        <w:bidi w:val="0"/>
        <w:snapToGrid/>
        <w:spacing w:before="0" w:line="240" w:lineRule="auto"/>
        <w:rPr>
          <w:color w:val="auto"/>
        </w:rPr>
      </w:pPr>
      <w:bookmarkStart w:id="101" w:name="_Toc144974521"/>
      <w:bookmarkStart w:id="102" w:name="_Toc152042329"/>
      <w:bookmarkStart w:id="103" w:name="_Toc8423553"/>
      <w:bookmarkStart w:id="104" w:name="_Toc152045553"/>
      <w:r>
        <w:rPr>
          <w:rFonts w:hint="eastAsia"/>
          <w:color w:val="auto"/>
        </w:rPr>
        <w:t>3.6 备选投标方案</w:t>
      </w:r>
      <w:bookmarkEnd w:id="101"/>
      <w:bookmarkEnd w:id="102"/>
      <w:bookmarkEnd w:id="103"/>
      <w:bookmarkEnd w:id="104"/>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除投标人须知前附表另有规定外，投标人不得递交备选投标方案。允许投标人递交备选投标方案的，只有中标人所递交的备选投标方案方可予以考虑。评标委员会认为中标人的备选投标方案优于其按照招标文件要求编制的投标方案的，招标人可以接受该备选投标方案。</w:t>
      </w:r>
    </w:p>
    <w:p>
      <w:pPr>
        <w:pStyle w:val="69"/>
        <w:pageBreakBefore w:val="0"/>
        <w:widowControl w:val="0"/>
        <w:kinsoku/>
        <w:wordWrap/>
        <w:overflowPunct/>
        <w:topLinePunct w:val="0"/>
        <w:autoSpaceDE/>
        <w:autoSpaceDN/>
        <w:bidi w:val="0"/>
        <w:snapToGrid/>
        <w:spacing w:before="0" w:line="240" w:lineRule="auto"/>
        <w:rPr>
          <w:color w:val="auto"/>
        </w:rPr>
      </w:pPr>
      <w:bookmarkStart w:id="105" w:name="_Toc8423554"/>
      <w:bookmarkStart w:id="106" w:name="_Toc144974522"/>
      <w:bookmarkStart w:id="107" w:name="_Toc152045554"/>
      <w:bookmarkStart w:id="108" w:name="_Toc152042330"/>
      <w:r>
        <w:rPr>
          <w:rFonts w:hint="eastAsia"/>
          <w:color w:val="auto"/>
        </w:rPr>
        <w:t>3.7 投标文件的编制</w:t>
      </w:r>
      <w:bookmarkEnd w:id="105"/>
      <w:bookmarkEnd w:id="106"/>
      <w:bookmarkEnd w:id="107"/>
      <w:bookmarkEnd w:id="108"/>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3.7.1投标文件应按第八章“投标文件格式”进行编写，如有必要，可以增加附页，作为投标文件的组成部分。其中，投标函附录在满足招标文件实质性要求的基础上，可以提出比招标文件要求更有利于招标人的承诺。</w:t>
      </w:r>
    </w:p>
    <w:p>
      <w:pPr>
        <w:pageBreakBefore w:val="0"/>
        <w:widowControl w:val="0"/>
        <w:kinsoku/>
        <w:wordWrap/>
        <w:overflowPunct/>
        <w:topLinePunct w:val="0"/>
        <w:autoSpaceDE/>
        <w:autoSpaceDN/>
        <w:bidi w:val="0"/>
        <w:snapToGrid/>
        <w:spacing w:line="240" w:lineRule="auto"/>
        <w:ind w:firstLine="406" w:firstLineChars="200"/>
        <w:rPr>
          <w:color w:val="auto"/>
          <w:szCs w:val="21"/>
        </w:rPr>
      </w:pPr>
      <w:r>
        <w:rPr>
          <w:rFonts w:hint="eastAsia"/>
          <w:color w:val="auto"/>
        </w:rPr>
        <w:t>3.7.2投标文件应当对招标文件有关</w:t>
      </w:r>
      <w:r>
        <w:rPr>
          <w:rFonts w:hint="eastAsia"/>
          <w:color w:val="auto"/>
          <w:szCs w:val="21"/>
        </w:rPr>
        <w:t>工期、投标有效期、质量要求、缺陷责任期等实质性内容作出响应。</w:t>
      </w:r>
    </w:p>
    <w:p>
      <w:pPr>
        <w:pageBreakBefore w:val="0"/>
        <w:widowControl w:val="0"/>
        <w:kinsoku/>
        <w:wordWrap/>
        <w:overflowPunct/>
        <w:topLinePunct w:val="0"/>
        <w:autoSpaceDE/>
        <w:autoSpaceDN/>
        <w:bidi w:val="0"/>
        <w:snapToGrid/>
        <w:spacing w:line="240" w:lineRule="auto"/>
        <w:ind w:firstLine="406" w:firstLineChars="200"/>
        <w:rPr>
          <w:color w:val="auto"/>
          <w:szCs w:val="21"/>
        </w:rPr>
      </w:pPr>
      <w:r>
        <w:rPr>
          <w:rFonts w:hint="eastAsia"/>
          <w:color w:val="auto"/>
          <w:szCs w:val="21"/>
        </w:rPr>
        <w:t>3.7.3签字和（或）盖章要求：见投标人须知前附表。</w:t>
      </w:r>
    </w:p>
    <w:p>
      <w:pPr>
        <w:pageBreakBefore w:val="0"/>
        <w:widowControl w:val="0"/>
        <w:kinsoku/>
        <w:wordWrap/>
        <w:overflowPunct/>
        <w:topLinePunct w:val="0"/>
        <w:autoSpaceDE/>
        <w:autoSpaceDN/>
        <w:bidi w:val="0"/>
        <w:snapToGrid/>
        <w:spacing w:line="240" w:lineRule="auto"/>
        <w:ind w:firstLine="406" w:firstLineChars="200"/>
        <w:rPr>
          <w:color w:val="auto"/>
          <w:highlight w:val="red"/>
        </w:rPr>
      </w:pPr>
      <w:r>
        <w:rPr>
          <w:rFonts w:hint="eastAsia"/>
          <w:color w:val="auto"/>
          <w:highlight w:val="none"/>
        </w:rPr>
        <w:t>3.7.4投标人登录“洛阳市公共资源交易中心”网站，按要求下载“新点投标文件制作软件”；</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3.7.5投标人凭CA锁登录，并按网上提示自行下载招标文件。使用“新点投标文件制作软件”按要求制作电子投标文件。投标人在制作电子投标文件时，应按要求进行电子签章。投标人编辑电子投标文件时，根据招标文件要求用法定代表人CA锁和企业CA锁进行签章制作；最后一步生成电子投标文件时，只能用本单位的企业CA锁。联合体投标的，投标文件由联合体牵头人按上述规定进行签章；</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3.7.6加密的电子投标文件为“洛阳市公共资源交易中心”网站提供的“新点投标文件制作软件”制作生成的加密版投标文件；</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3.7.7招标文件格式所要求包含的全部资料应全部制作在投标文件内，严格按照本项目招标文件所有格式如实填写（不涉及的内容除外），不应存在漏项或缺项，否则将存在投标文件被否决的风险；</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3.7.8投标文件所附证明材料均为原件的扫描件，尺寸和清晰度应该能够在电脑上被阅读、识别和判断；若投标人未按要求提供证明材料或提供不清晰的扫描件的，评标委员会有权认定其投标文件未对招标文件有关要求进行响应，涉及资格审查或符合性审查的将不予通过；</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3.7.9投标文件制作的具体方法详见“全国公共资源交易平台（河南省·洛阳市）”-办事指南-下载中心-操作手册-《洛阳市投标文件制作工具操作手册》及投标文件制作工具中的帮助文档。</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3.7.10为便于评标委员会评审，投标人在编制电子投标文件时，尽量将投标文件目录细化，并在电子投标文件中编制详细的跳转目录。否则，投标人自行承担因投标文件编制混乱导致评标委员会做出不利于投标人的评审结果。</w:t>
      </w:r>
    </w:p>
    <w:p>
      <w:pPr>
        <w:pStyle w:val="69"/>
        <w:pageBreakBefore w:val="0"/>
        <w:widowControl w:val="0"/>
        <w:kinsoku/>
        <w:wordWrap/>
        <w:overflowPunct/>
        <w:topLinePunct w:val="0"/>
        <w:autoSpaceDE/>
        <w:autoSpaceDN/>
        <w:bidi w:val="0"/>
        <w:snapToGrid/>
        <w:spacing w:before="0" w:line="240" w:lineRule="auto"/>
        <w:rPr>
          <w:color w:val="auto"/>
        </w:rPr>
      </w:pPr>
      <w:r>
        <w:rPr>
          <w:rFonts w:hint="eastAsia"/>
          <w:color w:val="auto"/>
        </w:rPr>
        <w:t>3.</w:t>
      </w:r>
      <w:r>
        <w:rPr>
          <w:color w:val="auto"/>
        </w:rPr>
        <w:t>8</w:t>
      </w:r>
      <w:r>
        <w:rPr>
          <w:rFonts w:hint="eastAsia"/>
          <w:color w:val="auto"/>
        </w:rPr>
        <w:t xml:space="preserve"> 投标文件的修改与撤回</w:t>
      </w:r>
    </w:p>
    <w:p>
      <w:pPr>
        <w:pageBreakBefore w:val="0"/>
        <w:widowControl w:val="0"/>
        <w:kinsoku/>
        <w:wordWrap/>
        <w:overflowPunct/>
        <w:topLinePunct w:val="0"/>
        <w:autoSpaceDE/>
        <w:autoSpaceDN/>
        <w:bidi w:val="0"/>
        <w:snapToGrid/>
        <w:spacing w:line="240" w:lineRule="auto"/>
        <w:ind w:firstLine="406" w:firstLineChars="200"/>
        <w:rPr>
          <w:color w:val="auto"/>
          <w:szCs w:val="21"/>
        </w:rPr>
      </w:pPr>
      <w:bookmarkStart w:id="109" w:name="_Hlk12795122"/>
      <w:r>
        <w:rPr>
          <w:rFonts w:hint="eastAsia"/>
          <w:color w:val="auto"/>
          <w:szCs w:val="21"/>
        </w:rPr>
        <w:t>3.8.1在投标截止时间前，投标人可以修改或撤回已递交的投标文件。投标人对加密的投标文件进行撤回的，应在“洛阳市电子招投标交易平台”直接进行撤回操作；投标人对加密的投标文件进行修改的，应在投标截止时间前完成上传。</w:t>
      </w:r>
    </w:p>
    <w:p>
      <w:pPr>
        <w:pageBreakBefore w:val="0"/>
        <w:widowControl w:val="0"/>
        <w:kinsoku/>
        <w:wordWrap/>
        <w:overflowPunct/>
        <w:topLinePunct w:val="0"/>
        <w:autoSpaceDE/>
        <w:autoSpaceDN/>
        <w:bidi w:val="0"/>
        <w:snapToGrid/>
        <w:spacing w:line="240" w:lineRule="auto"/>
        <w:ind w:firstLine="406" w:firstLineChars="200"/>
        <w:rPr>
          <w:color w:val="auto"/>
          <w:szCs w:val="21"/>
        </w:rPr>
      </w:pPr>
      <w:r>
        <w:rPr>
          <w:rFonts w:hint="eastAsia"/>
          <w:color w:val="auto"/>
          <w:szCs w:val="21"/>
        </w:rPr>
        <w:t>3.8.2投标人修改投标文件的，应使用规定的投标文件制作工具制作成完整的投标文件，并按照规定进行编制、加密和递交。对采用网上递交的加密的投标文件，以投标截止时间前最后完成上传的文件为准。</w:t>
      </w:r>
    </w:p>
    <w:bookmarkEnd w:id="109"/>
    <w:p>
      <w:pPr>
        <w:pStyle w:val="66"/>
        <w:pageBreakBefore w:val="0"/>
        <w:widowControl w:val="0"/>
        <w:kinsoku/>
        <w:wordWrap/>
        <w:overflowPunct/>
        <w:topLinePunct w:val="0"/>
        <w:autoSpaceDE/>
        <w:autoSpaceDN/>
        <w:bidi w:val="0"/>
        <w:snapToGrid/>
        <w:spacing w:before="0" w:line="240" w:lineRule="auto"/>
        <w:rPr>
          <w:color w:val="auto"/>
        </w:rPr>
      </w:pPr>
      <w:bookmarkStart w:id="110" w:name="_Toc144974523"/>
      <w:bookmarkStart w:id="111" w:name="_Toc8423555"/>
      <w:bookmarkStart w:id="112" w:name="_Toc152042331"/>
      <w:bookmarkStart w:id="113" w:name="_Toc152045555"/>
      <w:r>
        <w:rPr>
          <w:rFonts w:hint="eastAsia"/>
          <w:color w:val="auto"/>
        </w:rPr>
        <w:t>4、投标</w:t>
      </w:r>
      <w:bookmarkEnd w:id="110"/>
      <w:bookmarkEnd w:id="111"/>
      <w:bookmarkEnd w:id="112"/>
      <w:bookmarkEnd w:id="113"/>
    </w:p>
    <w:p>
      <w:pPr>
        <w:pStyle w:val="69"/>
        <w:pageBreakBefore w:val="0"/>
        <w:widowControl w:val="0"/>
        <w:kinsoku/>
        <w:wordWrap/>
        <w:overflowPunct/>
        <w:topLinePunct w:val="0"/>
        <w:autoSpaceDE/>
        <w:autoSpaceDN/>
        <w:bidi w:val="0"/>
        <w:snapToGrid/>
        <w:spacing w:before="0" w:line="240" w:lineRule="auto"/>
        <w:rPr>
          <w:color w:val="auto"/>
        </w:rPr>
      </w:pPr>
      <w:bookmarkStart w:id="114" w:name="_Toc152042332"/>
      <w:bookmarkStart w:id="115" w:name="_Toc179632574"/>
      <w:bookmarkStart w:id="116" w:name="_Toc144974524"/>
      <w:bookmarkStart w:id="117" w:name="_Toc152045556"/>
      <w:bookmarkStart w:id="118" w:name="_Toc6458"/>
      <w:bookmarkStart w:id="119" w:name="_Toc505093162"/>
      <w:bookmarkStart w:id="120" w:name="_Toc8423562"/>
      <w:bookmarkStart w:id="121" w:name="_Toc152045562"/>
      <w:bookmarkStart w:id="122" w:name="_Toc144974530"/>
      <w:bookmarkStart w:id="123" w:name="_Toc152042338"/>
      <w:r>
        <w:rPr>
          <w:rFonts w:hint="eastAsia"/>
          <w:color w:val="auto"/>
        </w:rPr>
        <w:t>4.1 投标文件的密封和标记</w:t>
      </w:r>
      <w:bookmarkEnd w:id="114"/>
      <w:bookmarkEnd w:id="115"/>
      <w:bookmarkEnd w:id="116"/>
      <w:bookmarkEnd w:id="117"/>
      <w:bookmarkEnd w:id="118"/>
    </w:p>
    <w:p>
      <w:pPr>
        <w:pageBreakBefore w:val="0"/>
        <w:widowControl w:val="0"/>
        <w:kinsoku/>
        <w:wordWrap/>
        <w:overflowPunct/>
        <w:topLinePunct w:val="0"/>
        <w:autoSpaceDE/>
        <w:autoSpaceDN/>
        <w:bidi w:val="0"/>
        <w:snapToGrid/>
        <w:spacing w:line="240" w:lineRule="auto"/>
        <w:ind w:firstLine="406" w:firstLineChars="200"/>
        <w:rPr>
          <w:color w:val="auto"/>
          <w:szCs w:val="21"/>
        </w:rPr>
      </w:pPr>
      <w:r>
        <w:rPr>
          <w:rFonts w:hint="eastAsia"/>
          <w:color w:val="auto"/>
          <w:szCs w:val="21"/>
        </w:rPr>
        <w:t>4.1.1投标人应当按照招标文件和电子招标投标交易平台的要求加密投标文件，具体要求见投标人须知前附表。</w:t>
      </w:r>
    </w:p>
    <w:p>
      <w:pPr>
        <w:pStyle w:val="69"/>
        <w:pageBreakBefore w:val="0"/>
        <w:widowControl w:val="0"/>
        <w:kinsoku/>
        <w:wordWrap/>
        <w:overflowPunct/>
        <w:topLinePunct w:val="0"/>
        <w:autoSpaceDE/>
        <w:autoSpaceDN/>
        <w:bidi w:val="0"/>
        <w:snapToGrid/>
        <w:spacing w:before="0" w:line="240" w:lineRule="auto"/>
        <w:rPr>
          <w:color w:val="auto"/>
        </w:rPr>
      </w:pPr>
      <w:bookmarkStart w:id="124" w:name="_Toc23306"/>
      <w:bookmarkStart w:id="125" w:name="_Toc179632575"/>
      <w:bookmarkStart w:id="126" w:name="_Toc152045557"/>
      <w:bookmarkStart w:id="127" w:name="_Toc152042333"/>
      <w:bookmarkStart w:id="128" w:name="_Toc144974525"/>
      <w:r>
        <w:rPr>
          <w:rFonts w:hint="eastAsia"/>
          <w:color w:val="auto"/>
        </w:rPr>
        <w:t>4.2 投标文件的递交</w:t>
      </w:r>
      <w:bookmarkEnd w:id="124"/>
      <w:bookmarkEnd w:id="125"/>
      <w:bookmarkEnd w:id="126"/>
      <w:bookmarkEnd w:id="127"/>
      <w:bookmarkEnd w:id="128"/>
    </w:p>
    <w:p>
      <w:pPr>
        <w:pageBreakBefore w:val="0"/>
        <w:widowControl w:val="0"/>
        <w:kinsoku/>
        <w:wordWrap/>
        <w:overflowPunct/>
        <w:topLinePunct w:val="0"/>
        <w:autoSpaceDE/>
        <w:autoSpaceDN/>
        <w:bidi w:val="0"/>
        <w:snapToGrid/>
        <w:spacing w:line="240" w:lineRule="auto"/>
        <w:ind w:firstLine="406" w:firstLineChars="200"/>
        <w:rPr>
          <w:color w:val="auto"/>
          <w:szCs w:val="21"/>
        </w:rPr>
      </w:pPr>
      <w:bookmarkStart w:id="129" w:name="_Toc144974526"/>
      <w:bookmarkStart w:id="130" w:name="_Toc152042334"/>
      <w:bookmarkStart w:id="131" w:name="_Toc179632576"/>
      <w:bookmarkStart w:id="132" w:name="_Toc152045558"/>
      <w:r>
        <w:rPr>
          <w:rFonts w:hint="eastAsia"/>
          <w:color w:val="auto"/>
          <w:szCs w:val="21"/>
        </w:rPr>
        <w:t>4.2.1 投标人应在投标人须知前附表规定的投标截止时间前递交投标文件；</w:t>
      </w:r>
    </w:p>
    <w:p>
      <w:pPr>
        <w:pageBreakBefore w:val="0"/>
        <w:widowControl w:val="0"/>
        <w:kinsoku/>
        <w:wordWrap/>
        <w:overflowPunct/>
        <w:topLinePunct w:val="0"/>
        <w:autoSpaceDE/>
        <w:autoSpaceDN/>
        <w:bidi w:val="0"/>
        <w:snapToGrid/>
        <w:spacing w:line="240" w:lineRule="auto"/>
        <w:ind w:firstLine="406" w:firstLineChars="200"/>
        <w:rPr>
          <w:color w:val="auto"/>
          <w:szCs w:val="21"/>
        </w:rPr>
      </w:pPr>
      <w:r>
        <w:rPr>
          <w:rFonts w:hint="eastAsia"/>
          <w:color w:val="auto"/>
          <w:szCs w:val="21"/>
        </w:rPr>
        <w:t>4.2.2 投标人递交投标文件的截止时间和地点：见投标人须知前附表；</w:t>
      </w:r>
    </w:p>
    <w:p>
      <w:pPr>
        <w:pageBreakBefore w:val="0"/>
        <w:widowControl w:val="0"/>
        <w:kinsoku/>
        <w:wordWrap/>
        <w:overflowPunct/>
        <w:topLinePunct w:val="0"/>
        <w:autoSpaceDE/>
        <w:autoSpaceDN/>
        <w:bidi w:val="0"/>
        <w:snapToGrid/>
        <w:spacing w:line="240" w:lineRule="auto"/>
        <w:ind w:firstLine="406" w:firstLineChars="200"/>
        <w:rPr>
          <w:color w:val="auto"/>
          <w:szCs w:val="21"/>
        </w:rPr>
      </w:pPr>
      <w:r>
        <w:rPr>
          <w:rFonts w:hint="eastAsia"/>
          <w:color w:val="auto"/>
          <w:szCs w:val="21"/>
        </w:rPr>
        <w:t>4.2.3 投标人应在投标截止时间前上传加密的电子投标文件（*.lytf）到洛阳市电子招投标交易平台指定位置。上传时投标人须使用制作该投标文件的同一CA锁进行上传操作。请投标人在上传时认真检查上传投标文件是否完整、正确。投标人应充分考虑上传文件时的不可预见因素，未在投标截止时间前完成上传的，视为逾期送达，洛阳市电子招投标交易平台将拒绝接收。上传成功后将得到上传成功的确认；</w:t>
      </w:r>
    </w:p>
    <w:p>
      <w:pPr>
        <w:pageBreakBefore w:val="0"/>
        <w:widowControl w:val="0"/>
        <w:kinsoku/>
        <w:wordWrap/>
        <w:overflowPunct/>
        <w:topLinePunct w:val="0"/>
        <w:autoSpaceDE/>
        <w:autoSpaceDN/>
        <w:bidi w:val="0"/>
        <w:snapToGrid/>
        <w:spacing w:line="240" w:lineRule="auto"/>
        <w:ind w:firstLine="406" w:firstLineChars="200"/>
        <w:rPr>
          <w:color w:val="auto"/>
          <w:szCs w:val="21"/>
        </w:rPr>
      </w:pPr>
      <w:r>
        <w:rPr>
          <w:rFonts w:hint="eastAsia"/>
          <w:color w:val="auto"/>
          <w:szCs w:val="21"/>
        </w:rPr>
        <w:t>4.2.4 投标人因洛阳市电子招投标交易平台问题无法上传电子投标文件时，请在工作时间与交易中心联系，联系方式见投标人须知前附表。开标时因投标人自身原因而导致投标文件无法导入“洛阳市电子招投标交易平台”电子开标、评标系统，该投标视为无效投标，投标人自行承担由此导致的全部责任；</w:t>
      </w:r>
    </w:p>
    <w:p>
      <w:pPr>
        <w:pageBreakBefore w:val="0"/>
        <w:widowControl w:val="0"/>
        <w:kinsoku/>
        <w:wordWrap/>
        <w:overflowPunct/>
        <w:topLinePunct w:val="0"/>
        <w:autoSpaceDE/>
        <w:autoSpaceDN/>
        <w:bidi w:val="0"/>
        <w:snapToGrid/>
        <w:spacing w:line="240" w:lineRule="auto"/>
        <w:ind w:firstLine="406" w:firstLineChars="200"/>
        <w:rPr>
          <w:color w:val="auto"/>
          <w:szCs w:val="21"/>
        </w:rPr>
      </w:pPr>
      <w:r>
        <w:rPr>
          <w:rFonts w:hint="eastAsia"/>
          <w:color w:val="auto"/>
          <w:szCs w:val="21"/>
        </w:rPr>
        <w:t>4.2.5 除投标人须知前附表另有规定外，投标人所提交的投标文件不予退还。投标文件所附证明材料均为原件的扫描件，尺寸和清晰度应该能够在电脑上被阅读、识别和判断；若投标人未按要求提供证明材料或提供不清晰的扫描件的，评标委员会有权认定其投标文件未对招标文件有关要求进行响应。各投标单位对原件扫描件的真实性、合法性、有效性负责；</w:t>
      </w:r>
    </w:p>
    <w:p>
      <w:pPr>
        <w:pageBreakBefore w:val="0"/>
        <w:widowControl w:val="0"/>
        <w:kinsoku/>
        <w:wordWrap/>
        <w:overflowPunct/>
        <w:topLinePunct w:val="0"/>
        <w:autoSpaceDE/>
        <w:autoSpaceDN/>
        <w:bidi w:val="0"/>
        <w:snapToGrid/>
        <w:spacing w:line="240" w:lineRule="auto"/>
        <w:ind w:firstLine="406" w:firstLineChars="200"/>
        <w:rPr>
          <w:color w:val="auto"/>
          <w:szCs w:val="21"/>
        </w:rPr>
      </w:pPr>
      <w:r>
        <w:rPr>
          <w:rFonts w:hint="eastAsia"/>
          <w:color w:val="auto"/>
          <w:szCs w:val="21"/>
        </w:rPr>
        <w:t>4.2.6 逾期送达的投标文件，电子招标投标交易平台将予以拒收。</w:t>
      </w:r>
    </w:p>
    <w:bookmarkEnd w:id="129"/>
    <w:bookmarkEnd w:id="130"/>
    <w:bookmarkEnd w:id="131"/>
    <w:bookmarkEnd w:id="132"/>
    <w:p>
      <w:pPr>
        <w:pStyle w:val="69"/>
        <w:pageBreakBefore w:val="0"/>
        <w:widowControl w:val="0"/>
        <w:kinsoku/>
        <w:wordWrap/>
        <w:overflowPunct/>
        <w:topLinePunct w:val="0"/>
        <w:autoSpaceDE/>
        <w:autoSpaceDN/>
        <w:bidi w:val="0"/>
        <w:snapToGrid/>
        <w:spacing w:before="0" w:line="240" w:lineRule="auto"/>
        <w:rPr>
          <w:rFonts w:hint="eastAsia"/>
          <w:color w:val="auto"/>
        </w:rPr>
      </w:pPr>
      <w:r>
        <w:rPr>
          <w:rFonts w:hint="eastAsia"/>
          <w:color w:val="auto"/>
        </w:rPr>
        <w:t>4.</w:t>
      </w:r>
      <w:r>
        <w:rPr>
          <w:rFonts w:hint="eastAsia"/>
          <w:color w:val="auto"/>
          <w:lang w:val="en-US" w:eastAsia="zh-CN"/>
        </w:rPr>
        <w:t>3</w:t>
      </w:r>
      <w:r>
        <w:rPr>
          <w:rFonts w:hint="eastAsia"/>
          <w:color w:val="auto"/>
        </w:rPr>
        <w:t xml:space="preserve"> 投标文件的修改与撤回</w:t>
      </w:r>
    </w:p>
    <w:p>
      <w:pPr>
        <w:pageBreakBefore w:val="0"/>
        <w:widowControl w:val="0"/>
        <w:kinsoku/>
        <w:wordWrap/>
        <w:overflowPunct/>
        <w:topLinePunct w:val="0"/>
        <w:autoSpaceDE/>
        <w:autoSpaceDN/>
        <w:bidi w:val="0"/>
        <w:snapToGrid/>
        <w:spacing w:line="240" w:lineRule="auto"/>
        <w:ind w:firstLine="406" w:firstLineChars="200"/>
        <w:rPr>
          <w:rFonts w:hint="eastAsia"/>
          <w:color w:val="auto"/>
          <w:lang w:eastAsia="zh-CN"/>
        </w:rPr>
      </w:pPr>
      <w:r>
        <w:rPr>
          <w:rFonts w:hint="eastAsia"/>
          <w:color w:val="auto"/>
        </w:rPr>
        <w:t>4.</w:t>
      </w:r>
      <w:r>
        <w:rPr>
          <w:rFonts w:hint="eastAsia"/>
          <w:color w:val="auto"/>
          <w:lang w:val="en-US" w:eastAsia="zh-CN"/>
        </w:rPr>
        <w:t>3</w:t>
      </w:r>
      <w:r>
        <w:rPr>
          <w:rFonts w:hint="eastAsia"/>
          <w:color w:val="auto"/>
        </w:rPr>
        <w:t>.1 在投标截止时间前，投标人可以修改或撤回已递交的投标文件。投标人对加密的投标文件进行撤回的，应在“洛阳市电子招投标交易平台”直接进行撤回操作；投标人对加密的投标文件进行修改的，应在投标截止时间前完成上传</w:t>
      </w:r>
      <w:r>
        <w:rPr>
          <w:rFonts w:hint="eastAsia"/>
          <w:color w:val="auto"/>
          <w:lang w:eastAsia="zh-CN"/>
        </w:rPr>
        <w:t>；</w:t>
      </w:r>
    </w:p>
    <w:p>
      <w:pPr>
        <w:pageBreakBefore w:val="0"/>
        <w:widowControl w:val="0"/>
        <w:kinsoku/>
        <w:wordWrap/>
        <w:overflowPunct/>
        <w:topLinePunct w:val="0"/>
        <w:autoSpaceDE/>
        <w:autoSpaceDN/>
        <w:bidi w:val="0"/>
        <w:snapToGrid/>
        <w:spacing w:line="240" w:lineRule="auto"/>
        <w:ind w:firstLine="406" w:firstLineChars="200"/>
        <w:rPr>
          <w:rFonts w:hint="eastAsia"/>
          <w:color w:val="auto"/>
        </w:rPr>
      </w:pPr>
      <w:r>
        <w:rPr>
          <w:rFonts w:hint="eastAsia"/>
          <w:color w:val="auto"/>
          <w:lang w:val="en-US" w:eastAsia="zh-CN"/>
        </w:rPr>
        <w:t>4.3.2 投标人修改投标文件的，应使用规定的投标文件制作工具制作成完整的投标文件，并按照规定进行编制、加密和递交。对采用网上递交的加密的投标文件，以投标截止时间前最后完成上传的文件为准</w:t>
      </w:r>
      <w:r>
        <w:rPr>
          <w:rFonts w:hint="eastAsia"/>
          <w:color w:val="auto"/>
        </w:rPr>
        <w:t>。</w:t>
      </w:r>
    </w:p>
    <w:p>
      <w:pPr>
        <w:pStyle w:val="66"/>
        <w:pageBreakBefore w:val="0"/>
        <w:widowControl w:val="0"/>
        <w:kinsoku/>
        <w:wordWrap/>
        <w:overflowPunct/>
        <w:topLinePunct w:val="0"/>
        <w:autoSpaceDE/>
        <w:autoSpaceDN/>
        <w:bidi w:val="0"/>
        <w:snapToGrid/>
        <w:spacing w:before="0" w:line="240" w:lineRule="auto"/>
        <w:rPr>
          <w:rFonts w:hint="eastAsia"/>
          <w:color w:val="auto"/>
        </w:rPr>
      </w:pPr>
      <w:r>
        <w:rPr>
          <w:rFonts w:hint="eastAsia"/>
          <w:color w:val="auto"/>
        </w:rPr>
        <w:t>5</w:t>
      </w:r>
      <w:r>
        <w:rPr>
          <w:rFonts w:hint="eastAsia"/>
          <w:color w:val="auto"/>
          <w:lang w:eastAsia="zh-CN"/>
        </w:rPr>
        <w:t>、</w:t>
      </w:r>
      <w:r>
        <w:rPr>
          <w:rFonts w:hint="eastAsia"/>
          <w:color w:val="auto"/>
        </w:rPr>
        <w:t>开标</w:t>
      </w:r>
      <w:bookmarkEnd w:id="119"/>
    </w:p>
    <w:p>
      <w:pPr>
        <w:pStyle w:val="69"/>
        <w:pageBreakBefore w:val="0"/>
        <w:widowControl w:val="0"/>
        <w:kinsoku/>
        <w:wordWrap/>
        <w:overflowPunct/>
        <w:topLinePunct w:val="0"/>
        <w:autoSpaceDE/>
        <w:autoSpaceDN/>
        <w:bidi w:val="0"/>
        <w:snapToGrid/>
        <w:spacing w:before="0" w:line="240" w:lineRule="auto"/>
        <w:rPr>
          <w:rFonts w:hint="eastAsia"/>
          <w:color w:val="auto"/>
        </w:rPr>
      </w:pPr>
      <w:r>
        <w:rPr>
          <w:rFonts w:hint="eastAsia"/>
          <w:color w:val="auto"/>
        </w:rPr>
        <w:t>5.1开标时间和地点</w:t>
      </w:r>
    </w:p>
    <w:p>
      <w:pPr>
        <w:pageBreakBefore w:val="0"/>
        <w:widowControl w:val="0"/>
        <w:kinsoku/>
        <w:wordWrap/>
        <w:overflowPunct/>
        <w:topLinePunct w:val="0"/>
        <w:autoSpaceDE/>
        <w:autoSpaceDN/>
        <w:bidi w:val="0"/>
        <w:snapToGrid/>
        <w:spacing w:line="240" w:lineRule="auto"/>
        <w:ind w:firstLine="406" w:firstLineChars="200"/>
        <w:rPr>
          <w:rFonts w:ascii="宋体" w:hAnsi="宋体"/>
          <w:color w:val="auto"/>
          <w:szCs w:val="21"/>
        </w:rPr>
      </w:pPr>
      <w:r>
        <w:rPr>
          <w:rFonts w:ascii="宋体" w:hAnsi="宋体"/>
          <w:color w:val="auto"/>
          <w:szCs w:val="21"/>
        </w:rPr>
        <w:t>招标人在本章第4.2.1项规定的投标截止时间（开标时间）和投标人须知前附表规定的地点公开开标，详见投标人须知前附表。</w:t>
      </w:r>
    </w:p>
    <w:p>
      <w:pPr>
        <w:pStyle w:val="69"/>
        <w:pageBreakBefore w:val="0"/>
        <w:widowControl w:val="0"/>
        <w:kinsoku/>
        <w:wordWrap/>
        <w:overflowPunct/>
        <w:topLinePunct w:val="0"/>
        <w:autoSpaceDE/>
        <w:autoSpaceDN/>
        <w:bidi w:val="0"/>
        <w:snapToGrid/>
        <w:spacing w:before="0" w:line="240" w:lineRule="auto"/>
        <w:rPr>
          <w:rFonts w:hint="eastAsia"/>
          <w:color w:val="auto"/>
        </w:rPr>
      </w:pPr>
      <w:r>
        <w:rPr>
          <w:rFonts w:hint="eastAsia"/>
          <w:color w:val="auto"/>
        </w:rPr>
        <w:t>5.2开标程序</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5.2.1本项目采用远程不见面交易的模式。开标当日，招标人在招标文件规定的时间和地点开标，投标人无需到开标现场参加开标会议，投标人应当在投标截止时间前，登录远程开标大厅选择洛阳市公共资源电子招投标系统进行登录（网址为http://t.cn/A6huPROa），在线准时参加开标活动并进行投标文件解密等。因供应商原因未能解密、解密失败或解密超时的将被拒绝。请参照洛阳市公共资源交易中心首页—办事指南—下载中心—操作手册—《洛阳市公共资源交易中心不见面开标大厅操作手册（投标人）》。</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5.2.2开标时，各投标人应在规定时间内对本单位的投标文件解密。</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5.2.3开标时，招标代理机构将通过洛阳市电子招投标交易平台进行唱标。</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主持人按下列程序进行开标：</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（1）宣布开标纪律；</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（2）公布在投标截止时间前递交投标文件的投标人名称；</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（3）宣布开标人、唱标人、记录人、监标人等有关人员姓名；</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w:t>
      </w:r>
      <w:r>
        <w:rPr>
          <w:color w:val="auto"/>
        </w:rPr>
        <w:t>4</w:t>
      </w:r>
      <w:r>
        <w:rPr>
          <w:rFonts w:hint="eastAsia"/>
          <w:color w:val="auto"/>
        </w:rPr>
        <w:t>）开标前，采购代理机构将提醒投标人代表检查自己的未加密的电子投标文件的上传及加密情况，确认无误后开标；</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（5）按照投标人须知前附表的规定确定并宣布投标文件开标顺序；</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（6）开标时，各投标人应在规定时间内对本单位的投标文件解密。开标时，采购代理机构将通过洛阳市电子招投标交易平台进行唱标。</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w:t>
      </w:r>
      <w:r>
        <w:rPr>
          <w:color w:val="auto"/>
        </w:rPr>
        <w:t>7</w:t>
      </w:r>
      <w:r>
        <w:rPr>
          <w:rFonts w:hint="eastAsia"/>
          <w:color w:val="auto"/>
        </w:rPr>
        <w:t>）按照宣布的开标顺序当众开标，公布投标人名称、投标报价、质量目标、工期及其他内容，并记录在案；</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w:t>
      </w:r>
      <w:r>
        <w:rPr>
          <w:color w:val="auto"/>
        </w:rPr>
        <w:t>8</w:t>
      </w:r>
      <w:r>
        <w:rPr>
          <w:rFonts w:hint="eastAsia"/>
          <w:color w:val="auto"/>
        </w:rPr>
        <w:t>）招标人代表、监标人、记录人等有关人员按具体现场系统情况在开标记录上签字确认；</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（9）开标结束。</w:t>
      </w:r>
    </w:p>
    <w:p>
      <w:pPr>
        <w:pStyle w:val="69"/>
        <w:pageBreakBefore w:val="0"/>
        <w:widowControl w:val="0"/>
        <w:kinsoku/>
        <w:wordWrap/>
        <w:overflowPunct/>
        <w:topLinePunct w:val="0"/>
        <w:autoSpaceDE/>
        <w:autoSpaceDN/>
        <w:bidi w:val="0"/>
        <w:snapToGrid/>
        <w:spacing w:before="0" w:line="240" w:lineRule="auto"/>
        <w:rPr>
          <w:rFonts w:hint="eastAsia"/>
          <w:color w:val="auto"/>
        </w:rPr>
      </w:pPr>
      <w:r>
        <w:rPr>
          <w:rFonts w:hint="eastAsia"/>
          <w:color w:val="auto"/>
        </w:rPr>
        <w:t>5.3 开标异常处理</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当出现以下情况时，应对未开标的中止电子开标，对原有资料及信息作出妥善保密处理，并在恢复正常后及时安排时间开标：</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（1）系统服务器发生故障，无法访问或无法使用系统；</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（2）系统的软件或数据库出现错误，不能进行正常操作；</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（3）系统发现有安全漏洞，有潜在的泄密危险；</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（4）出现断电事故且短时间内无法恢复供电；</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（5）其他无法保证招投标过程正常进行的情形。</w:t>
      </w:r>
    </w:p>
    <w:p>
      <w:pPr>
        <w:pStyle w:val="69"/>
        <w:pageBreakBefore w:val="0"/>
        <w:widowControl w:val="0"/>
        <w:kinsoku/>
        <w:wordWrap/>
        <w:overflowPunct/>
        <w:topLinePunct w:val="0"/>
        <w:autoSpaceDE/>
        <w:autoSpaceDN/>
        <w:bidi w:val="0"/>
        <w:snapToGrid/>
        <w:spacing w:before="0" w:line="240" w:lineRule="auto"/>
        <w:rPr>
          <w:rFonts w:hint="eastAsia"/>
          <w:color w:val="auto"/>
        </w:rPr>
      </w:pPr>
      <w:r>
        <w:rPr>
          <w:rFonts w:hint="eastAsia"/>
          <w:color w:val="auto"/>
        </w:rPr>
        <w:t>5.4</w:t>
      </w:r>
      <w:r>
        <w:rPr>
          <w:rFonts w:hint="eastAsia"/>
          <w:color w:val="auto"/>
          <w:lang w:val="en-US" w:eastAsia="zh-CN"/>
        </w:rPr>
        <w:t xml:space="preserve"> </w:t>
      </w:r>
      <w:r>
        <w:rPr>
          <w:rFonts w:hint="eastAsia"/>
          <w:color w:val="auto"/>
        </w:rPr>
        <w:t>开标异议</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5.4.1投标人对开标有异议的，应当在远程开标大厅现场提出，招标人当场作出答复，并制作记录。</w:t>
      </w:r>
    </w:p>
    <w:p>
      <w:pPr>
        <w:pStyle w:val="69"/>
        <w:pageBreakBefore w:val="0"/>
        <w:widowControl w:val="0"/>
        <w:kinsoku/>
        <w:wordWrap/>
        <w:overflowPunct/>
        <w:topLinePunct w:val="0"/>
        <w:autoSpaceDE/>
        <w:autoSpaceDN/>
        <w:bidi w:val="0"/>
        <w:snapToGrid/>
        <w:spacing w:before="0" w:line="240" w:lineRule="auto"/>
        <w:rPr>
          <w:rFonts w:hint="eastAsia" w:eastAsia="黑体"/>
          <w:color w:val="auto"/>
          <w:lang w:eastAsia="zh-CN"/>
        </w:rPr>
      </w:pPr>
      <w:r>
        <w:rPr>
          <w:rFonts w:hint="eastAsia"/>
          <w:color w:val="auto"/>
        </w:rPr>
        <w:t>5.5 投标人出现下列情况之一者为废标，取消参加评标资格</w:t>
      </w:r>
      <w:r>
        <w:rPr>
          <w:rFonts w:hint="eastAsia"/>
          <w:color w:val="auto"/>
          <w:lang w:eastAsia="zh-CN"/>
        </w:rPr>
        <w:t>：</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5.5.1未按规定提交投标保证金的；</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5.5.2开标时因投标人自身原因而导致投标文件无法导入“洛阳市电子招投标交易平台”电子开标、评标系统的。</w:t>
      </w:r>
    </w:p>
    <w:p>
      <w:pPr>
        <w:pStyle w:val="66"/>
        <w:pageBreakBefore w:val="0"/>
        <w:widowControl w:val="0"/>
        <w:kinsoku/>
        <w:wordWrap/>
        <w:overflowPunct/>
        <w:topLinePunct w:val="0"/>
        <w:autoSpaceDE/>
        <w:autoSpaceDN/>
        <w:bidi w:val="0"/>
        <w:snapToGrid/>
        <w:spacing w:before="0" w:line="240" w:lineRule="auto"/>
        <w:rPr>
          <w:rFonts w:hint="eastAsia"/>
          <w:color w:val="auto"/>
        </w:rPr>
      </w:pPr>
      <w:r>
        <w:rPr>
          <w:rFonts w:hint="eastAsia"/>
          <w:color w:val="auto"/>
        </w:rPr>
        <w:t>6、评标</w:t>
      </w:r>
      <w:bookmarkEnd w:id="120"/>
      <w:bookmarkEnd w:id="121"/>
      <w:bookmarkEnd w:id="122"/>
      <w:bookmarkEnd w:id="123"/>
    </w:p>
    <w:p>
      <w:pPr>
        <w:pStyle w:val="69"/>
        <w:pageBreakBefore w:val="0"/>
        <w:widowControl w:val="0"/>
        <w:kinsoku/>
        <w:wordWrap/>
        <w:overflowPunct/>
        <w:topLinePunct w:val="0"/>
        <w:autoSpaceDE/>
        <w:autoSpaceDN/>
        <w:bidi w:val="0"/>
        <w:snapToGrid/>
        <w:spacing w:before="0" w:line="240" w:lineRule="auto"/>
        <w:rPr>
          <w:rFonts w:hint="eastAsia"/>
          <w:color w:val="auto"/>
        </w:rPr>
      </w:pPr>
      <w:bookmarkStart w:id="133" w:name="_Toc8423563"/>
      <w:bookmarkStart w:id="134" w:name="_Toc144974531"/>
      <w:bookmarkStart w:id="135" w:name="_Toc152045563"/>
      <w:bookmarkStart w:id="136" w:name="_Toc152042339"/>
      <w:r>
        <w:rPr>
          <w:rFonts w:hint="eastAsia"/>
          <w:color w:val="auto"/>
        </w:rPr>
        <w:t>6.1 评标委员会</w:t>
      </w:r>
      <w:bookmarkEnd w:id="133"/>
      <w:bookmarkEnd w:id="134"/>
      <w:bookmarkEnd w:id="135"/>
      <w:bookmarkEnd w:id="136"/>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6.1.2 评标委员会成员有下列情形之一的，应当回避：</w:t>
      </w:r>
    </w:p>
    <w:p>
      <w:pPr>
        <w:pStyle w:val="2"/>
        <w:pageBreakBefore w:val="0"/>
        <w:widowControl w:val="0"/>
        <w:kinsoku/>
        <w:wordWrap/>
        <w:overflowPunct/>
        <w:topLinePunct w:val="0"/>
        <w:autoSpaceDE/>
        <w:autoSpaceDN/>
        <w:bidi w:val="0"/>
        <w:snapToGrid/>
        <w:spacing w:after="0" w:line="240" w:lineRule="auto"/>
        <w:ind w:firstLine="200"/>
        <w:jc w:val="left"/>
        <w:rPr>
          <w:rFonts w:ascii="宋体" w:hAnsi="宋体"/>
          <w:color w:val="auto"/>
        </w:rPr>
      </w:pPr>
      <w:r>
        <w:rPr>
          <w:rFonts w:hint="eastAsia" w:ascii="宋体" w:hAnsi="宋体"/>
          <w:color w:val="auto"/>
        </w:rPr>
        <w:t>（1）招标人或投标人的主要负责人的近亲属；</w:t>
      </w:r>
    </w:p>
    <w:p>
      <w:pPr>
        <w:pStyle w:val="2"/>
        <w:pageBreakBefore w:val="0"/>
        <w:widowControl w:val="0"/>
        <w:kinsoku/>
        <w:wordWrap/>
        <w:overflowPunct/>
        <w:topLinePunct w:val="0"/>
        <w:autoSpaceDE/>
        <w:autoSpaceDN/>
        <w:bidi w:val="0"/>
        <w:snapToGrid/>
        <w:spacing w:after="0" w:line="240" w:lineRule="auto"/>
        <w:ind w:firstLine="200"/>
        <w:jc w:val="left"/>
        <w:rPr>
          <w:rFonts w:ascii="宋体" w:hAnsi="宋体"/>
          <w:color w:val="auto"/>
        </w:rPr>
      </w:pPr>
      <w:r>
        <w:rPr>
          <w:rFonts w:hint="eastAsia" w:ascii="宋体" w:hAnsi="宋体"/>
          <w:color w:val="auto"/>
        </w:rPr>
        <w:t>（2）项目主管部门或者行政监督部门的人员；</w:t>
      </w:r>
    </w:p>
    <w:p>
      <w:pPr>
        <w:pStyle w:val="2"/>
        <w:pageBreakBefore w:val="0"/>
        <w:widowControl w:val="0"/>
        <w:kinsoku/>
        <w:wordWrap/>
        <w:overflowPunct/>
        <w:topLinePunct w:val="0"/>
        <w:autoSpaceDE/>
        <w:autoSpaceDN/>
        <w:bidi w:val="0"/>
        <w:snapToGrid/>
        <w:spacing w:after="0" w:line="240" w:lineRule="auto"/>
        <w:ind w:firstLine="200"/>
        <w:jc w:val="left"/>
        <w:rPr>
          <w:rFonts w:ascii="宋体" w:hAnsi="宋体"/>
          <w:color w:val="auto"/>
        </w:rPr>
      </w:pPr>
      <w:r>
        <w:rPr>
          <w:rFonts w:hint="eastAsia" w:ascii="宋体" w:hAnsi="宋体"/>
          <w:color w:val="auto"/>
        </w:rPr>
        <w:t>（3）与投标人有经济利益关系，可能影响对投标公正评审的；</w:t>
      </w:r>
    </w:p>
    <w:p>
      <w:pPr>
        <w:pStyle w:val="2"/>
        <w:pageBreakBefore w:val="0"/>
        <w:widowControl w:val="0"/>
        <w:kinsoku/>
        <w:wordWrap/>
        <w:overflowPunct/>
        <w:topLinePunct w:val="0"/>
        <w:autoSpaceDE/>
        <w:autoSpaceDN/>
        <w:bidi w:val="0"/>
        <w:snapToGrid/>
        <w:spacing w:after="0" w:line="240" w:lineRule="auto"/>
        <w:ind w:firstLine="200"/>
        <w:jc w:val="left"/>
        <w:rPr>
          <w:rFonts w:ascii="宋体" w:hAnsi="宋体"/>
          <w:color w:val="auto"/>
        </w:rPr>
      </w:pPr>
      <w:r>
        <w:rPr>
          <w:rFonts w:hint="eastAsia" w:ascii="宋体" w:hAnsi="宋体"/>
          <w:color w:val="auto"/>
        </w:rPr>
        <w:t>（4）曾因在招标、评标以及其他与招标投标有关活动中从事违法行为而受过行政 处罚或刑事处罚的；</w:t>
      </w:r>
    </w:p>
    <w:p>
      <w:pPr>
        <w:pageBreakBefore w:val="0"/>
        <w:widowControl w:val="0"/>
        <w:kinsoku/>
        <w:wordWrap/>
        <w:overflowPunct/>
        <w:topLinePunct w:val="0"/>
        <w:autoSpaceDE/>
        <w:autoSpaceDN/>
        <w:bidi w:val="0"/>
        <w:snapToGrid/>
        <w:spacing w:line="240" w:lineRule="auto"/>
        <w:ind w:firstLine="203" w:firstLineChars="100"/>
        <w:rPr>
          <w:color w:val="auto"/>
        </w:rPr>
      </w:pPr>
      <w:r>
        <w:rPr>
          <w:rFonts w:hint="eastAsia" w:ascii="宋体" w:hAnsi="宋体"/>
          <w:color w:val="auto"/>
        </w:rPr>
        <w:t>（5）与投标人有其他利害关系。</w:t>
      </w:r>
    </w:p>
    <w:p>
      <w:pPr>
        <w:pStyle w:val="69"/>
        <w:pageBreakBefore w:val="0"/>
        <w:widowControl w:val="0"/>
        <w:kinsoku/>
        <w:wordWrap/>
        <w:overflowPunct/>
        <w:topLinePunct w:val="0"/>
        <w:autoSpaceDE/>
        <w:autoSpaceDN/>
        <w:bidi w:val="0"/>
        <w:snapToGrid/>
        <w:spacing w:before="0" w:line="240" w:lineRule="auto"/>
        <w:rPr>
          <w:rFonts w:hint="eastAsia"/>
          <w:color w:val="auto"/>
        </w:rPr>
      </w:pPr>
      <w:bookmarkStart w:id="137" w:name="_Toc152042340"/>
      <w:bookmarkStart w:id="138" w:name="_Toc152045564"/>
      <w:bookmarkStart w:id="139" w:name="_Toc144974532"/>
      <w:bookmarkStart w:id="140" w:name="_Toc8423564"/>
      <w:r>
        <w:rPr>
          <w:rFonts w:hint="eastAsia"/>
          <w:color w:val="auto"/>
        </w:rPr>
        <w:t>6.2 评标原则</w:t>
      </w:r>
      <w:bookmarkEnd w:id="137"/>
      <w:bookmarkEnd w:id="138"/>
      <w:bookmarkEnd w:id="139"/>
      <w:bookmarkEnd w:id="140"/>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评标活动遵循公平、公正、科学和择优的原则。</w:t>
      </w:r>
    </w:p>
    <w:p>
      <w:pPr>
        <w:pStyle w:val="69"/>
        <w:pageBreakBefore w:val="0"/>
        <w:widowControl w:val="0"/>
        <w:kinsoku/>
        <w:wordWrap/>
        <w:overflowPunct/>
        <w:topLinePunct w:val="0"/>
        <w:autoSpaceDE/>
        <w:autoSpaceDN/>
        <w:bidi w:val="0"/>
        <w:snapToGrid/>
        <w:spacing w:before="0" w:line="240" w:lineRule="auto"/>
        <w:rPr>
          <w:rFonts w:hint="eastAsia"/>
          <w:color w:val="auto"/>
        </w:rPr>
      </w:pPr>
      <w:bookmarkStart w:id="141" w:name="_Toc152045565"/>
      <w:bookmarkStart w:id="142" w:name="_Toc152042341"/>
      <w:bookmarkStart w:id="143" w:name="_Toc8423565"/>
      <w:bookmarkStart w:id="144" w:name="_Toc144974533"/>
      <w:r>
        <w:rPr>
          <w:rFonts w:hint="eastAsia"/>
          <w:color w:val="auto"/>
        </w:rPr>
        <w:t>6.3 评标</w:t>
      </w:r>
      <w:bookmarkEnd w:id="141"/>
      <w:bookmarkEnd w:id="142"/>
      <w:bookmarkEnd w:id="143"/>
      <w:bookmarkEnd w:id="144"/>
      <w:r>
        <w:rPr>
          <w:rFonts w:hint="eastAsia"/>
          <w:color w:val="auto"/>
        </w:rPr>
        <w:t>办法</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6.3.1 评标委员会按照第三章“评标办法”规定的方法、评审因素、标准和程序对投标文件进行评审。第三章“评标办法”没有规定的方法、评审因素和标准，不作为评标依据；</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6.3.2 评标完成后，评标委员会应当向招标人提交书面评标报告和中标候选人名单。评标委员会推荐中标候选人的人数见投标人须知前附表；</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6.3.3本次招标采用电子化评标，如“洛阳市电子招投标交易平台”系统出现故障，导致无法继续评审工作的，可暂停评标，对原有资料及信息作出妥善保密处理，待电子评标系统恢复正常之后组织评审。</w:t>
      </w:r>
    </w:p>
    <w:p>
      <w:pPr>
        <w:pStyle w:val="66"/>
        <w:pageBreakBefore w:val="0"/>
        <w:widowControl w:val="0"/>
        <w:kinsoku/>
        <w:wordWrap/>
        <w:overflowPunct/>
        <w:topLinePunct w:val="0"/>
        <w:autoSpaceDE/>
        <w:autoSpaceDN/>
        <w:bidi w:val="0"/>
        <w:snapToGrid/>
        <w:spacing w:before="0" w:line="240" w:lineRule="auto"/>
        <w:rPr>
          <w:rFonts w:hint="eastAsia"/>
          <w:color w:val="auto"/>
        </w:rPr>
      </w:pPr>
      <w:bookmarkStart w:id="145" w:name="_Toc13556"/>
      <w:r>
        <w:rPr>
          <w:rFonts w:hint="eastAsia"/>
          <w:color w:val="auto"/>
          <w:lang w:val="en-US" w:eastAsia="zh-CN"/>
        </w:rPr>
        <w:t>7、</w:t>
      </w:r>
      <w:r>
        <w:rPr>
          <w:rFonts w:hint="eastAsia"/>
          <w:color w:val="auto"/>
        </w:rPr>
        <w:t>合同授予</w:t>
      </w:r>
      <w:bookmarkEnd w:id="145"/>
    </w:p>
    <w:p>
      <w:pPr>
        <w:pStyle w:val="69"/>
        <w:pageBreakBefore w:val="0"/>
        <w:widowControl w:val="0"/>
        <w:kinsoku/>
        <w:wordWrap/>
        <w:overflowPunct/>
        <w:topLinePunct w:val="0"/>
        <w:autoSpaceDE/>
        <w:autoSpaceDN/>
        <w:bidi w:val="0"/>
        <w:snapToGrid/>
        <w:spacing w:before="0" w:line="240" w:lineRule="auto"/>
        <w:rPr>
          <w:rFonts w:hint="eastAsia"/>
          <w:color w:val="auto"/>
        </w:rPr>
      </w:pPr>
      <w:r>
        <w:rPr>
          <w:rFonts w:hint="eastAsia"/>
          <w:color w:val="auto"/>
        </w:rPr>
        <w:t>7.1  定标方式</w:t>
      </w:r>
    </w:p>
    <w:p>
      <w:pPr>
        <w:pageBreakBefore w:val="0"/>
        <w:widowControl w:val="0"/>
        <w:kinsoku/>
        <w:wordWrap/>
        <w:overflowPunct/>
        <w:topLinePunct w:val="0"/>
        <w:autoSpaceDE/>
        <w:autoSpaceDN/>
        <w:bidi w:val="0"/>
        <w:adjustRightInd w:val="0"/>
        <w:snapToGrid/>
        <w:spacing w:line="240" w:lineRule="auto"/>
        <w:ind w:firstLine="406" w:firstLineChars="200"/>
        <w:jc w:val="left"/>
        <w:textAlignment w:val="baseline"/>
        <w:rPr>
          <w:color w:val="auto"/>
          <w:szCs w:val="21"/>
        </w:rPr>
      </w:pPr>
      <w:r>
        <w:rPr>
          <w:rFonts w:hint="eastAsia"/>
          <w:color w:val="auto"/>
          <w:szCs w:val="21"/>
        </w:rPr>
        <w:t>招标人依据评标委员会推荐的中标候选人确定中标人，评标委员会推荐中标候选人的人数见投标人须知前附表。</w:t>
      </w:r>
    </w:p>
    <w:p>
      <w:pPr>
        <w:pStyle w:val="69"/>
        <w:pageBreakBefore w:val="0"/>
        <w:widowControl w:val="0"/>
        <w:kinsoku/>
        <w:wordWrap/>
        <w:overflowPunct/>
        <w:topLinePunct w:val="0"/>
        <w:autoSpaceDE/>
        <w:autoSpaceDN/>
        <w:bidi w:val="0"/>
        <w:snapToGrid/>
        <w:spacing w:before="0" w:line="240" w:lineRule="auto"/>
        <w:rPr>
          <w:rFonts w:hint="eastAsia"/>
          <w:color w:val="auto"/>
        </w:rPr>
      </w:pPr>
      <w:bookmarkStart w:id="146" w:name="_Toc179632586"/>
      <w:bookmarkStart w:id="147" w:name="_Toc144974536"/>
      <w:bookmarkStart w:id="148" w:name="_Toc152042344"/>
      <w:bookmarkStart w:id="149" w:name="_Toc152045568"/>
      <w:r>
        <w:rPr>
          <w:rFonts w:hint="eastAsia"/>
          <w:color w:val="auto"/>
        </w:rPr>
        <w:t>7.2 中标通知</w:t>
      </w:r>
      <w:bookmarkEnd w:id="146"/>
      <w:bookmarkEnd w:id="147"/>
      <w:bookmarkEnd w:id="148"/>
      <w:bookmarkEnd w:id="149"/>
    </w:p>
    <w:p>
      <w:pPr>
        <w:pStyle w:val="20"/>
        <w:pageBreakBefore w:val="0"/>
        <w:widowControl w:val="0"/>
        <w:kinsoku/>
        <w:wordWrap/>
        <w:overflowPunct/>
        <w:topLinePunct w:val="0"/>
        <w:autoSpaceDE/>
        <w:autoSpaceDN/>
        <w:bidi w:val="0"/>
        <w:snapToGrid/>
        <w:spacing w:line="240" w:lineRule="auto"/>
        <w:ind w:firstLine="406" w:firstLineChars="200"/>
        <w:jc w:val="left"/>
        <w:rPr>
          <w:rFonts w:hint="eastAsia" w:hAnsi="宋体" w:cs="宋体"/>
          <w:color w:val="auto"/>
          <w:sz w:val="24"/>
          <w:szCs w:val="24"/>
        </w:rPr>
      </w:pPr>
      <w:r>
        <w:rPr>
          <w:rFonts w:hint="eastAsia" w:ascii="Times New Roman" w:hAnsi="Times New Roman" w:eastAsia="宋体" w:cs="Times New Roman"/>
          <w:color w:val="auto"/>
          <w:kern w:val="2"/>
          <w:sz w:val="21"/>
          <w:szCs w:val="21"/>
          <w:lang w:val="en-US" w:eastAsia="zh-CN" w:bidi="ar-SA"/>
        </w:rPr>
        <w:t>在本章第3.3款规定的投标有效期内，招标人或招标代理机构向中标人发出中标通知书，同时将中标结果通知未中标的投标人。</w:t>
      </w:r>
    </w:p>
    <w:p>
      <w:pPr>
        <w:pStyle w:val="69"/>
        <w:pageBreakBefore w:val="0"/>
        <w:widowControl w:val="0"/>
        <w:kinsoku/>
        <w:wordWrap/>
        <w:overflowPunct/>
        <w:topLinePunct w:val="0"/>
        <w:autoSpaceDE/>
        <w:autoSpaceDN/>
        <w:bidi w:val="0"/>
        <w:snapToGrid/>
        <w:spacing w:before="0" w:line="240" w:lineRule="auto"/>
        <w:rPr>
          <w:rFonts w:hint="eastAsia"/>
          <w:color w:val="auto"/>
        </w:rPr>
      </w:pPr>
      <w:bookmarkStart w:id="150" w:name="_Toc144974538"/>
      <w:bookmarkStart w:id="151" w:name="_Toc152045570"/>
      <w:bookmarkStart w:id="152" w:name="_Toc152042346"/>
      <w:bookmarkStart w:id="153" w:name="_Toc179632588"/>
      <w:r>
        <w:rPr>
          <w:rFonts w:hint="eastAsia"/>
          <w:color w:val="auto"/>
        </w:rPr>
        <w:t>7.3签订合同</w:t>
      </w:r>
      <w:bookmarkEnd w:id="150"/>
      <w:bookmarkEnd w:id="151"/>
      <w:bookmarkEnd w:id="152"/>
      <w:bookmarkEnd w:id="153"/>
    </w:p>
    <w:p>
      <w:pPr>
        <w:pStyle w:val="20"/>
        <w:pageBreakBefore w:val="0"/>
        <w:widowControl w:val="0"/>
        <w:kinsoku/>
        <w:wordWrap/>
        <w:overflowPunct/>
        <w:topLinePunct w:val="0"/>
        <w:autoSpaceDE/>
        <w:autoSpaceDN/>
        <w:bidi w:val="0"/>
        <w:snapToGrid/>
        <w:spacing w:line="240" w:lineRule="auto"/>
        <w:ind w:firstLine="406" w:firstLineChars="200"/>
        <w:jc w:val="left"/>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7.3.1招标人和中标人应当自中标通知书发出之日起</w:t>
      </w:r>
      <w:r>
        <w:rPr>
          <w:rFonts w:hint="eastAsia" w:ascii="Times New Roman" w:hAnsi="Times New Roman" w:cs="Times New Roman"/>
          <w:color w:val="auto"/>
          <w:kern w:val="2"/>
          <w:sz w:val="21"/>
          <w:szCs w:val="21"/>
          <w:lang w:val="en-US" w:eastAsia="zh-CN" w:bidi="ar-SA"/>
        </w:rPr>
        <w:t>15</w:t>
      </w:r>
      <w:r>
        <w:rPr>
          <w:rFonts w:hint="eastAsia" w:ascii="Times New Roman" w:hAnsi="Times New Roman" w:eastAsia="宋体" w:cs="Times New Roman"/>
          <w:color w:val="auto"/>
          <w:kern w:val="2"/>
          <w:sz w:val="21"/>
          <w:szCs w:val="21"/>
          <w:lang w:val="en-US" w:eastAsia="zh-CN" w:bidi="ar-SA"/>
        </w:rPr>
        <w:t xml:space="preserve">天内，根据招标文件和中标人的投标文件订立书面合同。中标人无正当理由拒签合同的，招标人取消其中标资格，其投标保证金不予退还；给招标人造成的损失超过投标保证金数额的，中标人还应当对超过部分予以赔偿。 </w:t>
      </w:r>
    </w:p>
    <w:p>
      <w:pPr>
        <w:pStyle w:val="20"/>
        <w:pageBreakBefore w:val="0"/>
        <w:widowControl w:val="0"/>
        <w:kinsoku/>
        <w:wordWrap/>
        <w:overflowPunct/>
        <w:topLinePunct w:val="0"/>
        <w:autoSpaceDE/>
        <w:autoSpaceDN/>
        <w:bidi w:val="0"/>
        <w:snapToGrid/>
        <w:spacing w:line="240" w:lineRule="auto"/>
        <w:ind w:firstLine="406" w:firstLineChars="200"/>
        <w:jc w:val="left"/>
        <w:rPr>
          <w:rFonts w:hint="eastAsia" w:ascii="Times New Roman" w:hAnsi="Times New Roman" w:eastAsia="宋体" w:cs="Times New Roman"/>
          <w:color w:val="auto"/>
          <w:kern w:val="2"/>
          <w:sz w:val="21"/>
          <w:szCs w:val="21"/>
          <w:lang w:val="en-US" w:eastAsia="zh-CN" w:bidi="ar-SA"/>
        </w:rPr>
      </w:pPr>
      <w:bookmarkStart w:id="154" w:name="_Toc461180362"/>
      <w:r>
        <w:rPr>
          <w:rFonts w:hint="eastAsia" w:ascii="Times New Roman" w:hAnsi="Times New Roman" w:eastAsia="宋体" w:cs="Times New Roman"/>
          <w:color w:val="auto"/>
          <w:kern w:val="2"/>
          <w:sz w:val="21"/>
          <w:szCs w:val="21"/>
          <w:lang w:val="en-US" w:eastAsia="zh-CN" w:bidi="ar-SA"/>
        </w:rPr>
        <w:t>7.3.2 发出中标通知书后，招标人无正当理由拒签合同的，招标人向中标人退还投标保证金；给中标人造成损失的，还应当赔偿损失。</w:t>
      </w:r>
      <w:bookmarkEnd w:id="154"/>
    </w:p>
    <w:p>
      <w:pPr>
        <w:pStyle w:val="66"/>
        <w:pageBreakBefore w:val="0"/>
        <w:widowControl w:val="0"/>
        <w:kinsoku/>
        <w:wordWrap/>
        <w:overflowPunct/>
        <w:topLinePunct w:val="0"/>
        <w:autoSpaceDE/>
        <w:autoSpaceDN/>
        <w:bidi w:val="0"/>
        <w:snapToGrid/>
        <w:spacing w:before="0" w:line="240" w:lineRule="auto"/>
        <w:rPr>
          <w:rFonts w:hint="eastAsia"/>
          <w:color w:val="auto"/>
        </w:rPr>
      </w:pPr>
      <w:bookmarkStart w:id="155" w:name="_Toc8423571"/>
      <w:bookmarkStart w:id="156" w:name="_Toc152042347"/>
      <w:bookmarkStart w:id="157" w:name="_Toc144974539"/>
      <w:bookmarkStart w:id="158" w:name="_Toc152045571"/>
      <w:r>
        <w:rPr>
          <w:rFonts w:hint="eastAsia"/>
          <w:color w:val="auto"/>
        </w:rPr>
        <w:t>8、重新招标和不再招标</w:t>
      </w:r>
      <w:bookmarkEnd w:id="155"/>
      <w:bookmarkEnd w:id="156"/>
      <w:bookmarkEnd w:id="157"/>
      <w:bookmarkEnd w:id="158"/>
    </w:p>
    <w:p>
      <w:pPr>
        <w:pStyle w:val="69"/>
        <w:pageBreakBefore w:val="0"/>
        <w:widowControl w:val="0"/>
        <w:kinsoku/>
        <w:wordWrap/>
        <w:overflowPunct/>
        <w:topLinePunct w:val="0"/>
        <w:autoSpaceDE/>
        <w:autoSpaceDN/>
        <w:bidi w:val="0"/>
        <w:snapToGrid/>
        <w:spacing w:before="0" w:line="240" w:lineRule="auto"/>
        <w:rPr>
          <w:rFonts w:hint="eastAsia"/>
          <w:color w:val="auto"/>
        </w:rPr>
      </w:pPr>
      <w:bookmarkStart w:id="159" w:name="_Toc8423572"/>
      <w:bookmarkStart w:id="160" w:name="_Toc144974540"/>
      <w:bookmarkStart w:id="161" w:name="_Toc152045572"/>
      <w:bookmarkStart w:id="162" w:name="_Toc152042348"/>
      <w:r>
        <w:rPr>
          <w:rFonts w:hint="eastAsia"/>
          <w:color w:val="auto"/>
        </w:rPr>
        <w:t>8.1 重新招标</w:t>
      </w:r>
      <w:bookmarkEnd w:id="159"/>
      <w:bookmarkEnd w:id="160"/>
      <w:bookmarkEnd w:id="161"/>
      <w:bookmarkEnd w:id="162"/>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有下列情形之一的，招标人将重新招标：</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bookmarkStart w:id="163" w:name="_Toc152045573"/>
      <w:bookmarkStart w:id="164" w:name="_Toc152042349"/>
      <w:bookmarkStart w:id="165" w:name="_Toc8423573"/>
      <w:bookmarkStart w:id="166" w:name="_Toc144974541"/>
      <w:r>
        <w:rPr>
          <w:rFonts w:hint="eastAsia" w:ascii="宋体" w:hAnsi="宋体"/>
          <w:color w:val="auto"/>
          <w:szCs w:val="22"/>
        </w:rPr>
        <w:t>（1）投标截止时间止，投标人少于3个的；</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（2）经评标委员会评审后否决所有投标的；</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（3）根据本招标文件规定否决不合格投标或者界定为废标后，有效投标不足三个的，招标人应当依法重新招标。</w:t>
      </w:r>
    </w:p>
    <w:p>
      <w:pPr>
        <w:pStyle w:val="69"/>
        <w:pageBreakBefore w:val="0"/>
        <w:widowControl w:val="0"/>
        <w:kinsoku/>
        <w:wordWrap/>
        <w:overflowPunct/>
        <w:topLinePunct w:val="0"/>
        <w:autoSpaceDE/>
        <w:autoSpaceDN/>
        <w:bidi w:val="0"/>
        <w:snapToGrid/>
        <w:spacing w:before="0" w:line="240" w:lineRule="auto"/>
        <w:rPr>
          <w:color w:val="auto"/>
        </w:rPr>
      </w:pPr>
      <w:r>
        <w:rPr>
          <w:rFonts w:hint="eastAsia"/>
          <w:color w:val="auto"/>
        </w:rPr>
        <w:t>8.2 不再招标</w:t>
      </w:r>
      <w:bookmarkEnd w:id="163"/>
      <w:bookmarkEnd w:id="164"/>
      <w:bookmarkEnd w:id="165"/>
      <w:bookmarkEnd w:id="166"/>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重新招标后投标人仍少于3个或者所有投标被否决的，属于必须审批或核准的工程建设项目，经原审批或核准部门批准后不再进行招标。</w:t>
      </w:r>
    </w:p>
    <w:p>
      <w:pPr>
        <w:pStyle w:val="66"/>
        <w:pageBreakBefore w:val="0"/>
        <w:widowControl w:val="0"/>
        <w:kinsoku/>
        <w:wordWrap/>
        <w:overflowPunct/>
        <w:topLinePunct w:val="0"/>
        <w:autoSpaceDE/>
        <w:autoSpaceDN/>
        <w:bidi w:val="0"/>
        <w:snapToGrid/>
        <w:spacing w:before="0" w:line="240" w:lineRule="auto"/>
        <w:rPr>
          <w:rFonts w:hint="eastAsia"/>
          <w:color w:val="auto"/>
        </w:rPr>
      </w:pPr>
      <w:bookmarkStart w:id="167" w:name="_Toc152042350"/>
      <w:bookmarkStart w:id="168" w:name="_Toc152045574"/>
      <w:bookmarkStart w:id="169" w:name="_Toc10472"/>
      <w:bookmarkStart w:id="170" w:name="_Toc21660"/>
      <w:bookmarkStart w:id="171" w:name="_Toc12536"/>
      <w:bookmarkStart w:id="172" w:name="_Toc453862260"/>
      <w:bookmarkStart w:id="173" w:name="_Toc144974542"/>
      <w:bookmarkStart w:id="174" w:name="_Toc179632592"/>
      <w:bookmarkStart w:id="175" w:name="_Toc12556"/>
      <w:r>
        <w:rPr>
          <w:rFonts w:hint="eastAsia"/>
          <w:color w:val="auto"/>
        </w:rPr>
        <w:t>9. 纪律和监督</w:t>
      </w:r>
      <w:bookmarkEnd w:id="167"/>
      <w:bookmarkEnd w:id="168"/>
      <w:bookmarkEnd w:id="169"/>
      <w:bookmarkEnd w:id="170"/>
      <w:bookmarkEnd w:id="171"/>
      <w:bookmarkEnd w:id="172"/>
      <w:bookmarkEnd w:id="173"/>
      <w:bookmarkEnd w:id="174"/>
      <w:bookmarkEnd w:id="175"/>
    </w:p>
    <w:p>
      <w:pPr>
        <w:pStyle w:val="69"/>
        <w:pageBreakBefore w:val="0"/>
        <w:widowControl w:val="0"/>
        <w:kinsoku/>
        <w:wordWrap/>
        <w:overflowPunct/>
        <w:topLinePunct w:val="0"/>
        <w:autoSpaceDE/>
        <w:autoSpaceDN/>
        <w:bidi w:val="0"/>
        <w:snapToGrid/>
        <w:spacing w:before="0" w:line="240" w:lineRule="auto"/>
        <w:rPr>
          <w:rFonts w:hint="eastAsia"/>
          <w:color w:val="auto"/>
        </w:rPr>
      </w:pPr>
      <w:bookmarkStart w:id="176" w:name="_Toc152045575"/>
      <w:bookmarkStart w:id="177" w:name="_Toc144974543"/>
      <w:bookmarkStart w:id="178" w:name="_Toc179632593"/>
      <w:bookmarkStart w:id="179" w:name="_Toc152042351"/>
      <w:r>
        <w:rPr>
          <w:rFonts w:hint="eastAsia"/>
          <w:color w:val="auto"/>
        </w:rPr>
        <w:t>9.1 对招标人的纪律要求</w:t>
      </w:r>
      <w:bookmarkEnd w:id="176"/>
      <w:bookmarkEnd w:id="177"/>
      <w:bookmarkEnd w:id="178"/>
      <w:bookmarkEnd w:id="179"/>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9.1.1不得以不合理的条件对投标人实行差别待遇或者歧视待遇，排斥其他投标人公平参与竞争；</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9.1.2不得与投标人或招标代理机构串通损害国家利益、社会公共利益或者他人合法权益；</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9.1.3不得诱导、干预或影响评标委员会依法依规评标，不得诱导、干预或影响评标专家依法依规独立评标；</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9.1.4不得泄漏招标投标活动中应当保密的情况和资料；</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9.1.5不得接受投标人或招标代理机构的贿赂，或获取其他不正当利益；</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9.1.6不得无正当理拒绝与中标人签订合同；</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9.1.7参与采购活动的相关人员与投标人有利害关系的应当回避；</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9.1.8采购过程中，不得有其他违法违规行为。</w:t>
      </w:r>
    </w:p>
    <w:p>
      <w:pPr>
        <w:pStyle w:val="69"/>
        <w:pageBreakBefore w:val="0"/>
        <w:widowControl w:val="0"/>
        <w:kinsoku/>
        <w:wordWrap/>
        <w:overflowPunct/>
        <w:topLinePunct w:val="0"/>
        <w:autoSpaceDE/>
        <w:autoSpaceDN/>
        <w:bidi w:val="0"/>
        <w:snapToGrid/>
        <w:spacing w:before="0" w:line="240" w:lineRule="auto"/>
        <w:rPr>
          <w:rFonts w:hint="eastAsia"/>
          <w:color w:val="auto"/>
        </w:rPr>
      </w:pPr>
      <w:bookmarkStart w:id="180" w:name="_Toc1660927"/>
      <w:bookmarkStart w:id="181" w:name="_Toc21140"/>
      <w:r>
        <w:rPr>
          <w:rFonts w:hint="eastAsia"/>
          <w:color w:val="auto"/>
        </w:rPr>
        <w:t>9.2 对投标人的纪律要求</w:t>
      </w:r>
      <w:bookmarkEnd w:id="180"/>
      <w:bookmarkEnd w:id="181"/>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9.2.1不得以他人名义投标；</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9.2.2投标人不得相互串通投标，不得与招标人、与招标代理机构串通投标；</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9.2.3不得向招标人或者评标委员会成员行贿，或提供其他不正当利益谋取中标；</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9.2.4不得弄虚作假骗取中标，不得虚假应标，不得恶意低价抢标；</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9.2.5投标人不得以任何方式干扰、影响评标工作；</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9.2.6不得无正当理由弃标或中标后拒绝与招标人签订合同；</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9.2.7不得恶意诋毁其他投标人、招标人或招标代理机构；</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9.2.8在参与政府采购活动中，不得有其他违法违规行为。</w:t>
      </w:r>
    </w:p>
    <w:p>
      <w:pPr>
        <w:pStyle w:val="69"/>
        <w:pageBreakBefore w:val="0"/>
        <w:widowControl w:val="0"/>
        <w:kinsoku/>
        <w:wordWrap/>
        <w:overflowPunct/>
        <w:topLinePunct w:val="0"/>
        <w:autoSpaceDE/>
        <w:autoSpaceDN/>
        <w:bidi w:val="0"/>
        <w:snapToGrid/>
        <w:spacing w:before="0" w:line="240" w:lineRule="auto"/>
        <w:rPr>
          <w:rFonts w:hint="eastAsia"/>
          <w:color w:val="auto"/>
        </w:rPr>
      </w:pPr>
      <w:bookmarkStart w:id="182" w:name="_Toc1660928"/>
      <w:bookmarkStart w:id="183" w:name="_Toc7497"/>
      <w:r>
        <w:rPr>
          <w:rFonts w:hint="eastAsia"/>
          <w:color w:val="auto"/>
        </w:rPr>
        <w:t>9.3 对评标委员会成员的纪律要求</w:t>
      </w:r>
      <w:bookmarkEnd w:id="182"/>
      <w:bookmarkEnd w:id="183"/>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9.3.1确定参与评标至评标结束前，不得私自接触投标人；</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9.3.2不得与投标人或招标代理机构串通损害国家利益、社会公共利益或者他人合法权益；</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9.3.3不得接受投标人主动提出的与投标文件不一致的澄清和说明；</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9.3.4不得征询招标人的倾向性意见；</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9.3.5不得对主观评审因素协商评分；</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9.3.6不得对客观评审因素评分不一致；</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9.3.7评标委员会成员不得接受投标人、招标人和招标代理机构等他人的贿赂或者其他不正当利益；</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9.3.8不得以不合理的条件对投标人实行差别待遇或者歧视待遇，排斥其他投标人公平参与竞争；</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9.3.9不得使用招标文件没有规定的评标方法和评标标准进行评标；</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9.3.10不得诱导、干预或影响其他评标专家依法依规独立评标；</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9.3.11在评标活动中，评标委员会成员不得擅离职守，影响评标工作正常进行；</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9.3.12不得记录、复制或带走任何评标资料；</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9.3.11不得泄露评标过程中获悉的对投标文件的评审和比较、中标候选人的推荐情况以及与评标有关的应当保密的情况和资料；</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9.3.13评标委员会成员与投标人存在利害关系应当回避；</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9.3.14在参与政府采购评标活动中，不得有其他违法违规行为。</w:t>
      </w:r>
    </w:p>
    <w:p>
      <w:pPr>
        <w:pStyle w:val="69"/>
        <w:pageBreakBefore w:val="0"/>
        <w:widowControl w:val="0"/>
        <w:kinsoku/>
        <w:wordWrap/>
        <w:overflowPunct/>
        <w:topLinePunct w:val="0"/>
        <w:autoSpaceDE/>
        <w:autoSpaceDN/>
        <w:bidi w:val="0"/>
        <w:snapToGrid/>
        <w:spacing w:before="0" w:line="240" w:lineRule="auto"/>
        <w:rPr>
          <w:rFonts w:hint="eastAsia"/>
          <w:color w:val="auto"/>
        </w:rPr>
      </w:pPr>
      <w:bookmarkStart w:id="184" w:name="_Toc1660929"/>
      <w:r>
        <w:rPr>
          <w:rFonts w:hint="eastAsia"/>
          <w:color w:val="auto"/>
        </w:rPr>
        <w:t>9.4 对与评标活动有关的工作人员的纪律要求</w:t>
      </w:r>
      <w:bookmarkEnd w:id="184"/>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9.4.1不得接受投标人、招标人和招标代理机构等他人的贿赂或者其他不正当利益；</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9.4.2不得与投标人、招标代理机构或评标专家串通损害国家利益、社会公共利益或者他人合法权益；</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9.4.3不得以不合理的条件对投标人实行差别待遇或者歧视待遇，排斥其他投标人公平参与竞争；</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9.4.4不得诱导、干预或影响评标委员会及其成员依法依规独立评标；</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9.4.5不得擅离职守，影响评标工作正常进行；</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9.4.6不得泄漏采购活动中应当保密的情况和资料；</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9.4.7与投标人有利害关系的应当回避；</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9.4.8在参与或服务政府采购活动中，不得有其他违法违规行为。</w:t>
      </w:r>
    </w:p>
    <w:p>
      <w:pPr>
        <w:pStyle w:val="69"/>
        <w:pageBreakBefore w:val="0"/>
        <w:widowControl w:val="0"/>
        <w:kinsoku/>
        <w:wordWrap/>
        <w:overflowPunct/>
        <w:topLinePunct w:val="0"/>
        <w:autoSpaceDE/>
        <w:autoSpaceDN/>
        <w:bidi w:val="0"/>
        <w:snapToGrid/>
        <w:spacing w:before="0" w:line="240" w:lineRule="auto"/>
        <w:rPr>
          <w:rFonts w:hint="eastAsia"/>
          <w:color w:val="auto"/>
        </w:rPr>
      </w:pPr>
      <w:bookmarkStart w:id="185" w:name="_Toc1660930"/>
      <w:r>
        <w:rPr>
          <w:rFonts w:hint="eastAsia"/>
          <w:color w:val="auto"/>
        </w:rPr>
        <w:t>9.5质疑和投诉</w:t>
      </w:r>
      <w:bookmarkEnd w:id="185"/>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9.5.1 投标人或者其他利害关系人认为招标投标活动不符合法律、行政法规规定的，可以自知道或者应当知道之日起10日内向有关行政监督部门投诉。投诉应当有明确的请求和必要的证明材料。</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9.5.2 投标人或者其他利害关系人对招标文件、开标和评标结果提出投诉的，应当按照投标人须知第2.4款、第5.4款和第7.2款的规定先向招标人提出异议。异议答复期间不计算在第8.5.1项规定的期限内。</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9.5.3质疑和投诉应有具体的质疑（投诉）事项和必要的证明材料或事实根据，投标人对其质疑和投诉内容的真实性及其来源的合法性承担法律责任。</w:t>
      </w:r>
    </w:p>
    <w:p>
      <w:pPr>
        <w:pStyle w:val="66"/>
        <w:pageBreakBefore w:val="0"/>
        <w:widowControl w:val="0"/>
        <w:kinsoku/>
        <w:wordWrap/>
        <w:overflowPunct/>
        <w:topLinePunct w:val="0"/>
        <w:autoSpaceDE/>
        <w:autoSpaceDN/>
        <w:bidi w:val="0"/>
        <w:snapToGrid/>
        <w:spacing w:before="0" w:line="240" w:lineRule="auto"/>
        <w:rPr>
          <w:rFonts w:hint="eastAsia"/>
          <w:color w:val="auto"/>
        </w:rPr>
      </w:pPr>
      <w:bookmarkStart w:id="186" w:name="_Toc25324"/>
      <w:r>
        <w:rPr>
          <w:rFonts w:hint="eastAsia"/>
          <w:color w:val="auto"/>
        </w:rPr>
        <w:t>10.需要补充的其他内容</w:t>
      </w:r>
      <w:bookmarkEnd w:id="186"/>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需要补充的其他内容：见投标人须知前附表。</w:t>
      </w:r>
    </w:p>
    <w:p>
      <w:pPr>
        <w:pStyle w:val="69"/>
        <w:outlineLvl w:val="1"/>
        <w:rPr>
          <w:color w:val="auto"/>
        </w:rPr>
      </w:pPr>
      <w:bookmarkStart w:id="187" w:name="_Toc152045582"/>
      <w:bookmarkStart w:id="188" w:name="_Toc8423582"/>
      <w:bookmarkStart w:id="189" w:name="_Toc144974549"/>
      <w:bookmarkStart w:id="190" w:name="_Toc152042359"/>
      <w:r>
        <w:rPr>
          <w:color w:val="auto"/>
        </w:rPr>
        <w:br w:type="page"/>
      </w:r>
      <w:r>
        <w:rPr>
          <w:color w:val="auto"/>
        </w:rPr>
        <w:t>附表</w:t>
      </w:r>
      <w:r>
        <w:rPr>
          <w:rFonts w:hint="eastAsia"/>
          <w:color w:val="auto"/>
        </w:rPr>
        <w:t>一</w:t>
      </w:r>
      <w:r>
        <w:rPr>
          <w:color w:val="auto"/>
        </w:rPr>
        <w:t>：问题澄清通知</w:t>
      </w:r>
      <w:bookmarkEnd w:id="187"/>
      <w:bookmarkEnd w:id="188"/>
      <w:bookmarkEnd w:id="189"/>
      <w:bookmarkEnd w:id="190"/>
    </w:p>
    <w:p>
      <w:pPr>
        <w:spacing w:line="440" w:lineRule="exact"/>
        <w:jc w:val="center"/>
        <w:rPr>
          <w:color w:val="auto"/>
          <w:szCs w:val="21"/>
        </w:rPr>
      </w:pPr>
    </w:p>
    <w:p>
      <w:pPr>
        <w:spacing w:line="440" w:lineRule="exact"/>
        <w:jc w:val="center"/>
        <w:rPr>
          <w:rFonts w:eastAsia="黑体"/>
          <w:color w:val="auto"/>
          <w:sz w:val="28"/>
          <w:szCs w:val="28"/>
        </w:rPr>
      </w:pPr>
      <w:r>
        <w:rPr>
          <w:rFonts w:eastAsia="黑体"/>
          <w:color w:val="auto"/>
          <w:sz w:val="28"/>
          <w:szCs w:val="28"/>
        </w:rPr>
        <w:t>问题澄清通知</w:t>
      </w:r>
    </w:p>
    <w:p>
      <w:pPr>
        <w:spacing w:line="440" w:lineRule="exact"/>
        <w:rPr>
          <w:color w:val="auto"/>
          <w:szCs w:val="21"/>
        </w:rPr>
      </w:pPr>
      <w:r>
        <w:rPr>
          <w:color w:val="auto"/>
          <w:szCs w:val="21"/>
        </w:rPr>
        <w:t xml:space="preserve">                               </w:t>
      </w:r>
      <w:r>
        <w:rPr>
          <w:rFonts w:hint="eastAsia"/>
          <w:color w:val="auto"/>
          <w:szCs w:val="21"/>
        </w:rPr>
        <w:t xml:space="preserve"> </w:t>
      </w:r>
      <w:r>
        <w:rPr>
          <w:color w:val="auto"/>
          <w:szCs w:val="21"/>
        </w:rPr>
        <w:t>编号：</w:t>
      </w:r>
    </w:p>
    <w:p>
      <w:pPr>
        <w:spacing w:line="440" w:lineRule="exact"/>
        <w:rPr>
          <w:color w:val="auto"/>
          <w:szCs w:val="21"/>
        </w:rPr>
      </w:pPr>
    </w:p>
    <w:p>
      <w:pPr>
        <w:spacing w:line="440" w:lineRule="exact"/>
        <w:rPr>
          <w:color w:val="auto"/>
          <w:szCs w:val="21"/>
        </w:rPr>
      </w:pPr>
      <w:r>
        <w:rPr>
          <w:color w:val="auto"/>
          <w:szCs w:val="21"/>
        </w:rPr>
        <w:t xml:space="preserve">  </w:t>
      </w:r>
      <w:r>
        <w:rPr>
          <w:color w:val="auto"/>
          <w:szCs w:val="21"/>
          <w:u w:val="single"/>
        </w:rPr>
        <w:t xml:space="preserve">            </w:t>
      </w:r>
      <w:r>
        <w:rPr>
          <w:color w:val="auto"/>
          <w:szCs w:val="21"/>
        </w:rPr>
        <w:t>（投标人名称）：</w:t>
      </w:r>
    </w:p>
    <w:p>
      <w:pPr>
        <w:spacing w:line="440" w:lineRule="exact"/>
        <w:rPr>
          <w:color w:val="auto"/>
          <w:szCs w:val="21"/>
        </w:rPr>
      </w:pPr>
    </w:p>
    <w:p>
      <w:pPr>
        <w:spacing w:line="440" w:lineRule="exact"/>
        <w:rPr>
          <w:color w:val="auto"/>
          <w:szCs w:val="21"/>
        </w:rPr>
      </w:pPr>
      <w:r>
        <w:rPr>
          <w:color w:val="auto"/>
          <w:szCs w:val="21"/>
        </w:rPr>
        <w:t xml:space="preserve">　　  </w:t>
      </w:r>
      <w:r>
        <w:rPr>
          <w:color w:val="auto"/>
          <w:szCs w:val="21"/>
          <w:u w:val="single"/>
        </w:rPr>
        <w:t xml:space="preserve">　             </w:t>
      </w:r>
      <w:r>
        <w:rPr>
          <w:color w:val="auto"/>
          <w:szCs w:val="21"/>
        </w:rPr>
        <w:t xml:space="preserve"> （项目名称）招标的评标委员会，对你方的投标文件进行了仔细的审查，现需你方对下列问题以书面形式予以澄清：</w:t>
      </w:r>
    </w:p>
    <w:p>
      <w:pPr>
        <w:spacing w:line="440" w:lineRule="exact"/>
        <w:rPr>
          <w:color w:val="auto"/>
          <w:szCs w:val="21"/>
        </w:rPr>
      </w:pPr>
      <w:r>
        <w:rPr>
          <w:color w:val="auto"/>
          <w:szCs w:val="21"/>
        </w:rPr>
        <w:t>　　</w:t>
      </w:r>
    </w:p>
    <w:p>
      <w:pPr>
        <w:spacing w:line="440" w:lineRule="exact"/>
        <w:rPr>
          <w:color w:val="auto"/>
          <w:szCs w:val="21"/>
        </w:rPr>
      </w:pPr>
      <w:r>
        <w:rPr>
          <w:color w:val="auto"/>
          <w:szCs w:val="21"/>
        </w:rPr>
        <w:t xml:space="preserve">    1.</w:t>
      </w:r>
    </w:p>
    <w:p>
      <w:pPr>
        <w:spacing w:line="440" w:lineRule="exact"/>
        <w:rPr>
          <w:color w:val="auto"/>
          <w:szCs w:val="21"/>
        </w:rPr>
      </w:pPr>
      <w:r>
        <w:rPr>
          <w:color w:val="auto"/>
          <w:szCs w:val="21"/>
        </w:rPr>
        <w:t xml:space="preserve">    2.</w:t>
      </w:r>
    </w:p>
    <w:p>
      <w:pPr>
        <w:spacing w:line="440" w:lineRule="exact"/>
        <w:rPr>
          <w:color w:val="auto"/>
          <w:szCs w:val="21"/>
        </w:rPr>
      </w:pPr>
      <w:r>
        <w:rPr>
          <w:color w:val="auto"/>
          <w:szCs w:val="21"/>
        </w:rPr>
        <w:t xml:space="preserve">     ......   </w:t>
      </w:r>
    </w:p>
    <w:p>
      <w:pPr>
        <w:spacing w:line="440" w:lineRule="exact"/>
        <w:rPr>
          <w:color w:val="auto"/>
          <w:szCs w:val="21"/>
        </w:rPr>
      </w:pPr>
      <w:r>
        <w:rPr>
          <w:color w:val="auto"/>
          <w:szCs w:val="21"/>
        </w:rPr>
        <w:t>　　　</w:t>
      </w:r>
    </w:p>
    <w:p>
      <w:pPr>
        <w:spacing w:line="440" w:lineRule="exact"/>
        <w:rPr>
          <w:color w:val="auto"/>
          <w:szCs w:val="21"/>
        </w:rPr>
      </w:pPr>
      <w:r>
        <w:rPr>
          <w:color w:val="auto"/>
          <w:szCs w:val="21"/>
        </w:rPr>
        <w:t>　　请将上述问题的澄清于</w:t>
      </w:r>
      <w:r>
        <w:rPr>
          <w:color w:val="auto"/>
          <w:szCs w:val="21"/>
          <w:u w:val="single"/>
        </w:rPr>
        <w:t xml:space="preserve">     </w:t>
      </w:r>
      <w:r>
        <w:rPr>
          <w:color w:val="auto"/>
          <w:szCs w:val="21"/>
        </w:rPr>
        <w:t>年</w:t>
      </w:r>
      <w:r>
        <w:rPr>
          <w:color w:val="auto"/>
          <w:szCs w:val="21"/>
          <w:u w:val="single"/>
        </w:rPr>
        <w:t xml:space="preserve">     </w:t>
      </w:r>
      <w:r>
        <w:rPr>
          <w:color w:val="auto"/>
          <w:szCs w:val="21"/>
        </w:rPr>
        <w:t>月</w:t>
      </w:r>
      <w:r>
        <w:rPr>
          <w:color w:val="auto"/>
          <w:szCs w:val="21"/>
          <w:u w:val="single"/>
        </w:rPr>
        <w:t xml:space="preserve">   </w:t>
      </w:r>
      <w:r>
        <w:rPr>
          <w:rFonts w:hint="eastAsia"/>
          <w:color w:val="auto"/>
          <w:szCs w:val="21"/>
          <w:u w:val="single"/>
        </w:rPr>
        <w:t xml:space="preserve">  </w:t>
      </w:r>
      <w:r>
        <w:rPr>
          <w:color w:val="auto"/>
          <w:szCs w:val="21"/>
        </w:rPr>
        <w:t>日</w:t>
      </w:r>
      <w:r>
        <w:rPr>
          <w:color w:val="auto"/>
          <w:szCs w:val="21"/>
          <w:u w:val="single"/>
        </w:rPr>
        <w:t xml:space="preserve">   </w:t>
      </w:r>
      <w:r>
        <w:rPr>
          <w:rFonts w:hint="eastAsia"/>
          <w:color w:val="auto"/>
          <w:szCs w:val="21"/>
          <w:u w:val="single"/>
        </w:rPr>
        <w:t xml:space="preserve">  </w:t>
      </w:r>
      <w:r>
        <w:rPr>
          <w:color w:val="auto"/>
          <w:szCs w:val="21"/>
        </w:rPr>
        <w:t>时前递交至</w:t>
      </w:r>
      <w:r>
        <w:rPr>
          <w:color w:val="auto"/>
          <w:szCs w:val="21"/>
          <w:u w:val="single"/>
        </w:rPr>
        <w:t xml:space="preserve">     </w:t>
      </w:r>
      <w:r>
        <w:rPr>
          <w:rFonts w:hint="eastAsia"/>
          <w:color w:val="auto"/>
          <w:szCs w:val="21"/>
          <w:u w:val="single"/>
        </w:rPr>
        <w:t xml:space="preserve">    </w:t>
      </w:r>
      <w:r>
        <w:rPr>
          <w:color w:val="auto"/>
          <w:szCs w:val="21"/>
        </w:rPr>
        <w:t>（详细地址）。</w:t>
      </w:r>
    </w:p>
    <w:p>
      <w:pPr>
        <w:spacing w:line="440" w:lineRule="exact"/>
        <w:rPr>
          <w:color w:val="auto"/>
          <w:szCs w:val="21"/>
        </w:rPr>
      </w:pPr>
    </w:p>
    <w:p>
      <w:pPr>
        <w:spacing w:line="440" w:lineRule="exact"/>
        <w:rPr>
          <w:color w:val="auto"/>
          <w:szCs w:val="21"/>
        </w:rPr>
      </w:pPr>
    </w:p>
    <w:p>
      <w:pPr>
        <w:spacing w:line="440" w:lineRule="exact"/>
        <w:rPr>
          <w:color w:val="auto"/>
          <w:szCs w:val="21"/>
        </w:rPr>
      </w:pPr>
      <w:r>
        <w:rPr>
          <w:color w:val="auto"/>
          <w:szCs w:val="21"/>
        </w:rPr>
        <w:t xml:space="preserve">                               评标</w:t>
      </w:r>
      <w:r>
        <w:rPr>
          <w:rFonts w:hint="eastAsia"/>
          <w:color w:val="auto"/>
          <w:szCs w:val="21"/>
        </w:rPr>
        <w:t>工作组负责人</w:t>
      </w:r>
      <w:r>
        <w:rPr>
          <w:color w:val="auto"/>
          <w:szCs w:val="21"/>
        </w:rPr>
        <w:t>：</w:t>
      </w:r>
      <w:r>
        <w:rPr>
          <w:color w:val="auto"/>
          <w:szCs w:val="21"/>
          <w:u w:val="single"/>
        </w:rPr>
        <w:t xml:space="preserve">           </w:t>
      </w:r>
      <w:r>
        <w:rPr>
          <w:color w:val="auto"/>
          <w:szCs w:val="21"/>
        </w:rPr>
        <w:t>（签字）</w:t>
      </w:r>
    </w:p>
    <w:p>
      <w:pPr>
        <w:spacing w:line="440" w:lineRule="exact"/>
        <w:rPr>
          <w:color w:val="auto"/>
          <w:szCs w:val="21"/>
        </w:rPr>
      </w:pPr>
      <w:r>
        <w:rPr>
          <w:rFonts w:hint="eastAsia"/>
          <w:color w:val="auto"/>
          <w:szCs w:val="21"/>
        </w:rPr>
        <w:t xml:space="preserve">                                          </w:t>
      </w:r>
    </w:p>
    <w:p>
      <w:pPr>
        <w:spacing w:line="440" w:lineRule="exact"/>
        <w:rPr>
          <w:color w:val="auto"/>
          <w:szCs w:val="21"/>
        </w:rPr>
      </w:pPr>
      <w:r>
        <w:rPr>
          <w:color w:val="auto"/>
          <w:szCs w:val="21"/>
        </w:rPr>
        <w:t xml:space="preserve">                                  </w:t>
      </w:r>
      <w:r>
        <w:rPr>
          <w:color w:val="auto"/>
          <w:szCs w:val="21"/>
          <w:u w:val="single"/>
        </w:rPr>
        <w:t xml:space="preserve">        </w:t>
      </w:r>
      <w:r>
        <w:rPr>
          <w:color w:val="auto"/>
          <w:szCs w:val="21"/>
        </w:rPr>
        <w:t xml:space="preserve"> 年 </w:t>
      </w:r>
      <w:r>
        <w:rPr>
          <w:color w:val="auto"/>
          <w:szCs w:val="21"/>
          <w:u w:val="single"/>
        </w:rPr>
        <w:t xml:space="preserve">   </w:t>
      </w:r>
      <w:r>
        <w:rPr>
          <w:rFonts w:hint="eastAsia"/>
          <w:color w:val="auto"/>
          <w:szCs w:val="21"/>
          <w:u w:val="single"/>
        </w:rPr>
        <w:t xml:space="preserve">    </w:t>
      </w:r>
      <w:r>
        <w:rPr>
          <w:color w:val="auto"/>
          <w:szCs w:val="21"/>
          <w:u w:val="single"/>
        </w:rPr>
        <w:t xml:space="preserve"> </w:t>
      </w:r>
      <w:r>
        <w:rPr>
          <w:color w:val="auto"/>
          <w:szCs w:val="21"/>
        </w:rPr>
        <w:t xml:space="preserve">月 </w:t>
      </w:r>
      <w:r>
        <w:rPr>
          <w:color w:val="auto"/>
          <w:szCs w:val="21"/>
          <w:u w:val="single"/>
        </w:rPr>
        <w:t xml:space="preserve"> </w:t>
      </w:r>
      <w:r>
        <w:rPr>
          <w:rFonts w:hint="eastAsia"/>
          <w:color w:val="auto"/>
          <w:szCs w:val="21"/>
          <w:u w:val="single"/>
        </w:rPr>
        <w:t xml:space="preserve">      </w:t>
      </w:r>
      <w:r>
        <w:rPr>
          <w:color w:val="auto"/>
          <w:szCs w:val="21"/>
          <w:u w:val="single"/>
        </w:rPr>
        <w:t xml:space="preserve"> </w:t>
      </w:r>
      <w:r>
        <w:rPr>
          <w:color w:val="auto"/>
          <w:szCs w:val="21"/>
        </w:rPr>
        <w:t>日</w:t>
      </w:r>
    </w:p>
    <w:p>
      <w:pPr>
        <w:spacing w:line="400" w:lineRule="exact"/>
        <w:rPr>
          <w:color w:val="auto"/>
        </w:rPr>
      </w:pPr>
    </w:p>
    <w:p>
      <w:pPr>
        <w:spacing w:line="400" w:lineRule="exact"/>
        <w:rPr>
          <w:color w:val="auto"/>
        </w:rPr>
      </w:pPr>
    </w:p>
    <w:p>
      <w:pPr>
        <w:spacing w:line="400" w:lineRule="exact"/>
        <w:rPr>
          <w:color w:val="auto"/>
        </w:rPr>
      </w:pPr>
    </w:p>
    <w:p>
      <w:pPr>
        <w:spacing w:line="400" w:lineRule="exact"/>
        <w:rPr>
          <w:color w:val="auto"/>
        </w:rPr>
      </w:pPr>
    </w:p>
    <w:p>
      <w:pPr>
        <w:spacing w:line="400" w:lineRule="exact"/>
        <w:rPr>
          <w:color w:val="auto"/>
        </w:rPr>
      </w:pPr>
    </w:p>
    <w:p>
      <w:pPr>
        <w:spacing w:line="400" w:lineRule="exact"/>
        <w:rPr>
          <w:color w:val="auto"/>
        </w:rPr>
      </w:pPr>
    </w:p>
    <w:p>
      <w:pPr>
        <w:spacing w:line="400" w:lineRule="exact"/>
        <w:rPr>
          <w:color w:val="auto"/>
        </w:rPr>
      </w:pPr>
    </w:p>
    <w:p>
      <w:pPr>
        <w:spacing w:line="400" w:lineRule="exact"/>
        <w:rPr>
          <w:color w:val="auto"/>
        </w:rPr>
      </w:pPr>
    </w:p>
    <w:p>
      <w:pPr>
        <w:spacing w:line="400" w:lineRule="exact"/>
        <w:rPr>
          <w:color w:val="auto"/>
        </w:rPr>
      </w:pPr>
    </w:p>
    <w:p>
      <w:pPr>
        <w:spacing w:line="400" w:lineRule="exact"/>
        <w:rPr>
          <w:color w:val="auto"/>
        </w:rPr>
      </w:pPr>
    </w:p>
    <w:p>
      <w:pPr>
        <w:spacing w:line="400" w:lineRule="exact"/>
        <w:rPr>
          <w:color w:val="auto"/>
        </w:rPr>
      </w:pPr>
    </w:p>
    <w:p>
      <w:pPr>
        <w:pStyle w:val="69"/>
        <w:outlineLvl w:val="1"/>
        <w:rPr>
          <w:color w:val="auto"/>
        </w:rPr>
      </w:pPr>
      <w:bookmarkStart w:id="191" w:name="_Toc144974550"/>
      <w:bookmarkStart w:id="192" w:name="_Toc152045583"/>
      <w:bookmarkStart w:id="193" w:name="_Toc152042360"/>
      <w:bookmarkStart w:id="194" w:name="_Toc8423583"/>
      <w:r>
        <w:rPr>
          <w:rFonts w:hint="eastAsia"/>
          <w:color w:val="auto"/>
        </w:rPr>
        <w:t>附表二：问题的澄清</w:t>
      </w:r>
      <w:bookmarkEnd w:id="191"/>
      <w:bookmarkEnd w:id="192"/>
      <w:bookmarkEnd w:id="193"/>
      <w:bookmarkEnd w:id="194"/>
    </w:p>
    <w:p>
      <w:pPr>
        <w:spacing w:line="400" w:lineRule="exact"/>
        <w:jc w:val="center"/>
        <w:rPr>
          <w:rFonts w:ascii="黑体" w:eastAsia="黑体"/>
          <w:color w:val="auto"/>
          <w:sz w:val="28"/>
          <w:szCs w:val="28"/>
        </w:rPr>
      </w:pPr>
    </w:p>
    <w:p>
      <w:pPr>
        <w:spacing w:line="400" w:lineRule="exact"/>
        <w:jc w:val="center"/>
        <w:rPr>
          <w:rFonts w:ascii="黑体" w:eastAsia="黑体"/>
          <w:color w:val="auto"/>
          <w:sz w:val="28"/>
          <w:szCs w:val="28"/>
        </w:rPr>
      </w:pPr>
      <w:r>
        <w:rPr>
          <w:rFonts w:hint="eastAsia" w:ascii="黑体" w:eastAsia="黑体"/>
          <w:color w:val="auto"/>
          <w:sz w:val="28"/>
          <w:szCs w:val="28"/>
        </w:rPr>
        <w:t>问题的澄清</w:t>
      </w:r>
    </w:p>
    <w:p>
      <w:pPr>
        <w:spacing w:line="400" w:lineRule="exact"/>
        <w:ind w:firstLine="3350" w:firstLineChars="1650"/>
        <w:rPr>
          <w:color w:val="auto"/>
        </w:rPr>
      </w:pPr>
      <w:r>
        <w:rPr>
          <w:rFonts w:hint="eastAsia"/>
          <w:color w:val="auto"/>
        </w:rPr>
        <w:t xml:space="preserve">编号： </w:t>
      </w:r>
    </w:p>
    <w:p>
      <w:pPr>
        <w:spacing w:line="400" w:lineRule="exact"/>
        <w:rPr>
          <w:color w:val="auto"/>
          <w:szCs w:val="21"/>
        </w:rPr>
      </w:pPr>
    </w:p>
    <w:p>
      <w:pPr>
        <w:spacing w:line="440" w:lineRule="exact"/>
        <w:rPr>
          <w:color w:val="auto"/>
          <w:szCs w:val="21"/>
        </w:rPr>
      </w:pPr>
      <w:r>
        <w:rPr>
          <w:color w:val="auto"/>
          <w:szCs w:val="21"/>
          <w:u w:val="single"/>
        </w:rPr>
        <w:t xml:space="preserve">                  （</w:t>
      </w:r>
      <w:r>
        <w:rPr>
          <w:color w:val="auto"/>
          <w:szCs w:val="21"/>
        </w:rPr>
        <w:t>项目名称）招标评标委员会：</w:t>
      </w:r>
    </w:p>
    <w:p>
      <w:pPr>
        <w:spacing w:line="440" w:lineRule="exact"/>
        <w:rPr>
          <w:color w:val="auto"/>
          <w:szCs w:val="21"/>
        </w:rPr>
      </w:pPr>
    </w:p>
    <w:p>
      <w:pPr>
        <w:spacing w:line="440" w:lineRule="exact"/>
        <w:rPr>
          <w:color w:val="auto"/>
          <w:szCs w:val="21"/>
        </w:rPr>
      </w:pPr>
      <w:r>
        <w:rPr>
          <w:color w:val="auto"/>
          <w:szCs w:val="21"/>
        </w:rPr>
        <w:t>　　问题澄清通知（编号：</w:t>
      </w:r>
      <w:r>
        <w:rPr>
          <w:color w:val="auto"/>
          <w:szCs w:val="21"/>
          <w:u w:val="single"/>
        </w:rPr>
        <w:t xml:space="preserve">        </w:t>
      </w:r>
      <w:r>
        <w:rPr>
          <w:color w:val="auto"/>
          <w:szCs w:val="21"/>
        </w:rPr>
        <w:t>）已收悉，现澄清如下：</w:t>
      </w:r>
    </w:p>
    <w:p>
      <w:pPr>
        <w:spacing w:line="440" w:lineRule="exact"/>
        <w:rPr>
          <w:color w:val="auto"/>
          <w:szCs w:val="21"/>
        </w:rPr>
      </w:pPr>
      <w:r>
        <w:rPr>
          <w:color w:val="auto"/>
          <w:szCs w:val="21"/>
        </w:rPr>
        <w:t>　     1</w:t>
      </w:r>
      <w:r>
        <w:rPr>
          <w:rFonts w:hint="eastAsia"/>
          <w:color w:val="auto"/>
          <w:szCs w:val="21"/>
        </w:rPr>
        <w:t>、</w:t>
      </w:r>
    </w:p>
    <w:p>
      <w:pPr>
        <w:spacing w:line="440" w:lineRule="exact"/>
        <w:rPr>
          <w:color w:val="auto"/>
          <w:szCs w:val="21"/>
        </w:rPr>
      </w:pPr>
      <w:r>
        <w:rPr>
          <w:color w:val="auto"/>
          <w:szCs w:val="21"/>
        </w:rPr>
        <w:t>　     2</w:t>
      </w:r>
      <w:r>
        <w:rPr>
          <w:rFonts w:hint="eastAsia"/>
          <w:color w:val="auto"/>
          <w:szCs w:val="21"/>
        </w:rPr>
        <w:t>、</w:t>
      </w:r>
    </w:p>
    <w:p>
      <w:pPr>
        <w:spacing w:line="440" w:lineRule="exact"/>
        <w:rPr>
          <w:color w:val="auto"/>
          <w:szCs w:val="21"/>
        </w:rPr>
      </w:pPr>
      <w:r>
        <w:rPr>
          <w:color w:val="auto"/>
          <w:szCs w:val="21"/>
        </w:rPr>
        <w:t xml:space="preserve">　   </w:t>
      </w:r>
    </w:p>
    <w:p>
      <w:pPr>
        <w:spacing w:line="440" w:lineRule="exact"/>
        <w:rPr>
          <w:color w:val="auto"/>
          <w:szCs w:val="21"/>
        </w:rPr>
      </w:pPr>
      <w:r>
        <w:rPr>
          <w:color w:val="auto"/>
          <w:szCs w:val="21"/>
        </w:rPr>
        <w:t>　    .....</w:t>
      </w:r>
    </w:p>
    <w:p>
      <w:pPr>
        <w:spacing w:line="440" w:lineRule="exact"/>
        <w:rPr>
          <w:color w:val="auto"/>
          <w:szCs w:val="21"/>
        </w:rPr>
      </w:pPr>
      <w:r>
        <w:rPr>
          <w:color w:val="auto"/>
          <w:szCs w:val="21"/>
        </w:rPr>
        <w:t xml:space="preserve">                       </w:t>
      </w:r>
    </w:p>
    <w:p>
      <w:pPr>
        <w:spacing w:line="440" w:lineRule="exact"/>
        <w:rPr>
          <w:color w:val="auto"/>
          <w:szCs w:val="21"/>
        </w:rPr>
      </w:pPr>
      <w:r>
        <w:rPr>
          <w:color w:val="auto"/>
          <w:szCs w:val="21"/>
        </w:rPr>
        <w:t xml:space="preserve">　 </w:t>
      </w:r>
    </w:p>
    <w:p>
      <w:pPr>
        <w:spacing w:line="440" w:lineRule="exact"/>
        <w:rPr>
          <w:color w:val="auto"/>
          <w:szCs w:val="21"/>
        </w:rPr>
      </w:pPr>
    </w:p>
    <w:p>
      <w:pPr>
        <w:spacing w:line="440" w:lineRule="exact"/>
        <w:rPr>
          <w:color w:val="auto"/>
          <w:szCs w:val="21"/>
        </w:rPr>
      </w:pPr>
    </w:p>
    <w:p>
      <w:pPr>
        <w:spacing w:line="440" w:lineRule="exact"/>
        <w:rPr>
          <w:color w:val="auto"/>
          <w:szCs w:val="21"/>
        </w:rPr>
      </w:pPr>
    </w:p>
    <w:p>
      <w:pPr>
        <w:spacing w:line="440" w:lineRule="exact"/>
        <w:rPr>
          <w:color w:val="auto"/>
          <w:szCs w:val="21"/>
        </w:rPr>
      </w:pPr>
    </w:p>
    <w:p>
      <w:pPr>
        <w:spacing w:line="440" w:lineRule="exact"/>
        <w:rPr>
          <w:color w:val="auto"/>
          <w:szCs w:val="21"/>
        </w:rPr>
      </w:pPr>
      <w:r>
        <w:rPr>
          <w:color w:val="auto"/>
          <w:szCs w:val="21"/>
        </w:rPr>
        <w:t>　　　　　　　　　　　　　　　投标人：</w:t>
      </w:r>
      <w:r>
        <w:rPr>
          <w:color w:val="auto"/>
          <w:szCs w:val="21"/>
          <w:u w:val="single"/>
        </w:rPr>
        <w:t xml:space="preserve">                      </w:t>
      </w:r>
      <w:r>
        <w:rPr>
          <w:rFonts w:hint="eastAsia"/>
          <w:color w:val="auto"/>
          <w:szCs w:val="21"/>
          <w:u w:val="single"/>
        </w:rPr>
        <w:t xml:space="preserve">  </w:t>
      </w:r>
      <w:r>
        <w:rPr>
          <w:color w:val="auto"/>
          <w:szCs w:val="21"/>
        </w:rPr>
        <w:t>（盖单位章）</w:t>
      </w:r>
    </w:p>
    <w:p>
      <w:pPr>
        <w:spacing w:line="440" w:lineRule="exact"/>
        <w:rPr>
          <w:color w:val="auto"/>
          <w:szCs w:val="21"/>
        </w:rPr>
      </w:pPr>
      <w:r>
        <w:rPr>
          <w:color w:val="auto"/>
          <w:szCs w:val="21"/>
        </w:rPr>
        <w:t>　　　　　　　　　　　　　　　</w:t>
      </w:r>
    </w:p>
    <w:p>
      <w:pPr>
        <w:spacing w:line="440" w:lineRule="exact"/>
        <w:rPr>
          <w:color w:val="auto"/>
          <w:szCs w:val="21"/>
        </w:rPr>
      </w:pPr>
      <w:r>
        <w:rPr>
          <w:color w:val="auto"/>
          <w:szCs w:val="21"/>
        </w:rPr>
        <w:t>　　　　　　　　　　　　　　　法定代表人或其委托代理人：</w:t>
      </w:r>
      <w:r>
        <w:rPr>
          <w:color w:val="auto"/>
          <w:szCs w:val="21"/>
          <w:u w:val="single"/>
        </w:rPr>
        <w:t xml:space="preserve">          </w:t>
      </w:r>
      <w:r>
        <w:rPr>
          <w:color w:val="auto"/>
          <w:szCs w:val="21"/>
        </w:rPr>
        <w:t>（签字）</w:t>
      </w:r>
    </w:p>
    <w:p>
      <w:pPr>
        <w:spacing w:line="440" w:lineRule="exact"/>
        <w:rPr>
          <w:color w:val="auto"/>
          <w:szCs w:val="21"/>
        </w:rPr>
      </w:pPr>
      <w:r>
        <w:rPr>
          <w:color w:val="auto"/>
          <w:szCs w:val="21"/>
        </w:rPr>
        <w:t>　　　　　　　　　　　　　　　</w:t>
      </w:r>
    </w:p>
    <w:p>
      <w:pPr>
        <w:spacing w:line="440" w:lineRule="exact"/>
        <w:rPr>
          <w:color w:val="auto"/>
          <w:szCs w:val="21"/>
        </w:rPr>
      </w:pPr>
      <w:r>
        <w:rPr>
          <w:color w:val="auto"/>
          <w:szCs w:val="21"/>
        </w:rPr>
        <w:t xml:space="preserve">　　　　　　　　　　　　　　　        </w:t>
      </w:r>
      <w:r>
        <w:rPr>
          <w:rFonts w:hint="eastAsia"/>
          <w:color w:val="auto"/>
          <w:szCs w:val="21"/>
        </w:rPr>
        <w:t xml:space="preserve">    </w:t>
      </w:r>
      <w:r>
        <w:rPr>
          <w:color w:val="auto"/>
          <w:szCs w:val="21"/>
          <w:u w:val="single"/>
        </w:rPr>
        <w:t xml:space="preserve">        </w:t>
      </w:r>
      <w:r>
        <w:rPr>
          <w:color w:val="auto"/>
          <w:szCs w:val="21"/>
        </w:rPr>
        <w:t>年</w:t>
      </w:r>
      <w:r>
        <w:rPr>
          <w:color w:val="auto"/>
          <w:szCs w:val="21"/>
          <w:u w:val="single"/>
        </w:rPr>
        <w:t xml:space="preserve">        </w:t>
      </w:r>
      <w:r>
        <w:rPr>
          <w:color w:val="auto"/>
          <w:szCs w:val="21"/>
        </w:rPr>
        <w:t>月</w:t>
      </w:r>
      <w:r>
        <w:rPr>
          <w:color w:val="auto"/>
          <w:szCs w:val="21"/>
          <w:u w:val="single"/>
        </w:rPr>
        <w:t xml:space="preserve">        </w:t>
      </w:r>
      <w:r>
        <w:rPr>
          <w:color w:val="auto"/>
          <w:szCs w:val="21"/>
        </w:rPr>
        <w:t>日</w:t>
      </w:r>
    </w:p>
    <w:p>
      <w:pPr>
        <w:spacing w:line="400" w:lineRule="exact"/>
        <w:rPr>
          <w:color w:val="auto"/>
        </w:rPr>
      </w:pPr>
    </w:p>
    <w:p>
      <w:pPr>
        <w:spacing w:line="400" w:lineRule="exact"/>
        <w:rPr>
          <w:color w:val="auto"/>
        </w:rPr>
      </w:pPr>
    </w:p>
    <w:p>
      <w:pPr>
        <w:spacing w:line="400" w:lineRule="exact"/>
        <w:rPr>
          <w:color w:val="auto"/>
        </w:rPr>
      </w:pPr>
    </w:p>
    <w:p>
      <w:pPr>
        <w:spacing w:line="400" w:lineRule="exact"/>
        <w:rPr>
          <w:color w:val="auto"/>
        </w:rPr>
      </w:pPr>
    </w:p>
    <w:p>
      <w:pPr>
        <w:pStyle w:val="4"/>
        <w:keepNext w:val="0"/>
        <w:keepLines w:val="0"/>
        <w:spacing w:before="120" w:after="120" w:line="400" w:lineRule="exact"/>
        <w:jc w:val="center"/>
        <w:outlineLvl w:val="9"/>
        <w:rPr>
          <w:rFonts w:ascii="黑体" w:hAnsi="黑体" w:eastAsia="黑体"/>
          <w:b w:val="0"/>
          <w:bCs w:val="0"/>
          <w:color w:val="auto"/>
          <w:sz w:val="32"/>
        </w:rPr>
      </w:pPr>
      <w:bookmarkStart w:id="195" w:name="_Toc8423587"/>
      <w:bookmarkStart w:id="196" w:name="_Toc144974565"/>
      <w:bookmarkStart w:id="197" w:name="_Toc152045598"/>
      <w:bookmarkStart w:id="198" w:name="_Toc152042375"/>
    </w:p>
    <w:p>
      <w:pPr>
        <w:pStyle w:val="4"/>
        <w:keepNext w:val="0"/>
        <w:keepLines w:val="0"/>
        <w:spacing w:before="120" w:after="120" w:line="400" w:lineRule="exact"/>
        <w:jc w:val="center"/>
        <w:outlineLvl w:val="9"/>
        <w:rPr>
          <w:rFonts w:ascii="黑体" w:hAnsi="黑体" w:eastAsia="黑体"/>
          <w:b w:val="0"/>
          <w:bCs w:val="0"/>
          <w:color w:val="auto"/>
          <w:sz w:val="32"/>
        </w:rPr>
      </w:pPr>
    </w:p>
    <w:p>
      <w:pPr>
        <w:pStyle w:val="4"/>
        <w:keepNext w:val="0"/>
        <w:keepLines w:val="0"/>
        <w:spacing w:before="120" w:after="120" w:line="400" w:lineRule="exact"/>
        <w:jc w:val="center"/>
        <w:outlineLvl w:val="9"/>
        <w:rPr>
          <w:rFonts w:ascii="黑体" w:hAnsi="黑体" w:eastAsia="黑体"/>
          <w:b w:val="0"/>
          <w:bCs w:val="0"/>
          <w:color w:val="auto"/>
          <w:sz w:val="32"/>
        </w:rPr>
      </w:pPr>
    </w:p>
    <w:p>
      <w:pPr>
        <w:pStyle w:val="4"/>
        <w:keepNext w:val="0"/>
        <w:keepLines w:val="0"/>
        <w:spacing w:before="120" w:after="120" w:line="400" w:lineRule="exact"/>
        <w:jc w:val="center"/>
        <w:outlineLvl w:val="9"/>
        <w:rPr>
          <w:rFonts w:ascii="黑体" w:hAnsi="黑体" w:eastAsia="黑体"/>
          <w:b w:val="0"/>
          <w:bCs w:val="0"/>
          <w:color w:val="auto"/>
          <w:sz w:val="32"/>
        </w:rPr>
      </w:pPr>
    </w:p>
    <w:p>
      <w:pPr>
        <w:pStyle w:val="4"/>
        <w:keepNext w:val="0"/>
        <w:keepLines w:val="0"/>
        <w:spacing w:before="120" w:after="120" w:line="400" w:lineRule="exact"/>
        <w:jc w:val="center"/>
        <w:rPr>
          <w:rFonts w:ascii="黑体" w:hAnsi="黑体" w:eastAsia="黑体"/>
          <w:b w:val="0"/>
          <w:bCs w:val="0"/>
          <w:color w:val="auto"/>
          <w:sz w:val="32"/>
        </w:rPr>
      </w:pPr>
      <w:bookmarkStart w:id="199" w:name="_Toc32685"/>
      <w:r>
        <w:rPr>
          <w:rFonts w:hint="eastAsia" w:ascii="黑体" w:hAnsi="黑体" w:eastAsia="黑体"/>
          <w:b w:val="0"/>
          <w:bCs w:val="0"/>
          <w:color w:val="auto"/>
          <w:sz w:val="32"/>
        </w:rPr>
        <w:t xml:space="preserve">第三章 </w:t>
      </w:r>
      <w:r>
        <w:rPr>
          <w:rFonts w:hint="eastAsia" w:ascii="黑体" w:hAnsi="黑体" w:eastAsia="黑体"/>
          <w:b w:val="0"/>
          <w:bCs w:val="0"/>
          <w:color w:val="auto"/>
          <w:sz w:val="32"/>
          <w:lang w:val="en-US" w:eastAsia="zh-CN"/>
        </w:rPr>
        <w:t xml:space="preserve"> </w:t>
      </w:r>
      <w:r>
        <w:rPr>
          <w:rFonts w:hint="eastAsia" w:ascii="黑体" w:hAnsi="黑体" w:eastAsia="黑体"/>
          <w:b w:val="0"/>
          <w:bCs w:val="0"/>
          <w:color w:val="auto"/>
          <w:sz w:val="32"/>
        </w:rPr>
        <w:t>评标办法（综合评估法）</w:t>
      </w:r>
      <w:bookmarkEnd w:id="195"/>
      <w:bookmarkEnd w:id="196"/>
      <w:bookmarkEnd w:id="197"/>
      <w:bookmarkEnd w:id="198"/>
      <w:bookmarkEnd w:id="199"/>
    </w:p>
    <w:p>
      <w:pPr>
        <w:pStyle w:val="5"/>
        <w:spacing w:line="240" w:lineRule="auto"/>
        <w:jc w:val="center"/>
        <w:rPr>
          <w:rFonts w:ascii="宋体" w:hAnsi="宋体" w:eastAsia="宋体"/>
          <w:color w:val="auto"/>
          <w:sz w:val="24"/>
          <w:szCs w:val="21"/>
        </w:rPr>
      </w:pPr>
      <w:r>
        <w:rPr>
          <w:rFonts w:hint="eastAsia" w:ascii="宋体" w:hAnsi="宋体" w:eastAsia="宋体"/>
          <w:color w:val="auto"/>
          <w:sz w:val="24"/>
          <w:szCs w:val="21"/>
        </w:rPr>
        <w:t>评标办法前附表</w:t>
      </w:r>
    </w:p>
    <w:tbl>
      <w:tblPr>
        <w:tblStyle w:val="37"/>
        <w:tblW w:w="8739"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124"/>
        <w:gridCol w:w="2512"/>
        <w:gridCol w:w="510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1124" w:type="dxa"/>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b/>
                <w:color w:val="auto"/>
                <w:szCs w:val="21"/>
              </w:rPr>
            </w:pPr>
            <w:r>
              <w:rPr>
                <w:b/>
                <w:color w:val="auto"/>
                <w:szCs w:val="21"/>
              </w:rPr>
              <w:t>条款</w:t>
            </w: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b/>
                <w:color w:val="auto"/>
                <w:szCs w:val="21"/>
              </w:rPr>
            </w:pPr>
            <w:r>
              <w:rPr>
                <w:b/>
                <w:color w:val="auto"/>
                <w:szCs w:val="21"/>
              </w:rPr>
              <w:t>评审因素</w:t>
            </w:r>
          </w:p>
        </w:tc>
        <w:tc>
          <w:tcPr>
            <w:tcW w:w="5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b/>
                <w:color w:val="auto"/>
                <w:szCs w:val="21"/>
              </w:rPr>
            </w:pPr>
            <w:r>
              <w:rPr>
                <w:b/>
                <w:color w:val="auto"/>
                <w:szCs w:val="21"/>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1124" w:type="dxa"/>
            <w:vMerge w:val="restart"/>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rFonts w:hint="eastAsia"/>
                <w:color w:val="auto"/>
                <w:szCs w:val="21"/>
              </w:rPr>
              <w:t>形式</w:t>
            </w:r>
          </w:p>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评审标准</w:t>
            </w: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投标人名称</w:t>
            </w:r>
          </w:p>
        </w:tc>
        <w:tc>
          <w:tcPr>
            <w:tcW w:w="5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与营业执照、资质证书</w:t>
            </w:r>
            <w:r>
              <w:rPr>
                <w:rFonts w:hint="eastAsia"/>
                <w:color w:val="auto"/>
                <w:szCs w:val="21"/>
              </w:rPr>
              <w:t>、安全生产许可证</w:t>
            </w:r>
            <w:r>
              <w:rPr>
                <w:color w:val="auto"/>
                <w:szCs w:val="21"/>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1124" w:type="dxa"/>
            <w:vMerge w:val="continue"/>
            <w:tcBorders>
              <w:top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投标</w:t>
            </w:r>
            <w:r>
              <w:rPr>
                <w:rFonts w:hint="eastAsia"/>
                <w:color w:val="auto"/>
                <w:szCs w:val="21"/>
                <w:lang w:val="en-US" w:eastAsia="zh-CN"/>
              </w:rPr>
              <w:t>文件</w:t>
            </w:r>
            <w:r>
              <w:rPr>
                <w:color w:val="auto"/>
                <w:szCs w:val="21"/>
              </w:rPr>
              <w:t>签字盖章</w:t>
            </w:r>
          </w:p>
        </w:tc>
        <w:tc>
          <w:tcPr>
            <w:tcW w:w="5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rFonts w:hint="eastAsia"/>
                <w:color w:val="auto"/>
                <w:szCs w:val="21"/>
              </w:rPr>
              <w:t>符合</w:t>
            </w:r>
            <w:r>
              <w:rPr>
                <w:color w:val="auto"/>
                <w:szCs w:val="21"/>
              </w:rPr>
              <w:t>第八章</w:t>
            </w:r>
            <w:r>
              <w:rPr>
                <w:rFonts w:hint="eastAsia"/>
                <w:color w:val="auto"/>
                <w:szCs w:val="21"/>
              </w:rPr>
              <w:t>“投标文件格式”中签字盖章的</w:t>
            </w:r>
            <w:r>
              <w:rPr>
                <w:color w:val="auto"/>
                <w:szCs w:val="21"/>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1124" w:type="dxa"/>
            <w:vMerge w:val="continue"/>
            <w:tcBorders>
              <w:top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投标文件格式</w:t>
            </w:r>
          </w:p>
        </w:tc>
        <w:tc>
          <w:tcPr>
            <w:tcW w:w="5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符合第八章“投标文件格式”的要求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1124" w:type="dxa"/>
            <w:vMerge w:val="continue"/>
            <w:tcBorders>
              <w:top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报价唯一</w:t>
            </w:r>
          </w:p>
        </w:tc>
        <w:tc>
          <w:tcPr>
            <w:tcW w:w="5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只能有一个有效报价</w:t>
            </w:r>
            <w:r>
              <w:rPr>
                <w:rFonts w:hint="eastAsia"/>
                <w:color w:val="auto"/>
                <w:szCs w:val="21"/>
              </w:rPr>
              <w:t>，</w:t>
            </w:r>
            <w:r>
              <w:rPr>
                <w:color w:val="auto"/>
                <w:szCs w:val="21"/>
              </w:rPr>
              <w:t>且不高于最高投标限价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4" w:hRule="exact"/>
        </w:trPr>
        <w:tc>
          <w:tcPr>
            <w:tcW w:w="1124" w:type="dxa"/>
            <w:vMerge w:val="restart"/>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资格评审标准</w:t>
            </w: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eastAsia="宋体"/>
                <w:color w:val="auto"/>
                <w:szCs w:val="21"/>
                <w:lang w:eastAsia="zh-CN"/>
              </w:rPr>
            </w:pPr>
            <w:r>
              <w:rPr>
                <w:color w:val="auto"/>
                <w:szCs w:val="21"/>
              </w:rPr>
              <w:t>营业执照</w:t>
            </w:r>
            <w:r>
              <w:rPr>
                <w:rFonts w:hint="eastAsia"/>
                <w:color w:val="auto"/>
                <w:szCs w:val="21"/>
                <w:lang w:eastAsia="zh-CN"/>
              </w:rPr>
              <w:t>、</w:t>
            </w:r>
            <w:r>
              <w:rPr>
                <w:rFonts w:hint="eastAsia"/>
                <w:color w:val="auto"/>
              </w:rPr>
              <w:t>资质证书</w:t>
            </w:r>
            <w:r>
              <w:rPr>
                <w:rFonts w:hint="eastAsia"/>
                <w:color w:val="auto"/>
                <w:lang w:eastAsia="zh-CN"/>
              </w:rPr>
              <w:t>、安全生产许可证</w:t>
            </w:r>
          </w:p>
        </w:tc>
        <w:tc>
          <w:tcPr>
            <w:tcW w:w="5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符合第二章“投标人须知</w:t>
            </w:r>
            <w:r>
              <w:rPr>
                <w:rFonts w:hint="eastAsia" w:ascii="宋体" w:hAnsi="宋体"/>
                <w:color w:val="auto"/>
                <w:szCs w:val="21"/>
              </w:rPr>
              <w:t>前附表</w:t>
            </w:r>
            <w:r>
              <w:rPr>
                <w:color w:val="auto"/>
                <w:szCs w:val="21"/>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1124" w:type="dxa"/>
            <w:vMerge w:val="continue"/>
            <w:tcBorders>
              <w:top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rFonts w:hint="eastAsia"/>
                <w:color w:val="auto"/>
                <w:szCs w:val="21"/>
              </w:rPr>
              <w:t>项目经理</w:t>
            </w:r>
          </w:p>
        </w:tc>
        <w:tc>
          <w:tcPr>
            <w:tcW w:w="5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符合第二章“投标人须知</w:t>
            </w:r>
            <w:r>
              <w:rPr>
                <w:rFonts w:hint="eastAsia" w:ascii="宋体" w:hAnsi="宋体"/>
                <w:color w:val="auto"/>
                <w:szCs w:val="21"/>
              </w:rPr>
              <w:t>前附表</w:t>
            </w:r>
            <w:r>
              <w:rPr>
                <w:color w:val="auto"/>
                <w:szCs w:val="21"/>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1124" w:type="dxa"/>
            <w:vMerge w:val="continue"/>
            <w:tcBorders>
              <w:top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eastAsia="宋体"/>
                <w:color w:val="auto"/>
                <w:szCs w:val="21"/>
                <w:lang w:val="en-US" w:eastAsia="zh-CN"/>
              </w:rPr>
            </w:pPr>
            <w:r>
              <w:rPr>
                <w:rFonts w:hint="eastAsia"/>
                <w:color w:val="auto"/>
                <w:szCs w:val="21"/>
              </w:rPr>
              <w:t>项目经理社保</w:t>
            </w:r>
            <w:r>
              <w:rPr>
                <w:rFonts w:hint="eastAsia"/>
                <w:color w:val="auto"/>
                <w:szCs w:val="21"/>
                <w:lang w:val="en-US" w:eastAsia="zh-CN"/>
              </w:rPr>
              <w:t>证明</w:t>
            </w:r>
          </w:p>
        </w:tc>
        <w:tc>
          <w:tcPr>
            <w:tcW w:w="5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符合第二章“投标人须知</w:t>
            </w:r>
            <w:r>
              <w:rPr>
                <w:rFonts w:hint="eastAsia" w:ascii="宋体" w:hAnsi="宋体"/>
                <w:color w:val="auto"/>
                <w:szCs w:val="21"/>
              </w:rPr>
              <w:t>前附表</w:t>
            </w:r>
            <w:r>
              <w:rPr>
                <w:color w:val="auto"/>
                <w:szCs w:val="21"/>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1124" w:type="dxa"/>
            <w:vMerge w:val="continue"/>
            <w:tcBorders>
              <w:top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rFonts w:hint="eastAsia"/>
                <w:color w:val="auto"/>
                <w:szCs w:val="21"/>
              </w:rPr>
              <w:t>审计报告</w:t>
            </w:r>
          </w:p>
        </w:tc>
        <w:tc>
          <w:tcPr>
            <w:tcW w:w="5103"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符合第二章“投标人须知</w:t>
            </w:r>
            <w:r>
              <w:rPr>
                <w:rFonts w:hint="eastAsia" w:ascii="宋体" w:hAnsi="宋体"/>
                <w:color w:val="auto"/>
                <w:szCs w:val="21"/>
              </w:rPr>
              <w:t>前附表</w:t>
            </w:r>
            <w:r>
              <w:rPr>
                <w:color w:val="auto"/>
                <w:szCs w:val="21"/>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1124" w:type="dxa"/>
            <w:vMerge w:val="continue"/>
            <w:tcBorders>
              <w:top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rFonts w:hint="eastAsia"/>
                <w:color w:val="auto"/>
                <w:szCs w:val="21"/>
              </w:rPr>
              <w:t>税收和社会保障资金</w:t>
            </w:r>
          </w:p>
        </w:tc>
        <w:tc>
          <w:tcPr>
            <w:tcW w:w="5103"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符合第二章“投标人须知</w:t>
            </w:r>
            <w:r>
              <w:rPr>
                <w:rFonts w:hint="eastAsia" w:ascii="宋体" w:hAnsi="宋体"/>
                <w:color w:val="auto"/>
                <w:szCs w:val="21"/>
              </w:rPr>
              <w:t>前附表</w:t>
            </w:r>
            <w:r>
              <w:rPr>
                <w:color w:val="auto"/>
                <w:szCs w:val="21"/>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1124" w:type="dxa"/>
            <w:vMerge w:val="continue"/>
            <w:tcBorders>
              <w:top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eastAsia="宋体"/>
                <w:color w:val="auto"/>
                <w:szCs w:val="21"/>
                <w:lang w:val="en-US" w:eastAsia="zh-CN"/>
              </w:rPr>
            </w:pPr>
            <w:r>
              <w:rPr>
                <w:rFonts w:hint="eastAsia"/>
                <w:color w:val="auto"/>
                <w:szCs w:val="21"/>
              </w:rPr>
              <w:t>信用信息</w:t>
            </w:r>
            <w:r>
              <w:rPr>
                <w:rFonts w:hint="eastAsia"/>
                <w:color w:val="auto"/>
                <w:szCs w:val="21"/>
                <w:lang w:val="en-US" w:eastAsia="zh-CN"/>
              </w:rPr>
              <w:t>查询</w:t>
            </w:r>
          </w:p>
        </w:tc>
        <w:tc>
          <w:tcPr>
            <w:tcW w:w="5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符合第二章“投标人须知</w:t>
            </w:r>
            <w:r>
              <w:rPr>
                <w:rFonts w:hint="eastAsia" w:ascii="宋体" w:hAnsi="宋体"/>
                <w:color w:val="auto"/>
                <w:szCs w:val="21"/>
              </w:rPr>
              <w:t>前附表</w:t>
            </w:r>
            <w:r>
              <w:rPr>
                <w:color w:val="auto"/>
                <w:szCs w:val="21"/>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1124" w:type="dxa"/>
            <w:vMerge w:val="continue"/>
            <w:tcBorders>
              <w:top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rFonts w:hint="eastAsia"/>
                <w:color w:val="auto"/>
                <w:szCs w:val="21"/>
              </w:rPr>
              <w:t>外省企业进豫承揽业务的</w:t>
            </w:r>
          </w:p>
        </w:tc>
        <w:tc>
          <w:tcPr>
            <w:tcW w:w="5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符合第二章“投标人须知</w:t>
            </w:r>
            <w:r>
              <w:rPr>
                <w:rFonts w:hint="eastAsia" w:ascii="宋体" w:hAnsi="宋体"/>
                <w:color w:val="auto"/>
                <w:szCs w:val="21"/>
              </w:rPr>
              <w:t>前附表</w:t>
            </w:r>
            <w:r>
              <w:rPr>
                <w:color w:val="auto"/>
                <w:szCs w:val="21"/>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1124" w:type="dxa"/>
            <w:vMerge w:val="continue"/>
            <w:tcBorders>
              <w:top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rFonts w:hint="eastAsia"/>
                <w:color w:val="auto"/>
                <w:szCs w:val="21"/>
              </w:rPr>
              <w:t>其他要求等</w:t>
            </w:r>
          </w:p>
        </w:tc>
        <w:tc>
          <w:tcPr>
            <w:tcW w:w="5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符合</w:t>
            </w:r>
            <w:r>
              <w:rPr>
                <w:rFonts w:hint="eastAsia"/>
                <w:color w:val="auto"/>
                <w:szCs w:val="21"/>
              </w:rPr>
              <w:t>招标文件</w:t>
            </w:r>
            <w:r>
              <w:rPr>
                <w:color w:val="auto"/>
                <w:szCs w:val="21"/>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1124" w:type="dxa"/>
            <w:vMerge w:val="restart"/>
            <w:tcBorders>
              <w:top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响应性</w:t>
            </w:r>
          </w:p>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评审标准</w:t>
            </w: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eastAsia="宋体"/>
                <w:color w:val="auto"/>
                <w:szCs w:val="21"/>
                <w:lang w:val="en-US" w:eastAsia="zh-CN"/>
              </w:rPr>
            </w:pPr>
            <w:r>
              <w:rPr>
                <w:color w:val="auto"/>
                <w:szCs w:val="21"/>
              </w:rPr>
              <w:t>投标</w:t>
            </w:r>
            <w:r>
              <w:rPr>
                <w:rFonts w:hint="eastAsia"/>
                <w:color w:val="auto"/>
                <w:szCs w:val="21"/>
                <w:lang w:val="en-US" w:eastAsia="zh-CN"/>
              </w:rPr>
              <w:t>范围</w:t>
            </w:r>
          </w:p>
        </w:tc>
        <w:tc>
          <w:tcPr>
            <w:tcW w:w="5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符合第二章“投标人须知</w:t>
            </w:r>
            <w:r>
              <w:rPr>
                <w:rFonts w:hint="eastAsia" w:ascii="宋体" w:hAnsi="宋体"/>
                <w:color w:val="auto"/>
                <w:szCs w:val="21"/>
              </w:rPr>
              <w:t>前附表</w:t>
            </w:r>
            <w:r>
              <w:rPr>
                <w:color w:val="auto"/>
                <w:szCs w:val="21"/>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1124" w:type="dxa"/>
            <w:vMerge w:val="continue"/>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rFonts w:hint="eastAsia"/>
                <w:color w:val="auto"/>
                <w:szCs w:val="21"/>
              </w:rPr>
              <w:t>投标报价</w:t>
            </w:r>
          </w:p>
        </w:tc>
        <w:tc>
          <w:tcPr>
            <w:tcW w:w="5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符合第二章“投标人须知</w:t>
            </w:r>
            <w:r>
              <w:rPr>
                <w:rFonts w:hint="eastAsia" w:ascii="宋体" w:hAnsi="宋体"/>
                <w:color w:val="auto"/>
                <w:szCs w:val="21"/>
              </w:rPr>
              <w:t>前附表</w:t>
            </w:r>
            <w:r>
              <w:rPr>
                <w:color w:val="auto"/>
                <w:szCs w:val="21"/>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1124" w:type="dxa"/>
            <w:vMerge w:val="continue"/>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工期</w:t>
            </w:r>
          </w:p>
        </w:tc>
        <w:tc>
          <w:tcPr>
            <w:tcW w:w="5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符合第二章“投标人须知</w:t>
            </w:r>
            <w:r>
              <w:rPr>
                <w:rFonts w:hint="eastAsia" w:ascii="宋体" w:hAnsi="宋体"/>
                <w:color w:val="auto"/>
                <w:szCs w:val="21"/>
              </w:rPr>
              <w:t>前附表</w:t>
            </w:r>
            <w:r>
              <w:rPr>
                <w:color w:val="auto"/>
                <w:szCs w:val="21"/>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1124" w:type="dxa"/>
            <w:vMerge w:val="continue"/>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eastAsia="宋体"/>
                <w:color w:val="auto"/>
                <w:szCs w:val="21"/>
                <w:lang w:eastAsia="zh-CN"/>
              </w:rPr>
            </w:pPr>
            <w:r>
              <w:rPr>
                <w:color w:val="auto"/>
                <w:szCs w:val="21"/>
              </w:rPr>
              <w:t>质量</w:t>
            </w:r>
            <w:r>
              <w:rPr>
                <w:rFonts w:hint="eastAsia"/>
                <w:color w:val="auto"/>
                <w:szCs w:val="21"/>
                <w:lang w:eastAsia="zh-CN"/>
              </w:rPr>
              <w:t>标准</w:t>
            </w:r>
          </w:p>
        </w:tc>
        <w:tc>
          <w:tcPr>
            <w:tcW w:w="5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符合第二章“投标人须知</w:t>
            </w:r>
            <w:r>
              <w:rPr>
                <w:rFonts w:hint="eastAsia" w:ascii="宋体" w:hAnsi="宋体"/>
                <w:color w:val="auto"/>
                <w:szCs w:val="21"/>
              </w:rPr>
              <w:t>前附表</w:t>
            </w:r>
            <w:r>
              <w:rPr>
                <w:color w:val="auto"/>
                <w:szCs w:val="21"/>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1124" w:type="dxa"/>
            <w:vMerge w:val="continue"/>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rFonts w:hint="eastAsia"/>
                <w:color w:val="auto"/>
                <w:szCs w:val="21"/>
              </w:rPr>
              <w:t>安全目标</w:t>
            </w:r>
          </w:p>
        </w:tc>
        <w:tc>
          <w:tcPr>
            <w:tcW w:w="5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符合第二章“投标人须知</w:t>
            </w:r>
            <w:r>
              <w:rPr>
                <w:rFonts w:hint="eastAsia" w:ascii="宋体" w:hAnsi="宋体"/>
                <w:color w:val="auto"/>
                <w:szCs w:val="21"/>
              </w:rPr>
              <w:t>前附表</w:t>
            </w:r>
            <w:r>
              <w:rPr>
                <w:color w:val="auto"/>
                <w:szCs w:val="21"/>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1124" w:type="dxa"/>
            <w:vMerge w:val="continue"/>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rFonts w:hint="eastAsia"/>
                <w:color w:val="auto"/>
                <w:szCs w:val="21"/>
              </w:rPr>
              <w:t>文明工地目标</w:t>
            </w:r>
          </w:p>
        </w:tc>
        <w:tc>
          <w:tcPr>
            <w:tcW w:w="5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符合第二章“投标人须知</w:t>
            </w:r>
            <w:r>
              <w:rPr>
                <w:rFonts w:hint="eastAsia" w:ascii="宋体" w:hAnsi="宋体"/>
                <w:color w:val="auto"/>
                <w:szCs w:val="21"/>
              </w:rPr>
              <w:t>前附表</w:t>
            </w:r>
            <w:r>
              <w:rPr>
                <w:color w:val="auto"/>
                <w:szCs w:val="21"/>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1124" w:type="dxa"/>
            <w:vMerge w:val="continue"/>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rFonts w:hint="eastAsia"/>
                <w:color w:val="auto"/>
                <w:szCs w:val="21"/>
              </w:rPr>
              <w:t>扬尘治理目标</w:t>
            </w:r>
          </w:p>
        </w:tc>
        <w:tc>
          <w:tcPr>
            <w:tcW w:w="5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符合第二章“投标人须知</w:t>
            </w:r>
            <w:r>
              <w:rPr>
                <w:rFonts w:hint="eastAsia" w:ascii="宋体" w:hAnsi="宋体"/>
                <w:color w:val="auto"/>
                <w:szCs w:val="21"/>
              </w:rPr>
              <w:t>前附表</w:t>
            </w:r>
            <w:r>
              <w:rPr>
                <w:color w:val="auto"/>
                <w:szCs w:val="21"/>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1124" w:type="dxa"/>
            <w:vMerge w:val="continue"/>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rFonts w:hint="eastAsia"/>
                <w:color w:val="auto"/>
                <w:szCs w:val="21"/>
              </w:rPr>
              <w:t>缺陷责任期</w:t>
            </w:r>
          </w:p>
        </w:tc>
        <w:tc>
          <w:tcPr>
            <w:tcW w:w="5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符合第二章“投标人须知</w:t>
            </w:r>
            <w:r>
              <w:rPr>
                <w:rFonts w:hint="eastAsia" w:ascii="宋体" w:hAnsi="宋体"/>
                <w:color w:val="auto"/>
                <w:szCs w:val="21"/>
              </w:rPr>
              <w:t>前附表</w:t>
            </w:r>
            <w:r>
              <w:rPr>
                <w:color w:val="auto"/>
                <w:szCs w:val="21"/>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1124" w:type="dxa"/>
            <w:vMerge w:val="continue"/>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highlight w:val="yellow"/>
              </w:rPr>
            </w:pPr>
            <w:r>
              <w:rPr>
                <w:rFonts w:hint="eastAsia"/>
                <w:color w:val="auto"/>
                <w:szCs w:val="21"/>
              </w:rPr>
              <w:t>投标有效期</w:t>
            </w:r>
          </w:p>
        </w:tc>
        <w:tc>
          <w:tcPr>
            <w:tcW w:w="5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highlight w:val="yellow"/>
              </w:rPr>
            </w:pPr>
            <w:r>
              <w:rPr>
                <w:color w:val="auto"/>
                <w:szCs w:val="21"/>
              </w:rPr>
              <w:t>符合第二章“投标人须知</w:t>
            </w:r>
            <w:r>
              <w:rPr>
                <w:rFonts w:hint="eastAsia" w:ascii="宋体" w:hAnsi="宋体"/>
                <w:color w:val="auto"/>
                <w:szCs w:val="21"/>
              </w:rPr>
              <w:t>前附表</w:t>
            </w:r>
            <w:r>
              <w:rPr>
                <w:color w:val="auto"/>
                <w:szCs w:val="21"/>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1124" w:type="dxa"/>
            <w:vMerge w:val="continue"/>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投标保证金</w:t>
            </w:r>
          </w:p>
        </w:tc>
        <w:tc>
          <w:tcPr>
            <w:tcW w:w="5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符合第二章“投标人须知</w:t>
            </w:r>
            <w:r>
              <w:rPr>
                <w:rFonts w:hint="eastAsia" w:ascii="宋体" w:hAnsi="宋体"/>
                <w:color w:val="auto"/>
                <w:szCs w:val="21"/>
              </w:rPr>
              <w:t>前附表</w:t>
            </w:r>
            <w:r>
              <w:rPr>
                <w:color w:val="auto"/>
                <w:szCs w:val="21"/>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1124" w:type="dxa"/>
            <w:vMerge w:val="continue"/>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rFonts w:hint="eastAsia"/>
                <w:color w:val="auto"/>
                <w:szCs w:val="21"/>
              </w:rPr>
              <w:t>付款方式</w:t>
            </w:r>
          </w:p>
        </w:tc>
        <w:tc>
          <w:tcPr>
            <w:tcW w:w="5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符合第二章“投标人须知</w:t>
            </w:r>
            <w:r>
              <w:rPr>
                <w:rFonts w:hint="eastAsia" w:ascii="宋体" w:hAnsi="宋体"/>
                <w:color w:val="auto"/>
                <w:szCs w:val="21"/>
              </w:rPr>
              <w:t>前附表</w:t>
            </w:r>
            <w:r>
              <w:rPr>
                <w:color w:val="auto"/>
                <w:szCs w:val="21"/>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1124" w:type="dxa"/>
            <w:vMerge w:val="continue"/>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rFonts w:hint="eastAsia"/>
                <w:color w:val="auto"/>
                <w:szCs w:val="21"/>
              </w:rPr>
              <w:t>已标价工程量清</w:t>
            </w:r>
            <w:r>
              <w:rPr>
                <w:rFonts w:hint="eastAsia"/>
                <w:color w:val="auto"/>
                <w:szCs w:val="21"/>
                <w:lang w:eastAsia="zh-CN"/>
              </w:rPr>
              <w:t>单</w:t>
            </w:r>
            <w:bookmarkStart w:id="240" w:name="_GoBack"/>
            <w:bookmarkEnd w:id="240"/>
          </w:p>
        </w:tc>
        <w:tc>
          <w:tcPr>
            <w:tcW w:w="5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rFonts w:hint="eastAsia"/>
                <w:color w:val="auto"/>
                <w:szCs w:val="21"/>
              </w:rPr>
              <w:t>符合第五章“工程量清单”的要求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1124" w:type="dxa"/>
            <w:vMerge w:val="continue"/>
            <w:tcBorders>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rFonts w:hint="eastAsia"/>
                <w:color w:val="auto"/>
                <w:szCs w:val="21"/>
              </w:rPr>
              <w:t>其他</w:t>
            </w:r>
          </w:p>
        </w:tc>
        <w:tc>
          <w:tcPr>
            <w:tcW w:w="5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rFonts w:hint="eastAsia"/>
                <w:color w:val="auto"/>
                <w:szCs w:val="21"/>
              </w:rPr>
              <w:t>招标文件规定的其他内容</w:t>
            </w:r>
          </w:p>
        </w:tc>
      </w:tr>
    </w:tbl>
    <w:p>
      <w:pPr>
        <w:spacing w:line="420" w:lineRule="exact"/>
        <w:rPr>
          <w:rFonts w:ascii="宋体" w:hAnsi="宋体"/>
          <w:b/>
          <w:color w:val="auto"/>
          <w:kern w:val="0"/>
          <w:szCs w:val="21"/>
        </w:rPr>
      </w:pPr>
      <w:r>
        <w:rPr>
          <w:rFonts w:hint="eastAsia" w:ascii="宋体" w:hAnsi="宋体"/>
          <w:b/>
          <w:color w:val="auto"/>
          <w:kern w:val="0"/>
          <w:szCs w:val="21"/>
        </w:rPr>
        <w:t>1、评标办法</w:t>
      </w:r>
    </w:p>
    <w:p>
      <w:pPr>
        <w:pageBreakBefore w:val="0"/>
        <w:kinsoku/>
        <w:wordWrap/>
        <w:overflowPunct/>
        <w:topLinePunct w:val="0"/>
        <w:autoSpaceDE/>
        <w:autoSpaceDN/>
        <w:bidi w:val="0"/>
        <w:adjustRightInd/>
        <w:snapToGrid/>
        <w:spacing w:line="240" w:lineRule="auto"/>
        <w:ind w:firstLine="406" w:firstLineChars="200"/>
        <w:rPr>
          <w:rFonts w:ascii="宋体" w:hAnsi="宋体"/>
          <w:color w:val="auto"/>
          <w:szCs w:val="21"/>
        </w:rPr>
      </w:pPr>
      <w:r>
        <w:rPr>
          <w:rFonts w:hint="eastAsia" w:ascii="宋体" w:hAnsi="宋体"/>
          <w:color w:val="auto"/>
          <w:szCs w:val="21"/>
        </w:rPr>
        <w:t>本次评标采用综合评估法。评标委员会对满足招标文件实质性要求的投标文件，按照详细评审标准进行打分，</w:t>
      </w:r>
      <w:r>
        <w:rPr>
          <w:rFonts w:hint="eastAsia"/>
          <w:color w:val="auto"/>
          <w:szCs w:val="21"/>
        </w:rPr>
        <w:t>按照得分由</w:t>
      </w:r>
      <w:r>
        <w:rPr>
          <w:rFonts w:hint="eastAsia" w:ascii="宋体" w:hAnsi="宋体"/>
          <w:color w:val="auto"/>
          <w:kern w:val="0"/>
          <w:szCs w:val="21"/>
        </w:rPr>
        <w:t>高到低的顺序推荐前3名为中标候选人。当合计得分最高的出现相等时，按投标总报价由低到高的顺序排列；如总得分和投标总报价也相同时,按技术标得分由高到低的顺序排列；技术标得分相同时，按综合标得分由高到低的顺序排列；如都相同由评标委员会推荐。</w:t>
      </w:r>
    </w:p>
    <w:p>
      <w:pPr>
        <w:pageBreakBefore w:val="0"/>
        <w:kinsoku/>
        <w:wordWrap/>
        <w:overflowPunct/>
        <w:topLinePunct w:val="0"/>
        <w:autoSpaceDE/>
        <w:autoSpaceDN/>
        <w:bidi w:val="0"/>
        <w:adjustRightInd/>
        <w:snapToGrid/>
        <w:spacing w:line="240" w:lineRule="auto"/>
        <w:rPr>
          <w:rFonts w:ascii="宋体" w:hAnsi="宋体"/>
          <w:b/>
          <w:color w:val="auto"/>
          <w:kern w:val="0"/>
          <w:szCs w:val="21"/>
        </w:rPr>
      </w:pPr>
      <w:r>
        <w:rPr>
          <w:rFonts w:hint="eastAsia" w:ascii="宋体" w:hAnsi="宋体"/>
          <w:b/>
          <w:color w:val="auto"/>
          <w:kern w:val="0"/>
          <w:szCs w:val="21"/>
        </w:rPr>
        <w:t>2、评审标准和程序</w:t>
      </w:r>
    </w:p>
    <w:p>
      <w:pPr>
        <w:pageBreakBefore w:val="0"/>
        <w:kinsoku/>
        <w:wordWrap/>
        <w:overflowPunct/>
        <w:topLinePunct w:val="0"/>
        <w:autoSpaceDE/>
        <w:autoSpaceDN/>
        <w:bidi w:val="0"/>
        <w:adjustRightInd/>
        <w:snapToGrid/>
        <w:spacing w:line="240" w:lineRule="auto"/>
        <w:ind w:firstLine="406" w:firstLineChars="200"/>
        <w:rPr>
          <w:rFonts w:ascii="宋体" w:hAnsi="宋体"/>
          <w:color w:val="auto"/>
          <w:kern w:val="0"/>
          <w:szCs w:val="21"/>
        </w:rPr>
      </w:pPr>
      <w:r>
        <w:rPr>
          <w:rFonts w:hint="eastAsia" w:ascii="宋体" w:hAnsi="宋体"/>
          <w:color w:val="auto"/>
          <w:kern w:val="0"/>
          <w:szCs w:val="21"/>
        </w:rPr>
        <w:t>评标活动分为初步评审和详细评审等阶段。</w:t>
      </w:r>
    </w:p>
    <w:p>
      <w:pPr>
        <w:pageBreakBefore w:val="0"/>
        <w:kinsoku/>
        <w:wordWrap/>
        <w:overflowPunct/>
        <w:topLinePunct w:val="0"/>
        <w:autoSpaceDE/>
        <w:autoSpaceDN/>
        <w:bidi w:val="0"/>
        <w:adjustRightInd/>
        <w:snapToGrid/>
        <w:spacing w:line="240" w:lineRule="auto"/>
        <w:rPr>
          <w:rFonts w:ascii="宋体" w:hAnsi="宋体"/>
          <w:b/>
          <w:color w:val="auto"/>
          <w:kern w:val="0"/>
          <w:szCs w:val="21"/>
        </w:rPr>
      </w:pPr>
      <w:r>
        <w:rPr>
          <w:rFonts w:hint="eastAsia" w:ascii="宋体" w:hAnsi="宋体"/>
          <w:b/>
          <w:color w:val="auto"/>
          <w:kern w:val="0"/>
          <w:szCs w:val="21"/>
        </w:rPr>
        <w:t>2.1 初步评审</w:t>
      </w:r>
    </w:p>
    <w:p>
      <w:pPr>
        <w:pageBreakBefore w:val="0"/>
        <w:kinsoku/>
        <w:wordWrap/>
        <w:overflowPunct/>
        <w:topLinePunct w:val="0"/>
        <w:autoSpaceDE/>
        <w:autoSpaceDN/>
        <w:bidi w:val="0"/>
        <w:adjustRightInd/>
        <w:snapToGrid/>
        <w:spacing w:line="240" w:lineRule="auto"/>
        <w:ind w:firstLine="406" w:firstLineChars="200"/>
        <w:rPr>
          <w:rFonts w:ascii="宋体" w:hAnsi="宋体"/>
          <w:color w:val="auto"/>
          <w:kern w:val="0"/>
          <w:szCs w:val="21"/>
        </w:rPr>
      </w:pPr>
      <w:r>
        <w:rPr>
          <w:rFonts w:hint="eastAsia" w:ascii="宋体" w:hAnsi="宋体"/>
          <w:color w:val="auto"/>
          <w:kern w:val="0"/>
          <w:szCs w:val="21"/>
        </w:rPr>
        <w:t>2.1.1评标委员会按招标文件评标办法前附表及商务标清标内容（附件1）要求对投标文件的形式、响应性、资格条件等逐一进行评审。经审查不符合招标文件要求的，不再进入详细评审阶段；符合招标文件要求的投标文件为有效投标文件，进入详细评审阶段，其报价为有效投标报价。</w:t>
      </w:r>
    </w:p>
    <w:p>
      <w:pPr>
        <w:pageBreakBefore w:val="0"/>
        <w:kinsoku/>
        <w:wordWrap/>
        <w:overflowPunct/>
        <w:topLinePunct w:val="0"/>
        <w:autoSpaceDE/>
        <w:autoSpaceDN/>
        <w:bidi w:val="0"/>
        <w:adjustRightInd/>
        <w:snapToGrid/>
        <w:spacing w:line="240" w:lineRule="auto"/>
        <w:ind w:firstLine="406" w:firstLineChars="200"/>
        <w:rPr>
          <w:b/>
          <w:color w:val="auto"/>
        </w:rPr>
      </w:pPr>
      <w:r>
        <w:rPr>
          <w:rFonts w:hint="eastAsia" w:ascii="宋体" w:hAnsi="宋体"/>
          <w:b/>
          <w:color w:val="auto"/>
          <w:kern w:val="0"/>
          <w:szCs w:val="21"/>
        </w:rPr>
        <w:t>2.1.</w:t>
      </w:r>
      <w:r>
        <w:rPr>
          <w:rFonts w:hint="eastAsia" w:ascii="宋体" w:hAnsi="宋体"/>
          <w:b/>
          <w:color w:val="auto"/>
          <w:kern w:val="0"/>
          <w:szCs w:val="21"/>
          <w:lang w:val="en-US" w:eastAsia="zh-CN"/>
        </w:rPr>
        <w:t>2</w:t>
      </w:r>
      <w:r>
        <w:rPr>
          <w:rFonts w:hint="eastAsia"/>
          <w:b/>
          <w:color w:val="auto"/>
        </w:rPr>
        <w:t xml:space="preserve"> 投标人有以下情形之一的，按否决投标处理：</w:t>
      </w:r>
    </w:p>
    <w:p>
      <w:pPr>
        <w:pageBreakBefore w:val="0"/>
        <w:kinsoku/>
        <w:wordWrap/>
        <w:overflowPunct/>
        <w:topLinePunct w:val="0"/>
        <w:autoSpaceDE/>
        <w:autoSpaceDN/>
        <w:bidi w:val="0"/>
        <w:adjustRightInd/>
        <w:snapToGrid/>
        <w:spacing w:line="240" w:lineRule="auto"/>
        <w:ind w:firstLine="406" w:firstLineChars="200"/>
        <w:rPr>
          <w:b/>
          <w:color w:val="auto"/>
        </w:rPr>
      </w:pPr>
      <w:r>
        <w:rPr>
          <w:rFonts w:hint="eastAsia"/>
          <w:b/>
          <w:color w:val="auto"/>
        </w:rPr>
        <w:t>（1）第二章“投标人须知”第1.4.3项规定的任何一种情形的；</w:t>
      </w:r>
    </w:p>
    <w:p>
      <w:pPr>
        <w:pageBreakBefore w:val="0"/>
        <w:kinsoku/>
        <w:wordWrap/>
        <w:overflowPunct/>
        <w:topLinePunct w:val="0"/>
        <w:autoSpaceDE/>
        <w:autoSpaceDN/>
        <w:bidi w:val="0"/>
        <w:adjustRightInd/>
        <w:snapToGrid/>
        <w:spacing w:line="240" w:lineRule="auto"/>
        <w:ind w:firstLine="406" w:firstLineChars="200"/>
        <w:rPr>
          <w:b/>
          <w:color w:val="auto"/>
        </w:rPr>
      </w:pPr>
      <w:r>
        <w:rPr>
          <w:rFonts w:hint="eastAsia"/>
          <w:b/>
          <w:color w:val="auto"/>
        </w:rPr>
        <w:t>（2）串通投标或弄虚作假或有其他违法行为的；</w:t>
      </w:r>
    </w:p>
    <w:p>
      <w:pPr>
        <w:pageBreakBefore w:val="0"/>
        <w:kinsoku/>
        <w:wordWrap/>
        <w:overflowPunct/>
        <w:topLinePunct w:val="0"/>
        <w:autoSpaceDE/>
        <w:autoSpaceDN/>
        <w:bidi w:val="0"/>
        <w:adjustRightInd/>
        <w:snapToGrid/>
        <w:spacing w:line="240" w:lineRule="auto"/>
        <w:ind w:firstLine="406" w:firstLineChars="200"/>
        <w:rPr>
          <w:b/>
          <w:color w:val="auto"/>
        </w:rPr>
      </w:pPr>
      <w:r>
        <w:rPr>
          <w:rFonts w:hint="eastAsia"/>
          <w:b/>
          <w:color w:val="auto"/>
        </w:rPr>
        <w:t>（3）不按评标委员会要求澄清、说明或补正的；</w:t>
      </w:r>
    </w:p>
    <w:p>
      <w:pPr>
        <w:pageBreakBefore w:val="0"/>
        <w:kinsoku/>
        <w:wordWrap/>
        <w:overflowPunct/>
        <w:topLinePunct w:val="0"/>
        <w:autoSpaceDE/>
        <w:autoSpaceDN/>
        <w:bidi w:val="0"/>
        <w:adjustRightInd/>
        <w:snapToGrid/>
        <w:spacing w:line="240" w:lineRule="auto"/>
        <w:ind w:firstLine="406" w:firstLineChars="200"/>
        <w:rPr>
          <w:b/>
          <w:color w:val="auto"/>
        </w:rPr>
      </w:pPr>
      <w:r>
        <w:rPr>
          <w:rFonts w:hint="eastAsia"/>
          <w:b/>
          <w:color w:val="auto"/>
        </w:rPr>
        <w:t>（4）投标文件不按规定签字盖章的；</w:t>
      </w:r>
    </w:p>
    <w:p>
      <w:pPr>
        <w:pageBreakBefore w:val="0"/>
        <w:kinsoku/>
        <w:wordWrap/>
        <w:overflowPunct/>
        <w:topLinePunct w:val="0"/>
        <w:autoSpaceDE/>
        <w:autoSpaceDN/>
        <w:bidi w:val="0"/>
        <w:adjustRightInd/>
        <w:snapToGrid/>
        <w:spacing w:line="240" w:lineRule="auto"/>
        <w:ind w:firstLine="406" w:firstLineChars="200"/>
        <w:rPr>
          <w:b/>
          <w:color w:val="auto"/>
        </w:rPr>
      </w:pPr>
      <w:r>
        <w:rPr>
          <w:rFonts w:hint="eastAsia"/>
          <w:b/>
          <w:color w:val="auto"/>
        </w:rPr>
        <w:t>（5）投标文件的关键内容字迹模糊，无法辨认的；</w:t>
      </w:r>
    </w:p>
    <w:p>
      <w:pPr>
        <w:pageBreakBefore w:val="0"/>
        <w:kinsoku/>
        <w:wordWrap/>
        <w:overflowPunct/>
        <w:topLinePunct w:val="0"/>
        <w:autoSpaceDE/>
        <w:autoSpaceDN/>
        <w:bidi w:val="0"/>
        <w:adjustRightInd/>
        <w:snapToGrid/>
        <w:spacing w:line="240" w:lineRule="auto"/>
        <w:ind w:firstLine="406" w:firstLineChars="200"/>
        <w:rPr>
          <w:b/>
          <w:color w:val="auto"/>
        </w:rPr>
      </w:pPr>
      <w:r>
        <w:rPr>
          <w:rFonts w:hint="eastAsia"/>
          <w:b/>
          <w:color w:val="auto"/>
        </w:rPr>
        <w:t>（6）未按规定提交投标保证金或投标保函的；</w:t>
      </w:r>
    </w:p>
    <w:p>
      <w:pPr>
        <w:pageBreakBefore w:val="0"/>
        <w:kinsoku/>
        <w:wordWrap/>
        <w:overflowPunct/>
        <w:topLinePunct w:val="0"/>
        <w:autoSpaceDE/>
        <w:autoSpaceDN/>
        <w:bidi w:val="0"/>
        <w:adjustRightInd/>
        <w:snapToGrid/>
        <w:spacing w:line="240" w:lineRule="auto"/>
        <w:ind w:firstLine="406" w:firstLineChars="200"/>
        <w:rPr>
          <w:b/>
          <w:color w:val="auto"/>
        </w:rPr>
      </w:pPr>
      <w:r>
        <w:rPr>
          <w:rFonts w:hint="eastAsia"/>
          <w:b/>
          <w:color w:val="auto"/>
        </w:rPr>
        <w:t>（7）投标人的投标报价高于最高投标限价或低于成本价的；</w:t>
      </w:r>
    </w:p>
    <w:p>
      <w:pPr>
        <w:pageBreakBefore w:val="0"/>
        <w:kinsoku/>
        <w:wordWrap/>
        <w:overflowPunct/>
        <w:topLinePunct w:val="0"/>
        <w:autoSpaceDE/>
        <w:autoSpaceDN/>
        <w:bidi w:val="0"/>
        <w:adjustRightInd/>
        <w:snapToGrid/>
        <w:spacing w:line="240" w:lineRule="auto"/>
        <w:ind w:firstLine="406" w:firstLineChars="200"/>
        <w:rPr>
          <w:b/>
          <w:color w:val="auto"/>
        </w:rPr>
      </w:pPr>
      <w:r>
        <w:rPr>
          <w:rFonts w:hint="eastAsia"/>
          <w:b/>
          <w:color w:val="auto"/>
        </w:rPr>
        <w:t>（8）未按招标文件规定编制各项报价的；</w:t>
      </w:r>
    </w:p>
    <w:p>
      <w:pPr>
        <w:pageBreakBefore w:val="0"/>
        <w:kinsoku/>
        <w:wordWrap/>
        <w:overflowPunct/>
        <w:topLinePunct w:val="0"/>
        <w:autoSpaceDE/>
        <w:autoSpaceDN/>
        <w:bidi w:val="0"/>
        <w:adjustRightInd/>
        <w:snapToGrid/>
        <w:spacing w:line="240" w:lineRule="auto"/>
        <w:ind w:firstLine="406" w:firstLineChars="200"/>
        <w:rPr>
          <w:b/>
          <w:color w:val="auto"/>
        </w:rPr>
      </w:pPr>
      <w:r>
        <w:rPr>
          <w:rFonts w:hint="eastAsia" w:ascii="宋体" w:hAnsi="宋体"/>
          <w:b/>
          <w:color w:val="auto"/>
          <w:kern w:val="0"/>
          <w:szCs w:val="21"/>
        </w:rPr>
        <w:t>（9）</w:t>
      </w:r>
      <w:r>
        <w:rPr>
          <w:rFonts w:hint="eastAsia"/>
          <w:b/>
          <w:color w:val="auto"/>
        </w:rPr>
        <w:t>投标人不按照招标文件提供的工程量清单及编码进行工程量清单综合单价分析的；</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rPr>
      </w:pPr>
      <w:r>
        <w:rPr>
          <w:rFonts w:hint="eastAsia" w:ascii="宋体" w:hAnsi="宋体"/>
          <w:b/>
          <w:color w:val="auto"/>
          <w:kern w:val="0"/>
          <w:szCs w:val="21"/>
        </w:rPr>
        <w:t>（10）投标报价与其组成部分、工程量清单项目合价与综合单价、综合单价与人材机用量相互矛盾，致使评标委员会无法正常评审判定的；</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rPr>
      </w:pPr>
      <w:r>
        <w:rPr>
          <w:rFonts w:hint="eastAsia" w:ascii="宋体" w:hAnsi="宋体"/>
          <w:b/>
          <w:color w:val="auto"/>
          <w:kern w:val="0"/>
          <w:szCs w:val="21"/>
        </w:rPr>
        <w:t>（11）规费和安全文明施工费违反工程造价计价有关规定的；</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rPr>
      </w:pPr>
      <w:r>
        <w:rPr>
          <w:rFonts w:hint="eastAsia" w:ascii="宋体" w:hAnsi="宋体"/>
          <w:b/>
          <w:color w:val="auto"/>
          <w:kern w:val="0"/>
          <w:szCs w:val="21"/>
        </w:rPr>
        <w:t>（12）分部分项工程项目、措施项目报价中的项目编码、项目名称、项目特征、计量单位和工程量与招标文件的清单不一致的；主要材料价格表中的材料品种未包含招标人提供的主要材料价格表中的材料品种；</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rPr>
      </w:pPr>
      <w:r>
        <w:rPr>
          <w:rFonts w:hint="eastAsia" w:ascii="宋体" w:hAnsi="宋体"/>
          <w:b/>
          <w:color w:val="auto"/>
          <w:kern w:val="0"/>
          <w:szCs w:val="21"/>
        </w:rPr>
        <w:t>（13）未按照招标文件所列明的暂列金额、暂估价编制投标报价的；</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rPr>
      </w:pPr>
      <w:r>
        <w:rPr>
          <w:rFonts w:hint="eastAsia" w:ascii="宋体" w:hAnsi="宋体"/>
          <w:b/>
          <w:color w:val="auto"/>
          <w:kern w:val="0"/>
          <w:szCs w:val="21"/>
        </w:rPr>
        <w:t>（</w:t>
      </w:r>
      <w:r>
        <w:rPr>
          <w:rFonts w:hint="eastAsia" w:ascii="宋体" w:hAnsi="宋体"/>
          <w:b/>
          <w:color w:val="auto"/>
          <w:kern w:val="0"/>
          <w:szCs w:val="21"/>
          <w:lang w:val="en-US" w:eastAsia="zh-CN"/>
        </w:rPr>
        <w:t>14</w:t>
      </w:r>
      <w:r>
        <w:rPr>
          <w:rFonts w:hint="eastAsia" w:ascii="宋体" w:hAnsi="宋体"/>
          <w:b/>
          <w:color w:val="auto"/>
          <w:kern w:val="0"/>
          <w:szCs w:val="21"/>
        </w:rPr>
        <w:t>）不同投标人的投标文件中列出的人工费、材料费、机械使用费、管理费及利润的价格构成部分或全部雷同的，不同投标人的投标报价或报价组成出现非正常一致，或呈现非正常规律性变化的；</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highlight w:val="none"/>
        </w:rPr>
      </w:pPr>
      <w:r>
        <w:rPr>
          <w:rFonts w:hint="eastAsia" w:ascii="宋体" w:hAnsi="宋体"/>
          <w:b/>
          <w:color w:val="auto"/>
          <w:kern w:val="0"/>
          <w:szCs w:val="21"/>
          <w:highlight w:val="none"/>
        </w:rPr>
        <w:t>（</w:t>
      </w:r>
      <w:r>
        <w:rPr>
          <w:rFonts w:hint="eastAsia" w:ascii="宋体" w:hAnsi="宋体"/>
          <w:b/>
          <w:color w:val="auto"/>
          <w:kern w:val="0"/>
          <w:szCs w:val="21"/>
          <w:highlight w:val="none"/>
          <w:lang w:val="en-US" w:eastAsia="zh-CN"/>
        </w:rPr>
        <w:t>15</w:t>
      </w:r>
      <w:r>
        <w:rPr>
          <w:rFonts w:hint="eastAsia" w:ascii="宋体" w:hAnsi="宋体"/>
          <w:b/>
          <w:color w:val="auto"/>
          <w:kern w:val="0"/>
          <w:szCs w:val="21"/>
          <w:highlight w:val="none"/>
        </w:rPr>
        <w:t>）</w:t>
      </w:r>
      <w:r>
        <w:rPr>
          <w:rFonts w:hint="eastAsia"/>
          <w:b/>
          <w:color w:val="auto"/>
          <w:highlight w:val="none"/>
        </w:rPr>
        <w:t>未对《洛阳市工程建设项目廉洁自律告知书》、《洛阳市工程建设项目廉洁自律承诺书》承诺的</w:t>
      </w:r>
      <w:r>
        <w:rPr>
          <w:rFonts w:hint="eastAsia" w:ascii="宋体" w:hAnsi="宋体"/>
          <w:b/>
          <w:color w:val="auto"/>
          <w:kern w:val="0"/>
          <w:szCs w:val="21"/>
          <w:highlight w:val="none"/>
        </w:rPr>
        <w:t>；</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highlight w:val="none"/>
        </w:rPr>
      </w:pPr>
      <w:r>
        <w:rPr>
          <w:rFonts w:hint="eastAsia" w:ascii="宋体" w:hAnsi="宋体"/>
          <w:b/>
          <w:color w:val="auto"/>
          <w:kern w:val="0"/>
          <w:szCs w:val="21"/>
          <w:highlight w:val="none"/>
        </w:rPr>
        <w:t>（</w:t>
      </w:r>
      <w:r>
        <w:rPr>
          <w:rFonts w:hint="eastAsia" w:ascii="宋体" w:hAnsi="宋体"/>
          <w:b/>
          <w:color w:val="auto"/>
          <w:kern w:val="0"/>
          <w:szCs w:val="21"/>
          <w:highlight w:val="none"/>
          <w:lang w:val="en-US" w:eastAsia="zh-CN"/>
        </w:rPr>
        <w:t>16</w:t>
      </w:r>
      <w:r>
        <w:rPr>
          <w:rFonts w:hint="eastAsia" w:ascii="宋体" w:hAnsi="宋体"/>
          <w:b/>
          <w:color w:val="auto"/>
          <w:kern w:val="0"/>
          <w:szCs w:val="21"/>
          <w:highlight w:val="none"/>
        </w:rPr>
        <w:t>）借用他人资质进行多重身份投标，不同的两家（或两家以上）投标人出现相同联系人的；</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highlight w:val="none"/>
        </w:rPr>
      </w:pPr>
      <w:r>
        <w:rPr>
          <w:rFonts w:hint="eastAsia" w:ascii="宋体" w:hAnsi="宋体"/>
          <w:b/>
          <w:color w:val="auto"/>
          <w:kern w:val="0"/>
          <w:szCs w:val="21"/>
          <w:highlight w:val="none"/>
        </w:rPr>
        <w:t>（1</w:t>
      </w:r>
      <w:r>
        <w:rPr>
          <w:rFonts w:hint="eastAsia" w:ascii="宋体" w:hAnsi="宋体"/>
          <w:b/>
          <w:color w:val="auto"/>
          <w:kern w:val="0"/>
          <w:szCs w:val="21"/>
          <w:highlight w:val="none"/>
          <w:lang w:val="en-US" w:eastAsia="zh-CN"/>
        </w:rPr>
        <w:t>7</w:t>
      </w:r>
      <w:r>
        <w:rPr>
          <w:rFonts w:hint="eastAsia" w:ascii="宋体" w:hAnsi="宋体"/>
          <w:b/>
          <w:color w:val="auto"/>
          <w:kern w:val="0"/>
          <w:szCs w:val="21"/>
          <w:highlight w:val="none"/>
        </w:rPr>
        <w:t>）开标前已有反映，开标后发现各投标人的报价等与反映情况相吻合的；</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highlight w:val="none"/>
        </w:rPr>
      </w:pPr>
      <w:r>
        <w:rPr>
          <w:rFonts w:hint="eastAsia" w:ascii="宋体" w:hAnsi="宋体"/>
          <w:b/>
          <w:color w:val="auto"/>
          <w:kern w:val="0"/>
          <w:szCs w:val="21"/>
          <w:highlight w:val="none"/>
        </w:rPr>
        <w:t>（</w:t>
      </w:r>
      <w:r>
        <w:rPr>
          <w:rFonts w:hint="eastAsia" w:ascii="宋体" w:hAnsi="宋体"/>
          <w:b/>
          <w:color w:val="auto"/>
          <w:kern w:val="0"/>
          <w:szCs w:val="21"/>
          <w:highlight w:val="none"/>
          <w:lang w:val="en-US" w:eastAsia="zh-CN"/>
        </w:rPr>
        <w:t>18</w:t>
      </w:r>
      <w:r>
        <w:rPr>
          <w:rFonts w:hint="eastAsia" w:ascii="宋体" w:hAnsi="宋体"/>
          <w:b/>
          <w:color w:val="auto"/>
          <w:kern w:val="0"/>
          <w:szCs w:val="21"/>
          <w:highlight w:val="none"/>
        </w:rPr>
        <w:t>）投标人之间为谋取中标或者排斥特定投标人而联合采取行动的；</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highlight w:val="none"/>
        </w:rPr>
      </w:pPr>
      <w:r>
        <w:rPr>
          <w:rFonts w:hint="eastAsia" w:ascii="宋体" w:hAnsi="宋体"/>
          <w:b/>
          <w:color w:val="auto"/>
          <w:kern w:val="0"/>
          <w:szCs w:val="21"/>
          <w:highlight w:val="none"/>
        </w:rPr>
        <w:t>（</w:t>
      </w:r>
      <w:r>
        <w:rPr>
          <w:rFonts w:hint="eastAsia" w:ascii="宋体" w:hAnsi="宋体"/>
          <w:b/>
          <w:color w:val="auto"/>
          <w:kern w:val="0"/>
          <w:szCs w:val="21"/>
          <w:highlight w:val="none"/>
          <w:lang w:val="en-US" w:eastAsia="zh-CN"/>
        </w:rPr>
        <w:t>19</w:t>
      </w:r>
      <w:r>
        <w:rPr>
          <w:rFonts w:hint="eastAsia" w:ascii="宋体" w:hAnsi="宋体"/>
          <w:b/>
          <w:color w:val="auto"/>
          <w:kern w:val="0"/>
          <w:szCs w:val="21"/>
          <w:highlight w:val="none"/>
        </w:rPr>
        <w:t>）不同投标人的投标文件由同一单位或者个人编制；</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highlight w:val="none"/>
        </w:rPr>
      </w:pPr>
      <w:r>
        <w:rPr>
          <w:rFonts w:hint="eastAsia" w:ascii="宋体" w:hAnsi="宋体"/>
          <w:b/>
          <w:color w:val="auto"/>
          <w:kern w:val="0"/>
          <w:szCs w:val="21"/>
          <w:highlight w:val="none"/>
        </w:rPr>
        <w:t>（2</w:t>
      </w:r>
      <w:r>
        <w:rPr>
          <w:rFonts w:hint="eastAsia" w:ascii="宋体" w:hAnsi="宋体"/>
          <w:b/>
          <w:color w:val="auto"/>
          <w:kern w:val="0"/>
          <w:szCs w:val="21"/>
          <w:highlight w:val="none"/>
          <w:lang w:val="en-US" w:eastAsia="zh-CN"/>
        </w:rPr>
        <w:t>0</w:t>
      </w:r>
      <w:r>
        <w:rPr>
          <w:rFonts w:hint="eastAsia" w:ascii="宋体" w:hAnsi="宋体"/>
          <w:b/>
          <w:color w:val="auto"/>
          <w:kern w:val="0"/>
          <w:szCs w:val="21"/>
          <w:highlight w:val="none"/>
        </w:rPr>
        <w:t>）不同投标人的投标文件及其它材料等相互混装的；</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highlight w:val="none"/>
        </w:rPr>
      </w:pPr>
      <w:r>
        <w:rPr>
          <w:rFonts w:hint="eastAsia" w:ascii="宋体" w:hAnsi="宋体"/>
          <w:b/>
          <w:color w:val="auto"/>
          <w:kern w:val="0"/>
          <w:szCs w:val="21"/>
          <w:highlight w:val="none"/>
        </w:rPr>
        <w:t>（2</w:t>
      </w:r>
      <w:r>
        <w:rPr>
          <w:rFonts w:hint="eastAsia" w:ascii="宋体" w:hAnsi="宋体"/>
          <w:b/>
          <w:color w:val="auto"/>
          <w:kern w:val="0"/>
          <w:szCs w:val="21"/>
          <w:highlight w:val="none"/>
          <w:lang w:val="en-US" w:eastAsia="zh-CN"/>
        </w:rPr>
        <w:t>1</w:t>
      </w:r>
      <w:r>
        <w:rPr>
          <w:rFonts w:hint="eastAsia" w:ascii="宋体" w:hAnsi="宋体"/>
          <w:b/>
          <w:color w:val="auto"/>
          <w:kern w:val="0"/>
          <w:szCs w:val="21"/>
          <w:highlight w:val="none"/>
        </w:rPr>
        <w:t>）不同投标人的投标保证金来源于同一投标人或同一账户的；</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highlight w:val="none"/>
        </w:rPr>
      </w:pPr>
      <w:r>
        <w:rPr>
          <w:rFonts w:hint="eastAsia" w:ascii="宋体" w:hAnsi="宋体"/>
          <w:b/>
          <w:color w:val="auto"/>
          <w:kern w:val="0"/>
          <w:szCs w:val="21"/>
          <w:highlight w:val="none"/>
        </w:rPr>
        <w:t>（2</w:t>
      </w:r>
      <w:r>
        <w:rPr>
          <w:rFonts w:hint="eastAsia" w:ascii="宋体" w:hAnsi="宋体"/>
          <w:b/>
          <w:color w:val="auto"/>
          <w:kern w:val="0"/>
          <w:szCs w:val="21"/>
          <w:highlight w:val="none"/>
          <w:lang w:val="en-US" w:eastAsia="zh-CN"/>
        </w:rPr>
        <w:t>2</w:t>
      </w:r>
      <w:r>
        <w:rPr>
          <w:rFonts w:hint="eastAsia" w:ascii="宋体" w:hAnsi="宋体"/>
          <w:b/>
          <w:color w:val="auto"/>
          <w:kern w:val="0"/>
          <w:szCs w:val="21"/>
          <w:highlight w:val="none"/>
        </w:rPr>
        <w:t>）不同投标人的投标文件的错漏之处非正常一致的；</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highlight w:val="none"/>
        </w:rPr>
      </w:pPr>
      <w:r>
        <w:rPr>
          <w:rFonts w:hint="eastAsia" w:ascii="宋体" w:hAnsi="宋体"/>
          <w:b/>
          <w:color w:val="auto"/>
          <w:kern w:val="0"/>
          <w:szCs w:val="21"/>
          <w:highlight w:val="none"/>
        </w:rPr>
        <w:t>（2</w:t>
      </w:r>
      <w:r>
        <w:rPr>
          <w:rFonts w:hint="eastAsia" w:ascii="宋体" w:hAnsi="宋体"/>
          <w:b/>
          <w:color w:val="auto"/>
          <w:kern w:val="0"/>
          <w:szCs w:val="21"/>
          <w:highlight w:val="none"/>
          <w:lang w:val="en-US" w:eastAsia="zh-CN"/>
        </w:rPr>
        <w:t>3</w:t>
      </w:r>
      <w:r>
        <w:rPr>
          <w:rFonts w:hint="eastAsia" w:ascii="宋体" w:hAnsi="宋体"/>
          <w:b/>
          <w:color w:val="auto"/>
          <w:kern w:val="0"/>
          <w:szCs w:val="21"/>
          <w:highlight w:val="none"/>
        </w:rPr>
        <w:t>）不同投标人的投标文件载明的项目管理班子或其他成员存在相同人员的；</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highlight w:val="none"/>
        </w:rPr>
      </w:pPr>
      <w:r>
        <w:rPr>
          <w:rFonts w:hint="eastAsia" w:ascii="宋体" w:hAnsi="宋体"/>
          <w:b/>
          <w:color w:val="auto"/>
          <w:kern w:val="0"/>
          <w:szCs w:val="21"/>
          <w:highlight w:val="none"/>
        </w:rPr>
        <w:t>（2</w:t>
      </w:r>
      <w:r>
        <w:rPr>
          <w:rFonts w:hint="eastAsia" w:ascii="宋体" w:hAnsi="宋体"/>
          <w:b/>
          <w:color w:val="auto"/>
          <w:kern w:val="0"/>
          <w:szCs w:val="21"/>
          <w:highlight w:val="none"/>
          <w:lang w:val="en-US" w:eastAsia="zh-CN"/>
        </w:rPr>
        <w:t>4</w:t>
      </w:r>
      <w:r>
        <w:rPr>
          <w:rFonts w:hint="eastAsia" w:ascii="宋体" w:hAnsi="宋体"/>
          <w:b/>
          <w:color w:val="auto"/>
          <w:kern w:val="0"/>
          <w:szCs w:val="21"/>
          <w:highlight w:val="none"/>
        </w:rPr>
        <w:t>）不同投标人的施工组织设计方案雷同的；</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highlight w:val="none"/>
        </w:rPr>
      </w:pPr>
      <w:r>
        <w:rPr>
          <w:rFonts w:hint="eastAsia" w:ascii="宋体" w:hAnsi="宋体"/>
          <w:b/>
          <w:color w:val="auto"/>
          <w:kern w:val="0"/>
          <w:szCs w:val="21"/>
          <w:highlight w:val="none"/>
        </w:rPr>
        <w:t>（2</w:t>
      </w:r>
      <w:r>
        <w:rPr>
          <w:rFonts w:hint="eastAsia" w:ascii="宋体" w:hAnsi="宋体"/>
          <w:b/>
          <w:color w:val="auto"/>
          <w:kern w:val="0"/>
          <w:szCs w:val="21"/>
          <w:highlight w:val="none"/>
          <w:lang w:val="en-US" w:eastAsia="zh-CN"/>
        </w:rPr>
        <w:t>5</w:t>
      </w:r>
      <w:r>
        <w:rPr>
          <w:rFonts w:hint="eastAsia" w:ascii="宋体" w:hAnsi="宋体"/>
          <w:b/>
          <w:color w:val="auto"/>
          <w:kern w:val="0"/>
          <w:szCs w:val="21"/>
          <w:highlight w:val="none"/>
        </w:rPr>
        <w:t>）运用计算机硬件特征码识别技术、标书编制系统软证书识别技术、标书编制系统与计价软件特征码关联识别技术,发现不同投标人的投标文件出自同一台计算机的；通过电子评标系统雷同性分析技术，发现不同投标人的投标文件相互之间存在非正常雷同现象的；通过电子评标系统不平衡报价分析技术，发现不同投标人的投标文件相互之间存在过高报价或过低报价雷同的；</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highlight w:val="none"/>
        </w:rPr>
      </w:pPr>
      <w:r>
        <w:rPr>
          <w:rFonts w:hint="eastAsia" w:ascii="宋体" w:hAnsi="宋体"/>
          <w:b/>
          <w:color w:val="auto"/>
          <w:kern w:val="0"/>
          <w:szCs w:val="21"/>
          <w:highlight w:val="none"/>
        </w:rPr>
        <w:t>（2</w:t>
      </w:r>
      <w:r>
        <w:rPr>
          <w:rFonts w:hint="eastAsia" w:ascii="宋体" w:hAnsi="宋体"/>
          <w:b/>
          <w:color w:val="auto"/>
          <w:kern w:val="0"/>
          <w:szCs w:val="21"/>
          <w:highlight w:val="none"/>
          <w:lang w:val="en-US" w:eastAsia="zh-CN"/>
        </w:rPr>
        <w:t>6</w:t>
      </w:r>
      <w:r>
        <w:rPr>
          <w:rFonts w:hint="eastAsia" w:ascii="宋体" w:hAnsi="宋体"/>
          <w:b/>
          <w:color w:val="auto"/>
          <w:kern w:val="0"/>
          <w:szCs w:val="21"/>
          <w:highlight w:val="none"/>
        </w:rPr>
        <w:t>）投标人之间事先约定中标者或相互约定抬高或者压低投标报价的；</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highlight w:val="none"/>
        </w:rPr>
      </w:pPr>
      <w:r>
        <w:rPr>
          <w:rFonts w:hint="eastAsia" w:ascii="宋体" w:hAnsi="宋体"/>
          <w:b/>
          <w:color w:val="auto"/>
          <w:kern w:val="0"/>
          <w:szCs w:val="21"/>
          <w:highlight w:val="none"/>
        </w:rPr>
        <w:t>（2</w:t>
      </w:r>
      <w:r>
        <w:rPr>
          <w:rFonts w:hint="eastAsia" w:ascii="宋体" w:hAnsi="宋体"/>
          <w:b/>
          <w:color w:val="auto"/>
          <w:kern w:val="0"/>
          <w:szCs w:val="21"/>
          <w:highlight w:val="none"/>
          <w:lang w:val="en-US" w:eastAsia="zh-CN"/>
        </w:rPr>
        <w:t>7</w:t>
      </w:r>
      <w:r>
        <w:rPr>
          <w:rFonts w:hint="eastAsia" w:ascii="宋体" w:hAnsi="宋体"/>
          <w:b/>
          <w:color w:val="auto"/>
          <w:kern w:val="0"/>
          <w:szCs w:val="21"/>
          <w:highlight w:val="none"/>
        </w:rPr>
        <w:t>）属于同一法人组织、集团公司等组织成员的投标人,在投标中采取协同行动的；</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b/>
          <w:color w:val="auto"/>
          <w:kern w:val="0"/>
          <w:szCs w:val="21"/>
          <w:highlight w:val="none"/>
          <w:lang w:eastAsia="zh-CN"/>
        </w:rPr>
      </w:pPr>
      <w:r>
        <w:rPr>
          <w:rFonts w:hint="eastAsia" w:ascii="宋体" w:hAnsi="宋体"/>
          <w:b/>
          <w:color w:val="auto"/>
          <w:kern w:val="0"/>
          <w:szCs w:val="21"/>
          <w:highlight w:val="none"/>
        </w:rPr>
        <w:t>（</w:t>
      </w:r>
      <w:r>
        <w:rPr>
          <w:rFonts w:hint="eastAsia" w:ascii="宋体" w:hAnsi="宋体"/>
          <w:b/>
          <w:color w:val="auto"/>
          <w:kern w:val="0"/>
          <w:szCs w:val="21"/>
          <w:highlight w:val="none"/>
          <w:lang w:val="en-US" w:eastAsia="zh-CN"/>
        </w:rPr>
        <w:t>28</w:t>
      </w:r>
      <w:r>
        <w:rPr>
          <w:rFonts w:hint="eastAsia" w:ascii="宋体" w:hAnsi="宋体"/>
          <w:b/>
          <w:color w:val="auto"/>
          <w:kern w:val="0"/>
          <w:szCs w:val="21"/>
          <w:highlight w:val="none"/>
        </w:rPr>
        <w:t>）</w:t>
      </w:r>
      <w:r>
        <w:rPr>
          <w:rFonts w:hint="eastAsia" w:ascii="宋体" w:hAnsi="宋体" w:eastAsia="宋体" w:cs="宋体"/>
          <w:b/>
          <w:bCs w:val="0"/>
          <w:color w:val="auto"/>
          <w:kern w:val="0"/>
          <w:sz w:val="21"/>
          <w:szCs w:val="21"/>
        </w:rPr>
        <w:t>技术标</w:t>
      </w:r>
      <w:r>
        <w:rPr>
          <w:rFonts w:hint="eastAsia" w:ascii="宋体" w:hAnsi="宋体" w:eastAsia="宋体" w:cs="宋体"/>
          <w:b/>
          <w:bCs w:val="0"/>
          <w:color w:val="auto"/>
          <w:kern w:val="0"/>
          <w:sz w:val="21"/>
          <w:szCs w:val="21"/>
          <w:lang w:eastAsia="zh-CN"/>
        </w:rPr>
        <w:t>总</w:t>
      </w:r>
      <w:r>
        <w:rPr>
          <w:rFonts w:hint="eastAsia" w:ascii="宋体" w:hAnsi="宋体" w:eastAsia="宋体" w:cs="宋体"/>
          <w:b/>
          <w:bCs w:val="0"/>
          <w:color w:val="auto"/>
          <w:kern w:val="0"/>
          <w:sz w:val="21"/>
          <w:szCs w:val="21"/>
        </w:rPr>
        <w:t>得分低于15分的，其技术标为不合格，按否决投标处理</w:t>
      </w:r>
      <w:r>
        <w:rPr>
          <w:rFonts w:hint="eastAsia" w:ascii="宋体" w:hAnsi="宋体" w:cs="宋体"/>
          <w:b/>
          <w:bCs w:val="0"/>
          <w:color w:val="auto"/>
          <w:kern w:val="0"/>
          <w:sz w:val="21"/>
          <w:szCs w:val="21"/>
          <w:lang w:eastAsia="zh-CN"/>
        </w:rPr>
        <w:t>；</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highlight w:val="none"/>
        </w:rPr>
      </w:pPr>
      <w:r>
        <w:rPr>
          <w:rFonts w:hint="eastAsia" w:ascii="宋体" w:hAnsi="宋体"/>
          <w:b/>
          <w:color w:val="auto"/>
          <w:kern w:val="0"/>
          <w:szCs w:val="21"/>
          <w:highlight w:val="none"/>
        </w:rPr>
        <w:t>（</w:t>
      </w:r>
      <w:r>
        <w:rPr>
          <w:rFonts w:hint="eastAsia" w:ascii="宋体" w:hAnsi="宋体"/>
          <w:b/>
          <w:color w:val="auto"/>
          <w:kern w:val="0"/>
          <w:szCs w:val="21"/>
          <w:highlight w:val="none"/>
          <w:lang w:val="en-US" w:eastAsia="zh-CN"/>
        </w:rPr>
        <w:t>29</w:t>
      </w:r>
      <w:r>
        <w:rPr>
          <w:rFonts w:hint="eastAsia" w:ascii="宋体" w:hAnsi="宋体"/>
          <w:b/>
          <w:color w:val="auto"/>
          <w:kern w:val="0"/>
          <w:szCs w:val="21"/>
          <w:highlight w:val="none"/>
        </w:rPr>
        <w:t>）</w:t>
      </w:r>
      <w:r>
        <w:rPr>
          <w:rFonts w:hint="eastAsia" w:ascii="宋体" w:hAnsi="宋体" w:eastAsia="宋体" w:cs="宋体"/>
          <w:b/>
          <w:bCs w:val="0"/>
          <w:color w:val="auto"/>
          <w:kern w:val="0"/>
          <w:sz w:val="21"/>
          <w:szCs w:val="21"/>
        </w:rPr>
        <w:t>项目经理未按要求参加答辩的，视为放弃</w:t>
      </w:r>
      <w:r>
        <w:rPr>
          <w:rFonts w:hint="eastAsia" w:ascii="宋体" w:hAnsi="宋体" w:eastAsia="宋体" w:cs="宋体"/>
          <w:b/>
          <w:bCs w:val="0"/>
          <w:color w:val="auto"/>
          <w:kern w:val="0"/>
          <w:sz w:val="21"/>
          <w:szCs w:val="21"/>
          <w:lang w:eastAsia="zh-CN"/>
        </w:rPr>
        <w:t>投标，按无效投标处理</w:t>
      </w:r>
      <w:r>
        <w:rPr>
          <w:rFonts w:hint="eastAsia" w:ascii="宋体" w:hAnsi="宋体"/>
          <w:b/>
          <w:color w:val="auto"/>
          <w:kern w:val="0"/>
          <w:szCs w:val="21"/>
          <w:highlight w:val="none"/>
        </w:rPr>
        <w:t>；</w:t>
      </w:r>
    </w:p>
    <w:p>
      <w:pPr>
        <w:pageBreakBefore w:val="0"/>
        <w:kinsoku/>
        <w:wordWrap/>
        <w:overflowPunct/>
        <w:topLinePunct w:val="0"/>
        <w:autoSpaceDE/>
        <w:autoSpaceDN/>
        <w:bidi w:val="0"/>
        <w:adjustRightInd/>
        <w:snapToGrid/>
        <w:spacing w:line="240" w:lineRule="auto"/>
        <w:ind w:firstLine="406" w:firstLineChars="200"/>
        <w:rPr>
          <w:b/>
          <w:color w:val="auto"/>
          <w:szCs w:val="21"/>
          <w:highlight w:val="none"/>
        </w:rPr>
      </w:pPr>
      <w:r>
        <w:rPr>
          <w:rFonts w:hint="eastAsia" w:ascii="宋体" w:hAnsi="宋体"/>
          <w:b/>
          <w:color w:val="auto"/>
          <w:kern w:val="0"/>
          <w:szCs w:val="21"/>
          <w:highlight w:val="none"/>
        </w:rPr>
        <w:t>（3</w:t>
      </w:r>
      <w:r>
        <w:rPr>
          <w:rFonts w:hint="eastAsia" w:ascii="宋体" w:hAnsi="宋体"/>
          <w:b/>
          <w:color w:val="auto"/>
          <w:kern w:val="0"/>
          <w:szCs w:val="21"/>
          <w:highlight w:val="none"/>
          <w:lang w:val="en-US" w:eastAsia="zh-CN"/>
        </w:rPr>
        <w:t>0</w:t>
      </w:r>
      <w:r>
        <w:rPr>
          <w:rFonts w:hint="eastAsia" w:ascii="宋体" w:hAnsi="宋体"/>
          <w:b/>
          <w:color w:val="auto"/>
          <w:kern w:val="0"/>
          <w:szCs w:val="21"/>
          <w:highlight w:val="none"/>
        </w:rPr>
        <w:t>）</w:t>
      </w:r>
      <w:r>
        <w:rPr>
          <w:rFonts w:hint="eastAsia"/>
          <w:b/>
          <w:color w:val="auto"/>
          <w:szCs w:val="21"/>
          <w:highlight w:val="none"/>
        </w:rPr>
        <w:t>投标人的投标报价高于最高投标限价（招标控制价）表中所列各项费用</w:t>
      </w:r>
      <w:r>
        <w:rPr>
          <w:rFonts w:hint="eastAsia"/>
          <w:b/>
          <w:color w:val="auto"/>
          <w:szCs w:val="21"/>
          <w:highlight w:val="none"/>
          <w:lang w:val="en-US" w:eastAsia="zh-CN"/>
        </w:rPr>
        <w:t>的；</w:t>
      </w:r>
    </w:p>
    <w:p>
      <w:pPr>
        <w:pageBreakBefore w:val="0"/>
        <w:kinsoku/>
        <w:wordWrap/>
        <w:overflowPunct/>
        <w:topLinePunct w:val="0"/>
        <w:autoSpaceDE/>
        <w:autoSpaceDN/>
        <w:bidi w:val="0"/>
        <w:adjustRightInd/>
        <w:snapToGrid/>
        <w:spacing w:line="240" w:lineRule="auto"/>
        <w:ind w:firstLine="406" w:firstLineChars="200"/>
        <w:rPr>
          <w:b/>
          <w:color w:val="auto"/>
          <w:szCs w:val="21"/>
          <w:highlight w:val="none"/>
        </w:rPr>
      </w:pPr>
      <w:r>
        <w:rPr>
          <w:rFonts w:hint="eastAsia"/>
          <w:b/>
          <w:color w:val="auto"/>
          <w:szCs w:val="21"/>
          <w:highlight w:val="none"/>
        </w:rPr>
        <w:t>（3</w:t>
      </w:r>
      <w:r>
        <w:rPr>
          <w:rFonts w:hint="eastAsia"/>
          <w:b/>
          <w:color w:val="auto"/>
          <w:szCs w:val="21"/>
          <w:highlight w:val="none"/>
          <w:lang w:val="en-US" w:eastAsia="zh-CN"/>
        </w:rPr>
        <w:t>1</w:t>
      </w:r>
      <w:r>
        <w:rPr>
          <w:rFonts w:hint="eastAsia"/>
          <w:b/>
          <w:color w:val="auto"/>
          <w:szCs w:val="21"/>
          <w:highlight w:val="none"/>
        </w:rPr>
        <w:t>）投标人所报</w:t>
      </w:r>
      <w:r>
        <w:rPr>
          <w:rFonts w:hint="eastAsia" w:ascii="Times New Roman" w:hAnsi="Times New Roman" w:eastAsia="宋体" w:cs="Times New Roman"/>
          <w:b/>
          <w:bCs/>
          <w:color w:val="auto"/>
          <w:kern w:val="2"/>
          <w:sz w:val="21"/>
          <w:szCs w:val="24"/>
          <w:highlight w:val="none"/>
          <w:lang w:val="en-US" w:eastAsia="zh-CN" w:bidi="ar-SA"/>
        </w:rPr>
        <w:t>变更签证优惠率</w:t>
      </w:r>
      <w:r>
        <w:rPr>
          <w:rFonts w:hint="eastAsia"/>
          <w:b/>
          <w:color w:val="auto"/>
          <w:szCs w:val="21"/>
          <w:highlight w:val="none"/>
        </w:rPr>
        <w:t>低于</w:t>
      </w:r>
      <w:r>
        <w:rPr>
          <w:rFonts w:hint="eastAsia" w:ascii="Times New Roman" w:hAnsi="Times New Roman" w:eastAsia="宋体" w:cs="Times New Roman"/>
          <w:b/>
          <w:bCs/>
          <w:color w:val="auto"/>
          <w:kern w:val="2"/>
          <w:sz w:val="21"/>
          <w:szCs w:val="24"/>
          <w:highlight w:val="none"/>
          <w:lang w:val="en-US" w:eastAsia="zh-CN" w:bidi="ar-SA"/>
        </w:rPr>
        <w:t>投标报价优惠率</w:t>
      </w:r>
      <w:r>
        <w:rPr>
          <w:rFonts w:hint="eastAsia"/>
          <w:b/>
          <w:color w:val="auto"/>
          <w:szCs w:val="21"/>
          <w:highlight w:val="none"/>
        </w:rPr>
        <w:t>【</w:t>
      </w:r>
      <w:r>
        <w:rPr>
          <w:rFonts w:hint="eastAsia" w:ascii="Times New Roman" w:hAnsi="Times New Roman" w:eastAsia="宋体" w:cs="Times New Roman"/>
          <w:b/>
          <w:bCs/>
          <w:color w:val="auto"/>
          <w:kern w:val="2"/>
          <w:sz w:val="21"/>
          <w:szCs w:val="24"/>
          <w:highlight w:val="none"/>
          <w:lang w:val="en-US" w:eastAsia="zh-CN" w:bidi="ar-SA"/>
        </w:rPr>
        <w:t>投标报价优惠率=（最高投标限价</w:t>
      </w:r>
      <w:r>
        <w:rPr>
          <w:rFonts w:hint="eastAsia" w:eastAsia="宋体" w:cs="Times New Roman"/>
          <w:b/>
          <w:bCs/>
          <w:color w:val="auto"/>
          <w:kern w:val="2"/>
          <w:sz w:val="21"/>
          <w:szCs w:val="24"/>
          <w:highlight w:val="none"/>
          <w:lang w:val="en-US" w:eastAsia="zh-CN" w:bidi="ar-SA"/>
        </w:rPr>
        <w:t>-</w:t>
      </w:r>
      <w:r>
        <w:rPr>
          <w:rFonts w:hint="eastAsia"/>
          <w:b/>
          <w:color w:val="auto"/>
          <w:szCs w:val="21"/>
          <w:highlight w:val="none"/>
        </w:rPr>
        <w:t>投标人投标报价）/</w:t>
      </w:r>
      <w:r>
        <w:rPr>
          <w:rFonts w:hint="eastAsia" w:ascii="Times New Roman" w:hAnsi="Times New Roman" w:eastAsia="宋体" w:cs="Times New Roman"/>
          <w:b/>
          <w:bCs/>
          <w:color w:val="auto"/>
          <w:kern w:val="2"/>
          <w:sz w:val="21"/>
          <w:szCs w:val="24"/>
          <w:highlight w:val="none"/>
          <w:lang w:val="en-US" w:eastAsia="zh-CN" w:bidi="ar-SA"/>
        </w:rPr>
        <w:t>最高投标限价</w:t>
      </w:r>
      <w:r>
        <w:rPr>
          <w:rFonts w:hint="eastAsia"/>
          <w:b/>
          <w:color w:val="auto"/>
          <w:szCs w:val="21"/>
          <w:highlight w:val="none"/>
        </w:rPr>
        <w:t>*100%】的</w:t>
      </w:r>
      <w:r>
        <w:rPr>
          <w:rFonts w:hint="eastAsia" w:eastAsia="宋体" w:cs="Times New Roman"/>
          <w:b/>
          <w:bCs/>
          <w:color w:val="auto"/>
          <w:kern w:val="2"/>
          <w:sz w:val="21"/>
          <w:szCs w:val="24"/>
          <w:highlight w:val="none"/>
          <w:lang w:val="en-US" w:eastAsia="zh-CN" w:bidi="ar-SA"/>
        </w:rPr>
        <w:t>；</w:t>
      </w:r>
    </w:p>
    <w:p>
      <w:pPr>
        <w:pageBreakBefore w:val="0"/>
        <w:kinsoku/>
        <w:wordWrap/>
        <w:overflowPunct/>
        <w:topLinePunct w:val="0"/>
        <w:autoSpaceDE/>
        <w:autoSpaceDN/>
        <w:bidi w:val="0"/>
        <w:adjustRightInd/>
        <w:snapToGrid/>
        <w:spacing w:line="240" w:lineRule="auto"/>
        <w:ind w:firstLine="406" w:firstLineChars="200"/>
        <w:rPr>
          <w:b/>
          <w:color w:val="auto"/>
          <w:szCs w:val="21"/>
          <w:highlight w:val="none"/>
        </w:rPr>
      </w:pPr>
      <w:r>
        <w:rPr>
          <w:rFonts w:hint="eastAsia"/>
          <w:b/>
          <w:color w:val="auto"/>
          <w:szCs w:val="21"/>
          <w:highlight w:val="none"/>
        </w:rPr>
        <w:t>（3</w:t>
      </w:r>
      <w:r>
        <w:rPr>
          <w:rFonts w:hint="eastAsia"/>
          <w:b/>
          <w:color w:val="auto"/>
          <w:szCs w:val="21"/>
          <w:highlight w:val="none"/>
          <w:lang w:val="en-US" w:eastAsia="zh-CN"/>
        </w:rPr>
        <w:t>2</w:t>
      </w:r>
      <w:r>
        <w:rPr>
          <w:rFonts w:hint="eastAsia"/>
          <w:b/>
          <w:color w:val="auto"/>
          <w:szCs w:val="21"/>
          <w:highlight w:val="none"/>
        </w:rPr>
        <w:t>）电子开评标系统对不同投标人的电子投标文件作出雷同性提示或预警的，资格评审委员会或评标委员会集体表决认定属于《中华人民共和国招标投标法实施条例》第四十条“视为投标人相互串通投标”的情形，同时写出串（围）标行为认定报告并签字的；</w:t>
      </w:r>
    </w:p>
    <w:p>
      <w:pPr>
        <w:pageBreakBefore w:val="0"/>
        <w:kinsoku/>
        <w:wordWrap/>
        <w:overflowPunct/>
        <w:topLinePunct w:val="0"/>
        <w:autoSpaceDE/>
        <w:autoSpaceDN/>
        <w:bidi w:val="0"/>
        <w:adjustRightInd/>
        <w:snapToGrid/>
        <w:spacing w:line="240" w:lineRule="auto"/>
        <w:ind w:firstLine="406" w:firstLineChars="200"/>
        <w:rPr>
          <w:color w:val="auto"/>
          <w:highlight w:val="none"/>
        </w:rPr>
      </w:pPr>
      <w:r>
        <w:rPr>
          <w:rFonts w:hint="eastAsia"/>
          <w:b/>
          <w:color w:val="auto"/>
          <w:szCs w:val="21"/>
          <w:highlight w:val="none"/>
        </w:rPr>
        <w:t>（3</w:t>
      </w:r>
      <w:r>
        <w:rPr>
          <w:rFonts w:hint="eastAsia"/>
          <w:b/>
          <w:color w:val="auto"/>
          <w:szCs w:val="21"/>
          <w:highlight w:val="none"/>
          <w:lang w:val="en-US" w:eastAsia="zh-CN"/>
        </w:rPr>
        <w:t>3</w:t>
      </w:r>
      <w:r>
        <w:rPr>
          <w:rFonts w:hint="eastAsia"/>
          <w:b/>
          <w:color w:val="auto"/>
          <w:szCs w:val="21"/>
          <w:highlight w:val="none"/>
        </w:rPr>
        <w:t>）投标人递交的已标价工程量清单未记录软硬件信息或造价软件锁实名信息的，或者经认定，记录的软硬件信息或造价软件锁</w:t>
      </w:r>
      <w:r>
        <w:rPr>
          <w:rFonts w:hint="eastAsia"/>
          <w:b/>
          <w:color w:val="auto"/>
          <w:szCs w:val="21"/>
          <w:highlight w:val="none"/>
          <w:lang w:val="en-US" w:eastAsia="zh-CN"/>
        </w:rPr>
        <w:t>实名</w:t>
      </w:r>
      <w:r>
        <w:rPr>
          <w:rFonts w:hint="eastAsia"/>
          <w:b/>
          <w:color w:val="auto"/>
          <w:szCs w:val="21"/>
          <w:highlight w:val="none"/>
        </w:rPr>
        <w:t>信息被篡改的</w:t>
      </w:r>
      <w:r>
        <w:rPr>
          <w:rFonts w:hint="eastAsia" w:ascii="宋体" w:hAnsi="宋体"/>
          <w:b/>
          <w:color w:val="auto"/>
          <w:kern w:val="0"/>
          <w:szCs w:val="21"/>
          <w:highlight w:val="none"/>
        </w:rPr>
        <w:t>；</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highlight w:val="none"/>
        </w:rPr>
      </w:pPr>
      <w:r>
        <w:rPr>
          <w:rFonts w:hint="eastAsia" w:ascii="宋体" w:hAnsi="宋体"/>
          <w:b/>
          <w:color w:val="auto"/>
          <w:kern w:val="0"/>
          <w:szCs w:val="21"/>
          <w:highlight w:val="none"/>
        </w:rPr>
        <w:t>（</w:t>
      </w:r>
      <w:r>
        <w:rPr>
          <w:rFonts w:hint="eastAsia" w:ascii="宋体" w:hAnsi="宋体"/>
          <w:b/>
          <w:color w:val="auto"/>
          <w:kern w:val="0"/>
          <w:szCs w:val="21"/>
          <w:highlight w:val="none"/>
          <w:lang w:val="en-US" w:eastAsia="zh-CN"/>
        </w:rPr>
        <w:t>34</w:t>
      </w:r>
      <w:r>
        <w:rPr>
          <w:rFonts w:hint="eastAsia" w:ascii="宋体" w:hAnsi="宋体"/>
          <w:b/>
          <w:color w:val="auto"/>
          <w:kern w:val="0"/>
          <w:szCs w:val="21"/>
          <w:highlight w:val="none"/>
        </w:rPr>
        <w:t>）提供虚假材料或不符合法律、法规和本招标文件规定的其他实质性要求的</w:t>
      </w:r>
      <w:r>
        <w:rPr>
          <w:rFonts w:hint="eastAsia"/>
          <w:b/>
          <w:color w:val="auto"/>
          <w:szCs w:val="21"/>
          <w:highlight w:val="none"/>
        </w:rPr>
        <w:t>。</w:t>
      </w:r>
    </w:p>
    <w:p>
      <w:pPr>
        <w:pageBreakBefore w:val="0"/>
        <w:kinsoku/>
        <w:wordWrap/>
        <w:overflowPunct/>
        <w:topLinePunct w:val="0"/>
        <w:autoSpaceDE/>
        <w:autoSpaceDN/>
        <w:bidi w:val="0"/>
        <w:adjustRightInd/>
        <w:snapToGrid/>
        <w:spacing w:line="240" w:lineRule="auto"/>
        <w:ind w:firstLine="406" w:firstLineChars="200"/>
        <w:rPr>
          <w:color w:val="auto"/>
        </w:rPr>
      </w:pPr>
      <w:r>
        <w:rPr>
          <w:rFonts w:hint="eastAsia" w:ascii="宋体" w:hAnsi="宋体"/>
          <w:color w:val="auto"/>
          <w:kern w:val="0"/>
          <w:szCs w:val="21"/>
        </w:rPr>
        <w:t>评标委员会否决投标时应审慎。因招标文件或工程量清单表述歧义或逻辑错误等原因，造成投标文件表述不一致的，不作为否决投标的因素。投标人明显打字或排版错误且不影响实质内容的，评标委员会可要求投标人作出书面澄清、说明或补正</w:t>
      </w:r>
      <w:r>
        <w:rPr>
          <w:rFonts w:hint="eastAsia"/>
          <w:color w:val="auto"/>
        </w:rPr>
        <w:t>，不予以否决投标。</w:t>
      </w:r>
    </w:p>
    <w:p>
      <w:pPr>
        <w:pageBreakBefore w:val="0"/>
        <w:kinsoku/>
        <w:wordWrap/>
        <w:overflowPunct/>
        <w:topLinePunct w:val="0"/>
        <w:autoSpaceDE/>
        <w:autoSpaceDN/>
        <w:bidi w:val="0"/>
        <w:adjustRightInd/>
        <w:snapToGrid/>
        <w:spacing w:line="240" w:lineRule="auto"/>
        <w:ind w:firstLine="406" w:firstLineChars="200"/>
        <w:rPr>
          <w:color w:val="auto"/>
        </w:rPr>
      </w:pPr>
      <w:r>
        <w:rPr>
          <w:rFonts w:hint="eastAsia"/>
          <w:color w:val="auto"/>
        </w:rPr>
        <w:t>评标委员会根据</w:t>
      </w:r>
      <w:r>
        <w:rPr>
          <w:color w:val="auto"/>
        </w:rPr>
        <w:t>《评标委员会和评标方法暂行规定》第二十七条</w:t>
      </w:r>
      <w:r>
        <w:rPr>
          <w:rFonts w:hint="eastAsia"/>
          <w:color w:val="auto"/>
        </w:rPr>
        <w:t>，</w:t>
      </w:r>
      <w:r>
        <w:rPr>
          <w:color w:val="auto"/>
        </w:rPr>
        <w:t>否决不合格投标或者界定为</w:t>
      </w:r>
      <w:r>
        <w:rPr>
          <w:color w:val="auto"/>
        </w:rPr>
        <w:fldChar w:fldCharType="begin"/>
      </w:r>
      <w:r>
        <w:rPr>
          <w:color w:val="auto"/>
        </w:rPr>
        <w:instrText xml:space="preserve"> HYPERLINK "https://baike.sogou.com/lemma/ShowInnerLink.htm?lemmaId=8331831&amp;ss_c=ssc.citiao.link" \t "_blank" </w:instrText>
      </w:r>
      <w:r>
        <w:rPr>
          <w:color w:val="auto"/>
        </w:rPr>
        <w:fldChar w:fldCharType="separate"/>
      </w:r>
      <w:r>
        <w:rPr>
          <w:color w:val="auto"/>
        </w:rPr>
        <w:t>废标</w:t>
      </w:r>
      <w:r>
        <w:rPr>
          <w:color w:val="auto"/>
        </w:rPr>
        <w:fldChar w:fldCharType="end"/>
      </w:r>
      <w:r>
        <w:rPr>
          <w:color w:val="auto"/>
        </w:rPr>
        <w:t>后，因有效投标不足三个使得投标明显缺乏竞争的，评标委员会可以否决全部投标</w:t>
      </w:r>
      <w:r>
        <w:rPr>
          <w:rFonts w:hint="eastAsia"/>
          <w:color w:val="auto"/>
        </w:rPr>
        <w:t>。</w:t>
      </w:r>
    </w:p>
    <w:p>
      <w:pPr>
        <w:pageBreakBefore w:val="0"/>
        <w:kinsoku/>
        <w:wordWrap/>
        <w:overflowPunct/>
        <w:topLinePunct w:val="0"/>
        <w:autoSpaceDE/>
        <w:autoSpaceDN/>
        <w:bidi w:val="0"/>
        <w:adjustRightInd/>
        <w:snapToGrid/>
        <w:spacing w:line="240" w:lineRule="auto"/>
        <w:ind w:firstLine="406" w:firstLineChars="200"/>
        <w:rPr>
          <w:color w:val="auto"/>
        </w:rPr>
      </w:pPr>
      <w:r>
        <w:rPr>
          <w:rFonts w:hint="eastAsia"/>
          <w:color w:val="auto"/>
        </w:rPr>
        <w:t>2.1.</w:t>
      </w:r>
      <w:r>
        <w:rPr>
          <w:rFonts w:hint="eastAsia"/>
          <w:color w:val="auto"/>
          <w:lang w:val="en-US" w:eastAsia="zh-CN"/>
        </w:rPr>
        <w:t>3</w:t>
      </w:r>
      <w:r>
        <w:rPr>
          <w:rFonts w:hint="eastAsia"/>
          <w:color w:val="auto"/>
        </w:rPr>
        <w:t xml:space="preserve"> 投标报价有算术错误的，评标委员会按以下原则对投标报价进行修正，修正的价格经投标人书面确认后具有约束力。投标人不接受修正价格的，其投标作废标处理。</w:t>
      </w:r>
    </w:p>
    <w:p>
      <w:pPr>
        <w:pageBreakBefore w:val="0"/>
        <w:kinsoku/>
        <w:wordWrap/>
        <w:overflowPunct/>
        <w:topLinePunct w:val="0"/>
        <w:autoSpaceDE/>
        <w:autoSpaceDN/>
        <w:bidi w:val="0"/>
        <w:adjustRightInd/>
        <w:snapToGrid/>
        <w:spacing w:line="240" w:lineRule="auto"/>
        <w:ind w:firstLine="406" w:firstLineChars="200"/>
        <w:rPr>
          <w:color w:val="auto"/>
        </w:rPr>
      </w:pPr>
      <w:r>
        <w:rPr>
          <w:rFonts w:hint="eastAsia"/>
          <w:color w:val="auto"/>
        </w:rPr>
        <w:t>（1）投标文件中的大写金额与小写金额不一致的，以大写金额为准；</w:t>
      </w:r>
    </w:p>
    <w:p>
      <w:pPr>
        <w:pageBreakBefore w:val="0"/>
        <w:kinsoku/>
        <w:wordWrap/>
        <w:overflowPunct/>
        <w:topLinePunct w:val="0"/>
        <w:autoSpaceDE/>
        <w:autoSpaceDN/>
        <w:bidi w:val="0"/>
        <w:adjustRightInd/>
        <w:snapToGrid/>
        <w:spacing w:line="240" w:lineRule="auto"/>
        <w:ind w:firstLine="406" w:firstLineChars="200"/>
        <w:rPr>
          <w:color w:val="auto"/>
        </w:rPr>
      </w:pPr>
      <w:r>
        <w:rPr>
          <w:rFonts w:hint="eastAsia"/>
          <w:color w:val="auto"/>
        </w:rPr>
        <w:t>（2）总价金额与依据单价计算出的结果不一致的，以单价金额为准</w:t>
      </w:r>
      <w:r>
        <w:rPr>
          <w:rFonts w:hint="eastAsia"/>
          <w:color w:val="auto"/>
          <w:lang w:val="en-US" w:eastAsia="zh-CN"/>
        </w:rPr>
        <w:t>修</w:t>
      </w:r>
      <w:r>
        <w:rPr>
          <w:rFonts w:hint="eastAsia"/>
          <w:color w:val="auto"/>
        </w:rPr>
        <w:t>正总价，但单价金额小数点有明显错误的除外。</w:t>
      </w:r>
    </w:p>
    <w:p>
      <w:pPr>
        <w:pageBreakBefore w:val="0"/>
        <w:kinsoku/>
        <w:wordWrap/>
        <w:overflowPunct/>
        <w:topLinePunct w:val="0"/>
        <w:autoSpaceDE/>
        <w:autoSpaceDN/>
        <w:bidi w:val="0"/>
        <w:adjustRightInd/>
        <w:snapToGrid/>
        <w:spacing w:line="240" w:lineRule="auto"/>
        <w:rPr>
          <w:rFonts w:ascii="宋体" w:hAnsi="宋体"/>
          <w:b/>
          <w:color w:val="auto"/>
          <w:kern w:val="0"/>
          <w:szCs w:val="21"/>
        </w:rPr>
      </w:pPr>
      <w:r>
        <w:rPr>
          <w:rFonts w:hint="eastAsia" w:ascii="宋体" w:hAnsi="宋体"/>
          <w:b/>
          <w:color w:val="auto"/>
          <w:kern w:val="0"/>
          <w:szCs w:val="21"/>
        </w:rPr>
        <w:t>2.2 详细评审</w:t>
      </w:r>
    </w:p>
    <w:p>
      <w:pPr>
        <w:pageBreakBefore w:val="0"/>
        <w:kinsoku/>
        <w:wordWrap/>
        <w:overflowPunct/>
        <w:topLinePunct w:val="0"/>
        <w:autoSpaceDE/>
        <w:autoSpaceDN/>
        <w:bidi w:val="0"/>
        <w:adjustRightInd/>
        <w:snapToGrid/>
        <w:spacing w:line="240" w:lineRule="auto"/>
        <w:ind w:firstLine="406" w:firstLineChars="200"/>
        <w:rPr>
          <w:rFonts w:ascii="宋体" w:hAnsi="宋体"/>
          <w:color w:val="auto"/>
          <w:kern w:val="0"/>
          <w:szCs w:val="21"/>
        </w:rPr>
      </w:pPr>
      <w:r>
        <w:rPr>
          <w:rFonts w:hint="eastAsia" w:ascii="宋体" w:hAnsi="宋体"/>
          <w:color w:val="auto"/>
          <w:kern w:val="0"/>
          <w:szCs w:val="21"/>
        </w:rPr>
        <w:t>评标委员会对通过初步评审合格的有效投标文件，按照招标文件中明确的评标方式进行技术标、商务标、综合标的评审。</w:t>
      </w:r>
    </w:p>
    <w:p>
      <w:pPr>
        <w:pStyle w:val="5"/>
        <w:pageBreakBefore w:val="0"/>
        <w:kinsoku/>
        <w:wordWrap/>
        <w:overflowPunct/>
        <w:topLinePunct w:val="0"/>
        <w:autoSpaceDE/>
        <w:autoSpaceDN/>
        <w:bidi w:val="0"/>
        <w:adjustRightInd/>
        <w:snapToGrid/>
        <w:spacing w:before="0" w:after="0" w:line="240" w:lineRule="auto"/>
        <w:jc w:val="center"/>
        <w:rPr>
          <w:rFonts w:ascii="宋体" w:hAnsi="宋体" w:eastAsia="宋体"/>
          <w:color w:val="auto"/>
          <w:sz w:val="24"/>
          <w:szCs w:val="21"/>
        </w:rPr>
      </w:pPr>
      <w:r>
        <w:rPr>
          <w:rFonts w:hint="eastAsia" w:ascii="宋体" w:hAnsi="宋体" w:eastAsia="宋体"/>
          <w:color w:val="auto"/>
          <w:sz w:val="24"/>
          <w:szCs w:val="21"/>
        </w:rPr>
        <w:t>详细评审标准</w:t>
      </w:r>
    </w:p>
    <w:p>
      <w:pPr>
        <w:pageBreakBefore w:val="0"/>
        <w:kinsoku/>
        <w:wordWrap/>
        <w:overflowPunct/>
        <w:topLinePunct w:val="0"/>
        <w:autoSpaceDE/>
        <w:autoSpaceDN/>
        <w:bidi w:val="0"/>
        <w:adjustRightInd/>
        <w:snapToGrid/>
        <w:spacing w:line="240" w:lineRule="auto"/>
        <w:ind w:firstLine="406" w:firstLineChars="200"/>
        <w:rPr>
          <w:rFonts w:ascii="宋体" w:hAnsi="宋体"/>
          <w:b/>
          <w:bCs/>
          <w:color w:val="auto"/>
          <w:szCs w:val="21"/>
          <w:highlight w:val="none"/>
        </w:rPr>
      </w:pPr>
      <w:r>
        <w:rPr>
          <w:rFonts w:hint="eastAsia" w:ascii="宋体" w:hAnsi="宋体"/>
          <w:b/>
          <w:bCs/>
          <w:color w:val="auto"/>
          <w:szCs w:val="21"/>
          <w:highlight w:val="none"/>
        </w:rPr>
        <w:t>一、技术标的主要内容及评标分值：:</w:t>
      </w:r>
      <w:r>
        <w:rPr>
          <w:rFonts w:hint="eastAsia" w:ascii="宋体" w:hAnsi="宋体"/>
          <w:b/>
          <w:bCs/>
          <w:color w:val="auto"/>
          <w:szCs w:val="21"/>
          <w:highlight w:val="none"/>
          <w:lang w:val="en-US" w:eastAsia="zh-CN"/>
        </w:rPr>
        <w:t>3</w:t>
      </w:r>
      <w:r>
        <w:rPr>
          <w:rFonts w:hint="eastAsia" w:ascii="宋体" w:hAnsi="宋体"/>
          <w:b/>
          <w:bCs/>
          <w:color w:val="auto"/>
          <w:szCs w:val="21"/>
          <w:highlight w:val="none"/>
        </w:rPr>
        <w:t>5分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（一）技术标编制的主要内容及评标分值：</w:t>
      </w:r>
      <w:r>
        <w:rPr>
          <w:rFonts w:hint="eastAsia" w:ascii="宋体" w:hAnsi="宋体" w:cs="宋体"/>
          <w:b/>
          <w:color w:val="auto"/>
          <w:sz w:val="21"/>
          <w:szCs w:val="21"/>
          <w:highlight w:val="none"/>
          <w:lang w:val="en-US" w:eastAsia="zh-CN"/>
        </w:rPr>
        <w:t>3</w:t>
      </w:r>
      <w:r>
        <w:rPr>
          <w:rFonts w:hint="eastAsia" w:ascii="宋体" w:hAnsi="宋体" w:eastAsia="宋体" w:cs="宋体"/>
          <w:b/>
          <w:color w:val="auto"/>
          <w:sz w:val="21"/>
          <w:szCs w:val="21"/>
          <w:highlight w:val="none"/>
        </w:rPr>
        <w:t>0分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1.主要施工方案与技术措施：</w:t>
      </w:r>
      <w:r>
        <w:rPr>
          <w:rFonts w:hint="eastAsia" w:ascii="宋体" w:hAnsi="宋体" w:cs="宋体"/>
          <w:bCs/>
          <w:color w:val="auto"/>
          <w:sz w:val="21"/>
          <w:szCs w:val="21"/>
          <w:lang w:val="en-US" w:eastAsia="zh-CN"/>
        </w:rPr>
        <w:t>5</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（1）工程概况（包括工程主要情况、设计简介和工程施工条件等)  0-</w:t>
      </w:r>
      <w:r>
        <w:rPr>
          <w:rFonts w:hint="eastAsia" w:ascii="宋体" w:hAnsi="宋体" w:cs="宋体"/>
          <w:bCs/>
          <w:color w:val="auto"/>
          <w:sz w:val="21"/>
          <w:szCs w:val="21"/>
          <w:lang w:val="en-US" w:eastAsia="zh-CN"/>
        </w:rPr>
        <w:t>1</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（2）施工准备   0-</w:t>
      </w:r>
      <w:r>
        <w:rPr>
          <w:rFonts w:hint="eastAsia" w:ascii="宋体" w:hAnsi="宋体" w:cs="宋体"/>
          <w:bCs/>
          <w:color w:val="auto"/>
          <w:sz w:val="21"/>
          <w:szCs w:val="21"/>
          <w:lang w:val="en-US" w:eastAsia="zh-CN"/>
        </w:rPr>
        <w:t>1</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（3）对主要分部、分项工程制定施工方案   0-</w:t>
      </w:r>
      <w:r>
        <w:rPr>
          <w:rFonts w:hint="eastAsia" w:ascii="宋体" w:hAnsi="宋体" w:cs="宋体"/>
          <w:bCs/>
          <w:color w:val="auto"/>
          <w:sz w:val="21"/>
          <w:szCs w:val="21"/>
          <w:lang w:val="en-US" w:eastAsia="zh-CN"/>
        </w:rPr>
        <w:t>2</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（4）季节性施工等专项工程的技术措施   0-</w:t>
      </w:r>
      <w:r>
        <w:rPr>
          <w:rFonts w:hint="eastAsia" w:ascii="宋体" w:hAnsi="宋体" w:cs="宋体"/>
          <w:bCs/>
          <w:color w:val="auto"/>
          <w:sz w:val="21"/>
          <w:szCs w:val="21"/>
          <w:lang w:val="en-US" w:eastAsia="zh-CN"/>
        </w:rPr>
        <w:t>1</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2.质量管理体系与措施：</w:t>
      </w:r>
      <w:r>
        <w:rPr>
          <w:rFonts w:hint="eastAsia" w:ascii="宋体" w:hAnsi="宋体" w:cs="宋体"/>
          <w:bCs/>
          <w:color w:val="auto"/>
          <w:sz w:val="21"/>
          <w:szCs w:val="21"/>
          <w:lang w:val="en-US" w:eastAsia="zh-CN"/>
        </w:rPr>
        <w:t>4</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（1）质量管理的组织机构（包括指挥系统、监控系统、联络协调系统）及职责   0-</w:t>
      </w:r>
      <w:r>
        <w:rPr>
          <w:rFonts w:hint="eastAsia" w:ascii="宋体" w:hAnsi="宋体" w:cs="宋体"/>
          <w:bCs/>
          <w:color w:val="auto"/>
          <w:sz w:val="21"/>
          <w:szCs w:val="21"/>
          <w:lang w:val="en-US" w:eastAsia="zh-CN"/>
        </w:rPr>
        <w:t>1</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（2）项目质量目标、制度及保障措施   0-</w:t>
      </w:r>
      <w:r>
        <w:rPr>
          <w:rFonts w:hint="eastAsia" w:ascii="宋体" w:hAnsi="宋体" w:cs="宋体"/>
          <w:bCs/>
          <w:color w:val="auto"/>
          <w:sz w:val="21"/>
          <w:szCs w:val="21"/>
          <w:lang w:val="en-US" w:eastAsia="zh-CN"/>
        </w:rPr>
        <w:t>1</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（3）关键分部主体结构、装饰装修等严格按照强制性标准实施   0-</w:t>
      </w:r>
      <w:r>
        <w:rPr>
          <w:rFonts w:hint="eastAsia" w:ascii="宋体" w:hAnsi="宋体" w:cs="宋体"/>
          <w:bCs/>
          <w:color w:val="auto"/>
          <w:sz w:val="21"/>
          <w:szCs w:val="21"/>
          <w:lang w:val="en-US" w:eastAsia="zh-CN"/>
        </w:rPr>
        <w:t>1</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（4）建立项目建设过程质量检查制度，制定纠正和预防措施   0-</w:t>
      </w:r>
      <w:r>
        <w:rPr>
          <w:rFonts w:hint="eastAsia" w:ascii="宋体" w:hAnsi="宋体" w:cs="宋体"/>
          <w:bCs/>
          <w:color w:val="auto"/>
          <w:sz w:val="21"/>
          <w:szCs w:val="21"/>
          <w:lang w:val="en-US" w:eastAsia="zh-CN"/>
        </w:rPr>
        <w:t>1</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3.安全管理体系与措施：</w:t>
      </w:r>
      <w:r>
        <w:rPr>
          <w:rFonts w:hint="eastAsia" w:ascii="宋体" w:hAnsi="宋体" w:cs="宋体"/>
          <w:bCs/>
          <w:color w:val="auto"/>
          <w:sz w:val="21"/>
          <w:szCs w:val="21"/>
          <w:lang w:val="en-US" w:eastAsia="zh-CN"/>
        </w:rPr>
        <w:t>4</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（1）安全生产的组织机构及职责   0-</w:t>
      </w:r>
      <w:r>
        <w:rPr>
          <w:rFonts w:hint="eastAsia" w:ascii="宋体" w:hAnsi="宋体" w:cs="宋体"/>
          <w:bCs/>
          <w:color w:val="auto"/>
          <w:sz w:val="21"/>
          <w:szCs w:val="21"/>
          <w:lang w:val="en-US" w:eastAsia="zh-CN"/>
        </w:rPr>
        <w:t>1</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（2）安全生产管理目标、制度与措施   0-</w:t>
      </w:r>
      <w:r>
        <w:rPr>
          <w:rFonts w:hint="eastAsia" w:ascii="宋体" w:hAnsi="宋体" w:cs="宋体"/>
          <w:bCs/>
          <w:color w:val="auto"/>
          <w:sz w:val="21"/>
          <w:szCs w:val="21"/>
          <w:lang w:val="en-US" w:eastAsia="zh-CN"/>
        </w:rPr>
        <w:t>1</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（3）安全事故应急救援预案   0-</w:t>
      </w:r>
      <w:r>
        <w:rPr>
          <w:rFonts w:hint="eastAsia" w:ascii="宋体" w:hAnsi="宋体" w:cs="宋体"/>
          <w:bCs/>
          <w:color w:val="auto"/>
          <w:sz w:val="21"/>
          <w:szCs w:val="21"/>
          <w:lang w:val="en-US" w:eastAsia="zh-CN"/>
        </w:rPr>
        <w:t>1</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（4）重大危险源及危险性较大的分部分项工程的识别、安全控制措施和应急预案   0-1分。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 xml:space="preserve">4.文明施工、环境保护管理体系及施工现场扬尘治理措施： </w:t>
      </w:r>
      <w:r>
        <w:rPr>
          <w:rFonts w:hint="eastAsia" w:ascii="宋体" w:hAnsi="宋体" w:cs="宋体"/>
          <w:bCs/>
          <w:color w:val="auto"/>
          <w:sz w:val="21"/>
          <w:szCs w:val="21"/>
          <w:lang w:val="en-US" w:eastAsia="zh-CN"/>
        </w:rPr>
        <w:t>4</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（1）文明施工、环境保护管理组织机构及职责   0-</w:t>
      </w:r>
      <w:r>
        <w:rPr>
          <w:rFonts w:hint="eastAsia" w:ascii="宋体" w:hAnsi="宋体" w:cs="宋体"/>
          <w:bCs/>
          <w:color w:val="auto"/>
          <w:sz w:val="21"/>
          <w:szCs w:val="21"/>
          <w:lang w:val="en-US" w:eastAsia="zh-CN"/>
        </w:rPr>
        <w:t>1</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（2）创建安全文明标准化工地目标及计划   0-</w:t>
      </w:r>
      <w:r>
        <w:rPr>
          <w:rFonts w:hint="eastAsia" w:ascii="宋体" w:hAnsi="宋体" w:cs="宋体"/>
          <w:bCs/>
          <w:color w:val="auto"/>
          <w:sz w:val="21"/>
          <w:szCs w:val="21"/>
          <w:lang w:val="en-US" w:eastAsia="zh-CN"/>
        </w:rPr>
        <w:t>1</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（3）文明施工管理措施   0-</w:t>
      </w:r>
      <w:r>
        <w:rPr>
          <w:rFonts w:hint="eastAsia" w:ascii="宋体" w:hAnsi="宋体" w:cs="宋体"/>
          <w:bCs/>
          <w:color w:val="auto"/>
          <w:sz w:val="21"/>
          <w:szCs w:val="21"/>
          <w:lang w:val="en-US" w:eastAsia="zh-CN"/>
        </w:rPr>
        <w:t>1</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（4）扬尘污染防治方案及建筑垃圾处置方案   0-</w:t>
      </w:r>
      <w:r>
        <w:rPr>
          <w:rFonts w:hint="eastAsia" w:ascii="宋体" w:hAnsi="宋体" w:cs="宋体"/>
          <w:bCs/>
          <w:color w:val="auto"/>
          <w:sz w:val="21"/>
          <w:szCs w:val="21"/>
          <w:lang w:val="en-US" w:eastAsia="zh-CN"/>
        </w:rPr>
        <w:t>1</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5.工期保证措施：</w:t>
      </w:r>
      <w:r>
        <w:rPr>
          <w:rFonts w:hint="eastAsia" w:ascii="宋体" w:hAnsi="宋体" w:cs="宋体"/>
          <w:bCs/>
          <w:color w:val="auto"/>
          <w:sz w:val="21"/>
          <w:szCs w:val="21"/>
          <w:lang w:val="en-US" w:eastAsia="zh-CN"/>
        </w:rPr>
        <w:t>2</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（1）编制各施工节点，月、旬作业计划，定期落实计划实施   0-0.</w:t>
      </w:r>
      <w:r>
        <w:rPr>
          <w:rFonts w:hint="eastAsia" w:ascii="宋体" w:hAnsi="宋体" w:cs="宋体"/>
          <w:bCs/>
          <w:color w:val="auto"/>
          <w:sz w:val="21"/>
          <w:szCs w:val="21"/>
          <w:lang w:val="en-US" w:eastAsia="zh-CN"/>
        </w:rPr>
        <w:t>5</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（2）交叉、流水施工作业方案   0-0.</w:t>
      </w:r>
      <w:r>
        <w:rPr>
          <w:rFonts w:hint="eastAsia" w:ascii="宋体" w:hAnsi="宋体" w:cs="宋体"/>
          <w:bCs/>
          <w:color w:val="auto"/>
          <w:sz w:val="21"/>
          <w:szCs w:val="21"/>
          <w:lang w:val="en-US" w:eastAsia="zh-CN"/>
        </w:rPr>
        <w:t>5</w:t>
      </w:r>
      <w:r>
        <w:rPr>
          <w:rFonts w:hint="eastAsia" w:ascii="宋体" w:hAnsi="宋体" w:eastAsia="宋体" w:cs="宋体"/>
          <w:bCs/>
          <w:color w:val="auto"/>
          <w:sz w:val="21"/>
          <w:szCs w:val="21"/>
        </w:rPr>
        <w:t xml:space="preserve">分； </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（3）合理调配机械、材料、劳动力方案   0-0.</w:t>
      </w:r>
      <w:r>
        <w:rPr>
          <w:rFonts w:hint="eastAsia" w:ascii="宋体" w:hAnsi="宋体" w:cs="宋体"/>
          <w:bCs/>
          <w:color w:val="auto"/>
          <w:sz w:val="21"/>
          <w:szCs w:val="21"/>
          <w:lang w:val="en-US" w:eastAsia="zh-CN"/>
        </w:rPr>
        <w:t>5</w:t>
      </w:r>
      <w:r>
        <w:rPr>
          <w:rFonts w:hint="eastAsia" w:ascii="宋体" w:hAnsi="宋体" w:eastAsia="宋体" w:cs="宋体"/>
          <w:bCs/>
          <w:color w:val="auto"/>
          <w:sz w:val="21"/>
          <w:szCs w:val="21"/>
        </w:rPr>
        <w:t xml:space="preserve">分； </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（4）设计、建设、施工、监理紧密配合，及时解决有关问题，有工期目标及奖惩办法   0-0.</w:t>
      </w:r>
      <w:r>
        <w:rPr>
          <w:rFonts w:hint="eastAsia" w:ascii="宋体" w:hAnsi="宋体" w:cs="宋体"/>
          <w:bCs/>
          <w:color w:val="auto"/>
          <w:sz w:val="21"/>
          <w:szCs w:val="21"/>
          <w:lang w:val="en-US" w:eastAsia="zh-CN"/>
        </w:rPr>
        <w:t>5</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6.拟投入资源配备计划：</w:t>
      </w:r>
      <w:r>
        <w:rPr>
          <w:rFonts w:hint="eastAsia" w:ascii="宋体" w:hAnsi="宋体" w:cs="宋体"/>
          <w:bCs/>
          <w:color w:val="auto"/>
          <w:sz w:val="21"/>
          <w:szCs w:val="21"/>
          <w:lang w:val="en-US" w:eastAsia="zh-CN"/>
        </w:rPr>
        <w:t>3</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（1）机械：设备及施工机具配置计划（含PC构件的运输、安装设备）总量及进退场时间   0-</w:t>
      </w:r>
      <w:r>
        <w:rPr>
          <w:rFonts w:hint="eastAsia" w:ascii="宋体" w:hAnsi="宋体" w:cs="宋体"/>
          <w:bCs/>
          <w:color w:val="auto"/>
          <w:sz w:val="21"/>
          <w:szCs w:val="21"/>
          <w:lang w:val="en-US" w:eastAsia="zh-CN"/>
        </w:rPr>
        <w:t>1</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（2）劳动力：确定工程用工量并编制各施工阶段专业工种劳动力配置计划   0-</w:t>
      </w:r>
      <w:r>
        <w:rPr>
          <w:rFonts w:hint="eastAsia" w:ascii="宋体" w:hAnsi="宋体" w:cs="宋体"/>
          <w:bCs/>
          <w:color w:val="auto"/>
          <w:sz w:val="21"/>
          <w:szCs w:val="21"/>
          <w:lang w:val="en-US" w:eastAsia="zh-CN"/>
        </w:rPr>
        <w:t>1</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（3）主要物资计划：主要物资（含PC构件的供应）配置计划 0-</w:t>
      </w:r>
      <w:r>
        <w:rPr>
          <w:rFonts w:hint="eastAsia" w:ascii="宋体" w:hAnsi="宋体" w:cs="宋体"/>
          <w:bCs/>
          <w:color w:val="auto"/>
          <w:sz w:val="21"/>
          <w:szCs w:val="21"/>
          <w:lang w:val="en-US" w:eastAsia="zh-CN"/>
        </w:rPr>
        <w:t>1</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7.施工进度表与网络计划图：1分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（1）关键线路清晰、准确、完整、满足招标文件对工期的要求   0-0.5分；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（2）计划编制合理、可行，满足招标文件对工期的要求   0-0.5分。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8.施工总平面图布置：</w:t>
      </w:r>
      <w:r>
        <w:rPr>
          <w:rFonts w:hint="eastAsia" w:ascii="宋体" w:hAnsi="宋体" w:cs="宋体"/>
          <w:bCs/>
          <w:color w:val="auto"/>
          <w:sz w:val="21"/>
          <w:szCs w:val="21"/>
          <w:lang w:val="en-US" w:eastAsia="zh-CN"/>
        </w:rPr>
        <w:t>1</w:t>
      </w:r>
      <w:r>
        <w:rPr>
          <w:rFonts w:hint="eastAsia" w:ascii="宋体" w:hAnsi="宋体" w:eastAsia="宋体" w:cs="宋体"/>
          <w:bCs/>
          <w:color w:val="auto"/>
          <w:sz w:val="21"/>
          <w:szCs w:val="21"/>
        </w:rPr>
        <w:t>.5分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（1）拟建建筑物和其他基础设施的位置   0-0.</w:t>
      </w:r>
      <w:r>
        <w:rPr>
          <w:rFonts w:hint="eastAsia" w:ascii="宋体" w:hAnsi="宋体" w:cs="宋体"/>
          <w:bCs/>
          <w:color w:val="auto"/>
          <w:sz w:val="21"/>
          <w:szCs w:val="21"/>
          <w:lang w:val="en-US" w:eastAsia="zh-CN"/>
        </w:rPr>
        <w:t>5</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（2）施工用地范围内的加工设施、垂直运输、供电、供水、排水排污、临时道路和办公生活用房的位置与尺寸，并应有文字说明   0-0.</w:t>
      </w:r>
      <w:r>
        <w:rPr>
          <w:rFonts w:hint="eastAsia" w:ascii="宋体" w:hAnsi="宋体" w:cs="宋体"/>
          <w:bCs/>
          <w:color w:val="auto"/>
          <w:sz w:val="21"/>
          <w:szCs w:val="21"/>
          <w:lang w:val="en-US" w:eastAsia="zh-CN"/>
        </w:rPr>
        <w:t>5</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（3）施工现场必备的安全、消防、保卫和环境保护等设施   0-0.</w:t>
      </w:r>
      <w:r>
        <w:rPr>
          <w:rFonts w:hint="eastAsia" w:ascii="宋体" w:hAnsi="宋体" w:cs="宋体"/>
          <w:bCs/>
          <w:color w:val="auto"/>
          <w:sz w:val="21"/>
          <w:szCs w:val="21"/>
          <w:lang w:val="en-US" w:eastAsia="zh-CN"/>
        </w:rPr>
        <w:t>5</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9.技术创新的应用实施措施：1分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（1）节能减排应用实施措施   0-0.25分；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（2）绿色施工应用实施措施   0-0.25分；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（3）工艺创新应用实施措施   0-0.25分 ；</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（4）装配式建筑应用实施措施（结合施工图确定）   0-0.25分。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10.采用新工艺、新技术、新设备、新材料、BIM技术等的程度：1分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（1）采用新工艺的程度   0-0.2分；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（2）采用新技术的程度   0-0.2分；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（3）采用新设备的程度   0-0.2分；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（4）采用新材料的程度   0-0.2分；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（5）采用BIM技术的程度   0-0.2分。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11.施工现场实施信息化监控和数据处理：0.5分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（1）施工现场信息化监控的布置   0-0.25分；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（2）数据处理系统   0-0.25分。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12.风险管理措施：</w:t>
      </w:r>
      <w:r>
        <w:rPr>
          <w:rFonts w:hint="eastAsia" w:ascii="宋体" w:hAnsi="宋体" w:cs="宋体"/>
          <w:bCs/>
          <w:color w:val="auto"/>
          <w:sz w:val="21"/>
          <w:szCs w:val="21"/>
          <w:lang w:val="en-US" w:eastAsia="zh-CN"/>
        </w:rPr>
        <w:t>1</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（1）项目重点难点分析及预防措施   0-0.25分；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（2）施工质量风险分析及预防措施   0-0.25分；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（3）安全风险的分析及预防措施   0-0.25分；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（4）工程造价风险的分析和预防措施   0-0.25分。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13.内容完整性和编制水平：2分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
          <w:color w:val="auto"/>
          <w:sz w:val="21"/>
          <w:szCs w:val="21"/>
        </w:rPr>
      </w:pPr>
      <w:r>
        <w:rPr>
          <w:rFonts w:hint="eastAsia" w:ascii="宋体" w:hAnsi="宋体" w:eastAsia="宋体" w:cs="宋体"/>
          <w:b/>
          <w:color w:val="auto"/>
          <w:sz w:val="21"/>
          <w:szCs w:val="21"/>
        </w:rPr>
        <w:t>（二）项目经理现场答辩的主要内容及评标分值：5分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
          <w:color w:val="auto"/>
          <w:sz w:val="21"/>
          <w:szCs w:val="21"/>
        </w:rPr>
      </w:pPr>
      <w:r>
        <w:rPr>
          <w:rFonts w:hint="eastAsia" w:ascii="宋体" w:hAnsi="宋体" w:eastAsia="宋体" w:cs="宋体"/>
          <w:b/>
          <w:color w:val="auto"/>
          <w:sz w:val="21"/>
          <w:szCs w:val="21"/>
          <w:lang w:val="en-US" w:eastAsia="zh-CN"/>
        </w:rPr>
        <w:t xml:space="preserve">（1）现场答辩要求： </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kern w:val="0"/>
          <w:sz w:val="21"/>
          <w:szCs w:val="21"/>
        </w:rPr>
      </w:pPr>
      <w:r>
        <w:rPr>
          <w:rFonts w:hint="eastAsia" w:ascii="宋体" w:hAnsi="宋体" w:eastAsia="宋体" w:cs="宋体"/>
          <w:bCs/>
          <w:color w:val="auto"/>
          <w:kern w:val="0"/>
          <w:sz w:val="21"/>
          <w:szCs w:val="21"/>
          <w:lang w:val="en-US" w:eastAsia="zh-CN"/>
        </w:rPr>
        <w:t>答辩人：投标人拟派项目经理；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kern w:val="0"/>
          <w:sz w:val="21"/>
          <w:szCs w:val="21"/>
        </w:rPr>
      </w:pPr>
      <w:r>
        <w:rPr>
          <w:rFonts w:hint="eastAsia" w:ascii="宋体" w:hAnsi="宋体" w:eastAsia="宋体" w:cs="宋体"/>
          <w:bCs/>
          <w:color w:val="auto"/>
          <w:kern w:val="0"/>
          <w:sz w:val="21"/>
          <w:szCs w:val="21"/>
          <w:lang w:val="en-US" w:eastAsia="zh-CN"/>
        </w:rPr>
        <w:t>时间要求：不超过5分钟；</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kern w:val="0"/>
          <w:sz w:val="21"/>
          <w:szCs w:val="21"/>
        </w:rPr>
      </w:pPr>
      <w:r>
        <w:rPr>
          <w:rFonts w:hint="eastAsia" w:ascii="宋体" w:hAnsi="宋体" w:eastAsia="宋体" w:cs="宋体"/>
          <w:bCs/>
          <w:color w:val="auto"/>
          <w:kern w:val="0"/>
          <w:sz w:val="21"/>
          <w:szCs w:val="21"/>
          <w:lang w:val="en-US" w:eastAsia="zh-CN"/>
        </w:rPr>
        <w:t>答辩形式：项目经理答辩采用不见面答辩形式，具体详见第二章投标人须知前附表。</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kern w:val="0"/>
          <w:sz w:val="21"/>
          <w:szCs w:val="21"/>
        </w:rPr>
      </w:pPr>
      <w:r>
        <w:rPr>
          <w:rFonts w:hint="eastAsia" w:ascii="宋体" w:hAnsi="宋体" w:eastAsia="宋体" w:cs="宋体"/>
          <w:b/>
          <w:bCs w:val="0"/>
          <w:color w:val="auto"/>
          <w:kern w:val="0"/>
          <w:sz w:val="21"/>
          <w:szCs w:val="21"/>
        </w:rPr>
        <w:t>注：项目经理未按上述要求参加答辩的，视为放弃</w:t>
      </w:r>
      <w:r>
        <w:rPr>
          <w:rFonts w:hint="eastAsia" w:ascii="宋体" w:hAnsi="宋体" w:eastAsia="宋体" w:cs="宋体"/>
          <w:b/>
          <w:bCs w:val="0"/>
          <w:color w:val="auto"/>
          <w:kern w:val="0"/>
          <w:sz w:val="21"/>
          <w:szCs w:val="21"/>
          <w:lang w:eastAsia="zh-CN"/>
        </w:rPr>
        <w:t>投标，按无效投标处理</w:t>
      </w:r>
      <w:r>
        <w:rPr>
          <w:rFonts w:hint="eastAsia" w:ascii="宋体" w:hAnsi="宋体" w:eastAsia="宋体" w:cs="宋体"/>
          <w:bCs/>
          <w:color w:val="auto"/>
          <w:kern w:val="0"/>
          <w:sz w:val="21"/>
          <w:szCs w:val="21"/>
        </w:rPr>
        <w:t>。</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
          <w:color w:val="auto"/>
          <w:sz w:val="21"/>
          <w:szCs w:val="21"/>
          <w:lang w:val="en-US" w:eastAsia="zh-CN"/>
        </w:rPr>
      </w:pPr>
      <w:r>
        <w:rPr>
          <w:rFonts w:hint="eastAsia" w:ascii="宋体" w:hAnsi="宋体" w:eastAsia="宋体" w:cs="宋体"/>
          <w:b/>
          <w:color w:val="auto"/>
          <w:sz w:val="21"/>
          <w:szCs w:val="21"/>
          <w:lang w:val="en-US" w:eastAsia="zh-CN"/>
        </w:rPr>
        <w:t>（2）现场答辩内容及评分标准：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lang w:val="en-US" w:eastAsia="zh-CN"/>
        </w:rPr>
        <w:t>由投标人拟派项目经理对本项目施工工作进行现场答辩，评标委员会根据现场答辩情况合理打分。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kern w:val="0"/>
          <w:sz w:val="21"/>
          <w:szCs w:val="21"/>
          <w:lang w:val="en-US" w:eastAsia="zh-CN"/>
        </w:rPr>
      </w:pPr>
      <w:r>
        <w:rPr>
          <w:rFonts w:hint="eastAsia" w:ascii="宋体" w:hAnsi="宋体" w:eastAsia="宋体" w:cs="宋体"/>
          <w:bCs/>
          <w:color w:val="auto"/>
          <w:kern w:val="0"/>
          <w:sz w:val="21"/>
          <w:szCs w:val="21"/>
          <w:lang w:val="en-US" w:eastAsia="zh-CN"/>
        </w:rPr>
        <w:t>①项目论述：3分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kern w:val="0"/>
          <w:sz w:val="21"/>
          <w:szCs w:val="21"/>
          <w:lang w:val="en-US" w:eastAsia="zh-CN"/>
        </w:rPr>
      </w:pPr>
      <w:r>
        <w:rPr>
          <w:rFonts w:hint="eastAsia" w:ascii="宋体" w:hAnsi="宋体" w:eastAsia="宋体" w:cs="宋体"/>
          <w:bCs/>
          <w:color w:val="auto"/>
          <w:kern w:val="0"/>
          <w:sz w:val="21"/>
          <w:szCs w:val="21"/>
          <w:lang w:val="en-US" w:eastAsia="zh-CN"/>
        </w:rPr>
        <w:t>由投标人拟派项目经理对招标项目施工方案及重点难点控制措施进行论述。对本项目现场情况、施工图纸的理解程度等，对保通措施及本项目重点难点的理解和解决方案以及对本项目的合理化建议的全面性、合理性0-3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kern w:val="0"/>
          <w:sz w:val="21"/>
          <w:szCs w:val="21"/>
          <w:lang w:val="en-US" w:eastAsia="zh-CN"/>
        </w:rPr>
      </w:pPr>
      <w:r>
        <w:rPr>
          <w:rFonts w:hint="eastAsia" w:ascii="宋体" w:hAnsi="宋体" w:eastAsia="宋体" w:cs="宋体"/>
          <w:bCs/>
          <w:color w:val="auto"/>
          <w:kern w:val="0"/>
          <w:sz w:val="21"/>
          <w:szCs w:val="21"/>
          <w:lang w:val="en-US" w:eastAsia="zh-CN"/>
        </w:rPr>
        <w:t>②拟任项目经理的综合素质：2分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kern w:val="0"/>
          <w:sz w:val="21"/>
          <w:szCs w:val="21"/>
          <w:lang w:val="en-US" w:eastAsia="zh-CN"/>
        </w:rPr>
      </w:pPr>
      <w:r>
        <w:rPr>
          <w:rFonts w:hint="eastAsia" w:ascii="宋体" w:hAnsi="宋体" w:eastAsia="宋体" w:cs="宋体"/>
          <w:bCs/>
          <w:color w:val="auto"/>
          <w:kern w:val="0"/>
          <w:sz w:val="21"/>
          <w:szCs w:val="21"/>
          <w:lang w:val="en-US" w:eastAsia="zh-CN"/>
        </w:rPr>
        <w:t>由评标委员会依据招标工程的特点进行现场提问，由拟任项目经理进行现场答辩，根据答辩的合理性、完整性、逻辑性和理解程度0-2分。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
          <w:bCs/>
          <w:color w:val="auto"/>
          <w:kern w:val="0"/>
          <w:sz w:val="21"/>
          <w:szCs w:val="21"/>
        </w:rPr>
      </w:pPr>
      <w:r>
        <w:rPr>
          <w:rFonts w:hint="eastAsia" w:ascii="宋体" w:hAnsi="宋体" w:eastAsia="宋体" w:cs="宋体"/>
          <w:b/>
          <w:bCs/>
          <w:color w:val="auto"/>
          <w:kern w:val="0"/>
          <w:sz w:val="21"/>
          <w:szCs w:val="21"/>
        </w:rPr>
        <w:t>（</w:t>
      </w:r>
      <w:r>
        <w:rPr>
          <w:rFonts w:hint="eastAsia" w:ascii="宋体" w:hAnsi="宋体" w:eastAsia="宋体" w:cs="宋体"/>
          <w:b/>
          <w:bCs/>
          <w:color w:val="auto"/>
          <w:kern w:val="0"/>
          <w:sz w:val="21"/>
          <w:szCs w:val="21"/>
          <w:lang w:val="en-US" w:eastAsia="zh-CN"/>
        </w:rPr>
        <w:t>三</w:t>
      </w:r>
      <w:r>
        <w:rPr>
          <w:rFonts w:hint="eastAsia" w:ascii="宋体" w:hAnsi="宋体" w:eastAsia="宋体" w:cs="宋体"/>
          <w:b/>
          <w:bCs/>
          <w:color w:val="auto"/>
          <w:kern w:val="0"/>
          <w:sz w:val="21"/>
          <w:szCs w:val="21"/>
        </w:rPr>
        <w:t>）计分规则</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kern w:val="0"/>
          <w:sz w:val="21"/>
          <w:szCs w:val="21"/>
        </w:rPr>
        <w:fldChar w:fldCharType="begin"/>
      </w:r>
      <w:r>
        <w:rPr>
          <w:rFonts w:hint="eastAsia" w:ascii="宋体" w:hAnsi="宋体" w:eastAsia="宋体" w:cs="宋体"/>
          <w:bCs/>
          <w:color w:val="auto"/>
          <w:kern w:val="0"/>
          <w:sz w:val="21"/>
          <w:szCs w:val="21"/>
        </w:rPr>
        <w:instrText xml:space="preserve"> = 1 \* GB2 </w:instrText>
      </w:r>
      <w:r>
        <w:rPr>
          <w:rFonts w:hint="eastAsia" w:ascii="宋体" w:hAnsi="宋体" w:eastAsia="宋体" w:cs="宋体"/>
          <w:bCs/>
          <w:color w:val="auto"/>
          <w:kern w:val="0"/>
          <w:sz w:val="21"/>
          <w:szCs w:val="21"/>
        </w:rPr>
        <w:fldChar w:fldCharType="separate"/>
      </w:r>
      <w:r>
        <w:rPr>
          <w:rFonts w:hint="eastAsia" w:ascii="宋体" w:hAnsi="宋体" w:eastAsia="宋体" w:cs="宋体"/>
          <w:bCs/>
          <w:color w:val="auto"/>
          <w:kern w:val="0"/>
          <w:sz w:val="21"/>
          <w:szCs w:val="21"/>
        </w:rPr>
        <w:t>⑴</w:t>
      </w:r>
      <w:r>
        <w:rPr>
          <w:rFonts w:hint="eastAsia" w:ascii="宋体" w:hAnsi="宋体" w:eastAsia="宋体" w:cs="宋体"/>
          <w:bCs/>
          <w:color w:val="auto"/>
          <w:kern w:val="0"/>
          <w:sz w:val="21"/>
          <w:szCs w:val="21"/>
        </w:rPr>
        <w:fldChar w:fldCharType="end"/>
      </w:r>
      <w:r>
        <w:rPr>
          <w:rFonts w:hint="eastAsia" w:ascii="宋体" w:hAnsi="宋体" w:eastAsia="宋体" w:cs="宋体"/>
          <w:bCs/>
          <w:color w:val="auto"/>
          <w:kern w:val="0"/>
          <w:sz w:val="21"/>
          <w:szCs w:val="21"/>
        </w:rPr>
        <w:t xml:space="preserve"> 技术标1—12项内容（包括子项）按照横向比较进行区间打分。技术标</w:t>
      </w:r>
      <w:r>
        <w:rPr>
          <w:rFonts w:hint="eastAsia" w:ascii="宋体" w:hAnsi="宋体" w:eastAsia="宋体" w:cs="宋体"/>
          <w:bCs/>
          <w:color w:val="auto"/>
          <w:sz w:val="21"/>
          <w:szCs w:val="21"/>
        </w:rPr>
        <w:t>第13项内容，由评标专家根据投标人技术标编制的完整性、可行性、以及是否符合招标文件的要求等因素进行综合评标。</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kern w:val="0"/>
          <w:sz w:val="21"/>
          <w:szCs w:val="21"/>
        </w:rPr>
      </w:pPr>
      <w:r>
        <w:rPr>
          <w:rFonts w:hint="eastAsia" w:ascii="宋体" w:hAnsi="宋体" w:eastAsia="宋体" w:cs="宋体"/>
          <w:bCs/>
          <w:color w:val="auto"/>
          <w:kern w:val="0"/>
          <w:sz w:val="21"/>
          <w:szCs w:val="21"/>
        </w:rPr>
        <w:fldChar w:fldCharType="begin"/>
      </w:r>
      <w:r>
        <w:rPr>
          <w:rFonts w:hint="eastAsia" w:ascii="宋体" w:hAnsi="宋体" w:eastAsia="宋体" w:cs="宋体"/>
          <w:bCs/>
          <w:color w:val="auto"/>
          <w:kern w:val="0"/>
          <w:sz w:val="21"/>
          <w:szCs w:val="21"/>
        </w:rPr>
        <w:instrText xml:space="preserve"> = 2 \* GB2 </w:instrText>
      </w:r>
      <w:r>
        <w:rPr>
          <w:rFonts w:hint="eastAsia" w:ascii="宋体" w:hAnsi="宋体" w:eastAsia="宋体" w:cs="宋体"/>
          <w:bCs/>
          <w:color w:val="auto"/>
          <w:kern w:val="0"/>
          <w:sz w:val="21"/>
          <w:szCs w:val="21"/>
        </w:rPr>
        <w:fldChar w:fldCharType="separate"/>
      </w:r>
      <w:r>
        <w:rPr>
          <w:rFonts w:hint="eastAsia" w:ascii="宋体" w:hAnsi="宋体" w:eastAsia="宋体" w:cs="宋体"/>
          <w:bCs/>
          <w:color w:val="auto"/>
          <w:kern w:val="0"/>
          <w:sz w:val="21"/>
          <w:szCs w:val="21"/>
        </w:rPr>
        <w:t>⑵</w:t>
      </w:r>
      <w:r>
        <w:rPr>
          <w:rFonts w:hint="eastAsia" w:ascii="宋体" w:hAnsi="宋体" w:eastAsia="宋体" w:cs="宋体"/>
          <w:bCs/>
          <w:color w:val="auto"/>
          <w:kern w:val="0"/>
          <w:sz w:val="21"/>
          <w:szCs w:val="21"/>
        </w:rPr>
        <w:fldChar w:fldCharType="end"/>
      </w:r>
      <w:r>
        <w:rPr>
          <w:rFonts w:hint="eastAsia" w:ascii="宋体" w:hAnsi="宋体" w:eastAsia="宋体" w:cs="宋体"/>
          <w:bCs/>
          <w:color w:val="auto"/>
          <w:kern w:val="0"/>
          <w:sz w:val="21"/>
          <w:szCs w:val="21"/>
        </w:rPr>
        <w:t xml:space="preserve"> 所有评标委员会成员根据本办法独立打分，算术平均后为投标人最终技术标得分。评标委员会成员技术标出现打分分数明显偏高或偏低时，评标委员会负责人应当提醒其进行复检，本人做出说明。</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
          <w:bCs w:val="0"/>
          <w:color w:val="auto"/>
          <w:kern w:val="0"/>
          <w:sz w:val="21"/>
          <w:szCs w:val="21"/>
        </w:rPr>
      </w:pPr>
      <w:r>
        <w:rPr>
          <w:rFonts w:hint="eastAsia" w:ascii="宋体" w:hAnsi="宋体" w:eastAsia="宋体" w:cs="宋体"/>
          <w:b/>
          <w:bCs w:val="0"/>
          <w:color w:val="auto"/>
          <w:kern w:val="0"/>
          <w:sz w:val="21"/>
          <w:szCs w:val="21"/>
        </w:rPr>
        <w:fldChar w:fldCharType="begin"/>
      </w:r>
      <w:r>
        <w:rPr>
          <w:rFonts w:hint="eastAsia" w:ascii="宋体" w:hAnsi="宋体" w:eastAsia="宋体" w:cs="宋体"/>
          <w:b/>
          <w:bCs w:val="0"/>
          <w:color w:val="auto"/>
          <w:kern w:val="0"/>
          <w:sz w:val="21"/>
          <w:szCs w:val="21"/>
        </w:rPr>
        <w:instrText xml:space="preserve"> = 3 \* GB2 </w:instrText>
      </w:r>
      <w:r>
        <w:rPr>
          <w:rFonts w:hint="eastAsia" w:ascii="宋体" w:hAnsi="宋体" w:eastAsia="宋体" w:cs="宋体"/>
          <w:b/>
          <w:bCs w:val="0"/>
          <w:color w:val="auto"/>
          <w:kern w:val="0"/>
          <w:sz w:val="21"/>
          <w:szCs w:val="21"/>
        </w:rPr>
        <w:fldChar w:fldCharType="separate"/>
      </w:r>
      <w:r>
        <w:rPr>
          <w:rFonts w:hint="eastAsia" w:ascii="宋体" w:hAnsi="宋体" w:eastAsia="宋体" w:cs="宋体"/>
          <w:b/>
          <w:bCs w:val="0"/>
          <w:color w:val="auto"/>
          <w:kern w:val="0"/>
          <w:sz w:val="21"/>
          <w:szCs w:val="21"/>
        </w:rPr>
        <w:t>⑶</w:t>
      </w:r>
      <w:r>
        <w:rPr>
          <w:rFonts w:hint="eastAsia" w:ascii="宋体" w:hAnsi="宋体" w:eastAsia="宋体" w:cs="宋体"/>
          <w:b/>
          <w:bCs w:val="0"/>
          <w:color w:val="auto"/>
          <w:kern w:val="0"/>
          <w:sz w:val="21"/>
          <w:szCs w:val="21"/>
        </w:rPr>
        <w:fldChar w:fldCharType="end"/>
      </w:r>
      <w:r>
        <w:rPr>
          <w:rFonts w:hint="eastAsia" w:ascii="宋体" w:hAnsi="宋体" w:eastAsia="宋体" w:cs="宋体"/>
          <w:b/>
          <w:bCs w:val="0"/>
          <w:color w:val="auto"/>
          <w:kern w:val="0"/>
          <w:sz w:val="21"/>
          <w:szCs w:val="21"/>
        </w:rPr>
        <w:t>技术标</w:t>
      </w:r>
      <w:r>
        <w:rPr>
          <w:rFonts w:hint="eastAsia" w:ascii="宋体" w:hAnsi="宋体" w:eastAsia="宋体" w:cs="宋体"/>
          <w:b/>
          <w:bCs w:val="0"/>
          <w:color w:val="auto"/>
          <w:kern w:val="0"/>
          <w:sz w:val="21"/>
          <w:szCs w:val="21"/>
          <w:lang w:eastAsia="zh-CN"/>
        </w:rPr>
        <w:t>总</w:t>
      </w:r>
      <w:r>
        <w:rPr>
          <w:rFonts w:hint="eastAsia" w:ascii="宋体" w:hAnsi="宋体" w:eastAsia="宋体" w:cs="宋体"/>
          <w:b/>
          <w:bCs w:val="0"/>
          <w:color w:val="auto"/>
          <w:kern w:val="0"/>
          <w:sz w:val="21"/>
          <w:szCs w:val="21"/>
        </w:rPr>
        <w:t>得分低于15分的，其技术标为不合格，按否决投标处理。</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highlight w:val="none"/>
        </w:rPr>
      </w:pPr>
      <w:r>
        <w:rPr>
          <w:rFonts w:hint="eastAsia" w:ascii="宋体" w:hAnsi="宋体"/>
          <w:b/>
          <w:color w:val="auto"/>
          <w:kern w:val="0"/>
          <w:szCs w:val="21"/>
          <w:highlight w:val="none"/>
        </w:rPr>
        <w:t>二、商务标的主要内容及评标分值：</w:t>
      </w:r>
      <w:r>
        <w:rPr>
          <w:rFonts w:hint="eastAsia" w:ascii="宋体" w:hAnsi="宋体"/>
          <w:b/>
          <w:color w:val="auto"/>
          <w:kern w:val="0"/>
          <w:szCs w:val="21"/>
          <w:highlight w:val="none"/>
          <w:lang w:val="en-US" w:eastAsia="zh-CN"/>
        </w:rPr>
        <w:t>50</w:t>
      </w:r>
      <w:r>
        <w:rPr>
          <w:rFonts w:hint="eastAsia" w:ascii="宋体" w:hAnsi="宋体"/>
          <w:b/>
          <w:color w:val="auto"/>
          <w:kern w:val="0"/>
          <w:szCs w:val="21"/>
          <w:highlight w:val="none"/>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cs="宋体"/>
          <w:b/>
          <w:color w:val="auto"/>
          <w:kern w:val="0"/>
          <w:sz w:val="21"/>
          <w:szCs w:val="21"/>
        </w:rPr>
      </w:pPr>
      <w:r>
        <w:rPr>
          <w:rFonts w:hint="eastAsia" w:ascii="宋体" w:hAnsi="宋体" w:cs="宋体"/>
          <w:b/>
          <w:color w:val="auto"/>
          <w:kern w:val="0"/>
          <w:sz w:val="21"/>
          <w:szCs w:val="21"/>
        </w:rPr>
        <w:t>1、投标报价的评审：30分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cs="宋体"/>
          <w:color w:val="auto"/>
          <w:kern w:val="0"/>
          <w:sz w:val="21"/>
          <w:szCs w:val="21"/>
        </w:rPr>
      </w:pPr>
      <w:r>
        <w:rPr>
          <w:rFonts w:hint="eastAsia" w:ascii="宋体" w:hAnsi="宋体" w:cs="宋体"/>
          <w:color w:val="auto"/>
          <w:kern w:val="0"/>
          <w:sz w:val="21"/>
          <w:szCs w:val="21"/>
        </w:rPr>
        <w:t>工程量清单报价评标基准价计算公式为：</w:t>
      </w:r>
    </w:p>
    <w:p>
      <w:pPr>
        <w:pageBreakBefore w:val="0"/>
        <w:kinsoku/>
        <w:wordWrap/>
        <w:overflowPunct/>
        <w:topLinePunct w:val="0"/>
        <w:autoSpaceDE/>
        <w:autoSpaceDN/>
        <w:bidi w:val="0"/>
        <w:adjustRightInd/>
        <w:snapToGrid/>
        <w:spacing w:line="240" w:lineRule="auto"/>
        <w:ind w:firstLine="398" w:firstLineChars="196"/>
        <w:rPr>
          <w:rFonts w:hint="eastAsia" w:ascii="宋体" w:hAnsi="宋体" w:cs="宋体"/>
          <w:color w:val="auto"/>
          <w:kern w:val="0"/>
          <w:sz w:val="21"/>
          <w:szCs w:val="21"/>
        </w:rPr>
      </w:pPr>
      <w:r>
        <w:rPr>
          <w:rFonts w:hint="eastAsia" w:ascii="宋体" w:hAnsi="宋体" w:cs="宋体"/>
          <w:color w:val="auto"/>
          <w:kern w:val="0"/>
          <w:sz w:val="21"/>
          <w:szCs w:val="21"/>
        </w:rPr>
        <w:t>评标基准价＝最高投标限价×K+投标报价×（1－K）</w:t>
      </w:r>
    </w:p>
    <w:p>
      <w:pPr>
        <w:pageBreakBefore w:val="0"/>
        <w:kinsoku/>
        <w:wordWrap/>
        <w:overflowPunct/>
        <w:topLinePunct w:val="0"/>
        <w:autoSpaceDE/>
        <w:autoSpaceDN/>
        <w:bidi w:val="0"/>
        <w:adjustRightInd/>
        <w:snapToGrid/>
        <w:spacing w:line="240" w:lineRule="auto"/>
        <w:ind w:firstLine="398" w:firstLineChars="196"/>
        <w:rPr>
          <w:rFonts w:hint="eastAsia" w:ascii="宋体" w:hAnsi="宋体" w:cs="宋体"/>
          <w:color w:val="auto"/>
          <w:kern w:val="0"/>
          <w:sz w:val="21"/>
          <w:szCs w:val="21"/>
        </w:rPr>
      </w:pPr>
      <w:r>
        <w:rPr>
          <w:rFonts w:hint="eastAsia" w:ascii="宋体" w:hAnsi="宋体" w:cs="宋体"/>
          <w:color w:val="auto"/>
          <w:kern w:val="0"/>
          <w:sz w:val="21"/>
          <w:szCs w:val="21"/>
        </w:rPr>
        <w:t>其中：K为最高投标限价权重系数，取值范围为0.1≤K≤0.5，精确到小数点后两位，在开标现场由招标人随机抽取确定。当有效投标人少于5家时（不含5家），以所有有效投标报价的算术平均值作为投标报价；</w:t>
      </w:r>
      <w:r>
        <w:rPr>
          <w:rFonts w:hint="eastAsia" w:ascii="宋体" w:hAnsi="宋体" w:cs="宋体"/>
          <w:color w:val="auto"/>
          <w:sz w:val="21"/>
          <w:szCs w:val="21"/>
        </w:rPr>
        <w:t>当有效投标人5家及以上时，投标报价为各投标人有效投标报价按大小排列去掉排名靠前的20%和靠后的20%（不为整数时按四舍五入取整）后的算术平均值。</w:t>
      </w:r>
      <w:r>
        <w:rPr>
          <w:rFonts w:hint="eastAsia" w:ascii="宋体" w:hAnsi="宋体" w:cs="宋体"/>
          <w:color w:val="auto"/>
          <w:kern w:val="0"/>
          <w:sz w:val="21"/>
          <w:szCs w:val="21"/>
        </w:rPr>
        <w:t>上述最高投标限价、投标报价、有效投标报价在参与评标基准价计算时，均不含规费、安全文明施工措施费、暂列金额与专业暂估价、增值税（税金）。</w:t>
      </w:r>
    </w:p>
    <w:p>
      <w:pPr>
        <w:pageBreakBefore w:val="0"/>
        <w:kinsoku/>
        <w:wordWrap/>
        <w:overflowPunct/>
        <w:topLinePunct w:val="0"/>
        <w:autoSpaceDE/>
        <w:autoSpaceDN/>
        <w:bidi w:val="0"/>
        <w:adjustRightInd/>
        <w:snapToGrid/>
        <w:spacing w:line="240" w:lineRule="auto"/>
        <w:ind w:firstLine="398" w:firstLineChars="196"/>
        <w:rPr>
          <w:rFonts w:hint="eastAsia" w:ascii="宋体" w:hAnsi="宋体" w:cs="宋体"/>
          <w:color w:val="auto"/>
          <w:sz w:val="21"/>
          <w:szCs w:val="21"/>
        </w:rPr>
      </w:pPr>
      <w:r>
        <w:rPr>
          <w:rFonts w:hint="eastAsia" w:ascii="宋体" w:hAnsi="宋体" w:cs="宋体"/>
          <w:color w:val="auto"/>
          <w:sz w:val="21"/>
          <w:szCs w:val="21"/>
        </w:rPr>
        <w:t>当投标人有效投标报价与评标基准价相等时，得基本分20分。当投标报价低于评标基准价时，每低1%范围内在基本分20分的基础上加2分，最多加10分；当投标人有效投标报价低于评标基准价5%以上（不含5%）时，每再低1%范围内在满分30分的基础上扣3分，扣完为止；当投标人有效投标报价高于评标基准价时，每高1%在基本分20分的基础上扣2分，扣完为止。</w:t>
      </w:r>
    </w:p>
    <w:p>
      <w:pPr>
        <w:pageBreakBefore w:val="0"/>
        <w:kinsoku/>
        <w:wordWrap/>
        <w:overflowPunct/>
        <w:topLinePunct w:val="0"/>
        <w:autoSpaceDE/>
        <w:autoSpaceDN/>
        <w:bidi w:val="0"/>
        <w:adjustRightInd/>
        <w:snapToGrid/>
        <w:spacing w:line="240" w:lineRule="auto"/>
        <w:ind w:firstLine="398" w:firstLineChars="196"/>
        <w:rPr>
          <w:rFonts w:hint="eastAsia" w:ascii="宋体" w:hAnsi="宋体" w:cs="宋体"/>
          <w:b/>
          <w:color w:val="auto"/>
          <w:kern w:val="0"/>
          <w:sz w:val="21"/>
          <w:szCs w:val="21"/>
        </w:rPr>
      </w:pPr>
      <w:r>
        <w:rPr>
          <w:rFonts w:hint="eastAsia" w:ascii="宋体" w:hAnsi="宋体" w:cs="宋体"/>
          <w:b/>
          <w:color w:val="auto"/>
          <w:kern w:val="0"/>
          <w:sz w:val="21"/>
          <w:szCs w:val="21"/>
        </w:rPr>
        <w:t>2、分部分项工程项目清单单价评审：10分</w:t>
      </w:r>
    </w:p>
    <w:p>
      <w:pPr>
        <w:pageBreakBefore w:val="0"/>
        <w:kinsoku/>
        <w:wordWrap/>
        <w:overflowPunct/>
        <w:topLinePunct w:val="0"/>
        <w:autoSpaceDE/>
        <w:autoSpaceDN/>
        <w:bidi w:val="0"/>
        <w:adjustRightInd/>
        <w:snapToGrid/>
        <w:spacing w:line="240" w:lineRule="auto"/>
        <w:ind w:firstLine="398" w:firstLineChars="196"/>
        <w:rPr>
          <w:rFonts w:hint="eastAsia" w:ascii="宋体" w:hAnsi="宋体" w:cs="宋体"/>
          <w:color w:val="auto"/>
          <w:sz w:val="21"/>
          <w:szCs w:val="21"/>
        </w:rPr>
      </w:pPr>
      <w:r>
        <w:rPr>
          <w:rFonts w:hint="eastAsia" w:ascii="宋体" w:hAnsi="宋体" w:cs="宋体"/>
          <w:color w:val="auto"/>
          <w:kern w:val="0"/>
          <w:sz w:val="21"/>
          <w:szCs w:val="21"/>
        </w:rPr>
        <w:fldChar w:fldCharType="begin"/>
      </w:r>
      <w:r>
        <w:rPr>
          <w:rFonts w:hint="eastAsia" w:ascii="宋体" w:hAnsi="宋体" w:cs="宋体"/>
          <w:color w:val="auto"/>
          <w:kern w:val="0"/>
          <w:sz w:val="21"/>
          <w:szCs w:val="21"/>
        </w:rPr>
        <w:instrText xml:space="preserve"> = 1 \* GB2 </w:instrText>
      </w:r>
      <w:r>
        <w:rPr>
          <w:rFonts w:hint="eastAsia" w:ascii="宋体" w:hAnsi="宋体" w:cs="宋体"/>
          <w:color w:val="auto"/>
          <w:kern w:val="0"/>
          <w:sz w:val="21"/>
          <w:szCs w:val="21"/>
        </w:rPr>
        <w:fldChar w:fldCharType="separate"/>
      </w:r>
      <w:r>
        <w:rPr>
          <w:rFonts w:hint="eastAsia" w:ascii="宋体" w:hAnsi="宋体" w:cs="宋体"/>
          <w:color w:val="auto"/>
          <w:kern w:val="0"/>
          <w:sz w:val="21"/>
          <w:szCs w:val="21"/>
        </w:rPr>
        <w:t>⑴</w:t>
      </w:r>
      <w:r>
        <w:rPr>
          <w:rFonts w:hint="eastAsia" w:ascii="宋体" w:hAnsi="宋体" w:cs="宋体"/>
          <w:color w:val="auto"/>
          <w:kern w:val="0"/>
          <w:sz w:val="21"/>
          <w:szCs w:val="21"/>
        </w:rPr>
        <w:fldChar w:fldCharType="end"/>
      </w:r>
      <w:r>
        <w:rPr>
          <w:rFonts w:hint="eastAsia" w:ascii="宋体" w:hAnsi="宋体" w:cs="宋体"/>
          <w:color w:val="auto"/>
          <w:sz w:val="21"/>
          <w:szCs w:val="21"/>
        </w:rPr>
        <w:t>从最高投标限价中分部分项工程清单合价占全部清单项目报价的权重最大的前30%清单项目（不为整数时按四舍五入取整，下同）中抽取15项，在剩余的分部分项工程项目清单项目中随机抽取5项。若不能以最高投标限价抽项时，则以“最接近评标基准价的负标价”的投标人的报价为准抽项。</w:t>
      </w:r>
    </w:p>
    <w:p>
      <w:pPr>
        <w:pageBreakBefore w:val="0"/>
        <w:kinsoku/>
        <w:wordWrap/>
        <w:overflowPunct/>
        <w:topLinePunct w:val="0"/>
        <w:autoSpaceDE/>
        <w:autoSpaceDN/>
        <w:bidi w:val="0"/>
        <w:adjustRightInd/>
        <w:snapToGrid/>
        <w:spacing w:line="240" w:lineRule="auto"/>
        <w:ind w:firstLine="398" w:firstLineChars="196"/>
        <w:rPr>
          <w:rFonts w:hint="eastAsia" w:ascii="宋体" w:hAnsi="宋体" w:cs="宋体"/>
          <w:color w:val="auto"/>
          <w:sz w:val="21"/>
          <w:szCs w:val="21"/>
        </w:rPr>
      </w:pPr>
      <w:r>
        <w:rPr>
          <w:rFonts w:hint="eastAsia" w:ascii="宋体" w:hAnsi="宋体" w:cs="宋体"/>
          <w:color w:val="auto"/>
          <w:sz w:val="21"/>
          <w:szCs w:val="21"/>
        </w:rPr>
        <w:t>当权重最大的前30%项等于15项时，全部抽取，在剩余的分部分项工程项目清单项目中随机抽取5项。</w:t>
      </w:r>
    </w:p>
    <w:p>
      <w:pPr>
        <w:pageBreakBefore w:val="0"/>
        <w:kinsoku/>
        <w:wordWrap/>
        <w:overflowPunct/>
        <w:topLinePunct w:val="0"/>
        <w:autoSpaceDE/>
        <w:autoSpaceDN/>
        <w:bidi w:val="0"/>
        <w:adjustRightInd/>
        <w:snapToGrid/>
        <w:spacing w:line="240" w:lineRule="auto"/>
        <w:ind w:firstLine="398" w:firstLineChars="196"/>
        <w:rPr>
          <w:rFonts w:hint="eastAsia" w:ascii="宋体" w:hAnsi="宋体" w:cs="宋体"/>
          <w:color w:val="auto"/>
          <w:sz w:val="21"/>
          <w:szCs w:val="21"/>
        </w:rPr>
      </w:pPr>
      <w:r>
        <w:rPr>
          <w:rFonts w:hint="eastAsia" w:ascii="宋体" w:hAnsi="宋体" w:cs="宋体"/>
          <w:color w:val="auto"/>
          <w:sz w:val="21"/>
          <w:szCs w:val="21"/>
        </w:rPr>
        <w:t>当权重最大的前30%项小于15项时，从所有的分部分项工程项目清单项目中随机抽取20项。</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cs="宋体"/>
          <w:color w:val="auto"/>
          <w:sz w:val="21"/>
          <w:szCs w:val="21"/>
        </w:rPr>
      </w:pPr>
      <w:r>
        <w:rPr>
          <w:rFonts w:hint="eastAsia" w:ascii="宋体" w:hAnsi="宋体" w:cs="宋体"/>
          <w:color w:val="auto"/>
          <w:kern w:val="0"/>
          <w:sz w:val="21"/>
          <w:szCs w:val="21"/>
        </w:rPr>
        <w:fldChar w:fldCharType="begin"/>
      </w:r>
      <w:r>
        <w:rPr>
          <w:rFonts w:hint="eastAsia" w:ascii="宋体" w:hAnsi="宋体" w:cs="宋体"/>
          <w:color w:val="auto"/>
          <w:kern w:val="0"/>
          <w:sz w:val="21"/>
          <w:szCs w:val="21"/>
        </w:rPr>
        <w:instrText xml:space="preserve"> = 2 \* GB2 </w:instrText>
      </w:r>
      <w:r>
        <w:rPr>
          <w:rFonts w:hint="eastAsia" w:ascii="宋体" w:hAnsi="宋体" w:cs="宋体"/>
          <w:color w:val="auto"/>
          <w:kern w:val="0"/>
          <w:sz w:val="21"/>
          <w:szCs w:val="21"/>
        </w:rPr>
        <w:fldChar w:fldCharType="separate"/>
      </w:r>
      <w:r>
        <w:rPr>
          <w:rFonts w:hint="eastAsia" w:ascii="宋体" w:hAnsi="宋体" w:cs="宋体"/>
          <w:color w:val="auto"/>
          <w:kern w:val="0"/>
          <w:sz w:val="21"/>
          <w:szCs w:val="21"/>
        </w:rPr>
        <w:t>⑵</w:t>
      </w:r>
      <w:r>
        <w:rPr>
          <w:rFonts w:hint="eastAsia" w:ascii="宋体" w:hAnsi="宋体" w:cs="宋体"/>
          <w:color w:val="auto"/>
          <w:kern w:val="0"/>
          <w:sz w:val="21"/>
          <w:szCs w:val="21"/>
        </w:rPr>
        <w:fldChar w:fldCharType="end"/>
      </w:r>
      <w:r>
        <w:rPr>
          <w:rFonts w:hint="eastAsia" w:ascii="宋体" w:hAnsi="宋体" w:cs="宋体"/>
          <w:color w:val="auto"/>
          <w:sz w:val="21"/>
          <w:szCs w:val="21"/>
        </w:rPr>
        <w:t>综合单价基准值是以各有效投标报价中（</w:t>
      </w:r>
      <w:r>
        <w:rPr>
          <w:rFonts w:hint="eastAsia" w:ascii="宋体" w:hAnsi="宋体" w:cs="宋体"/>
          <w:color w:val="auto"/>
          <w:kern w:val="0"/>
          <w:sz w:val="21"/>
          <w:szCs w:val="21"/>
        </w:rPr>
        <w:t>当有效投标人5家及以上时，各投标人有效投标报价对应抽取清单项目综合单价按大小排列去掉排名靠前20%和靠后20%</w:t>
      </w:r>
      <w:r>
        <w:rPr>
          <w:rFonts w:hint="eastAsia" w:ascii="宋体" w:hAnsi="宋体" w:cs="宋体"/>
          <w:color w:val="auto"/>
          <w:sz w:val="21"/>
          <w:szCs w:val="21"/>
        </w:rPr>
        <w:t>）对应抽取清单项目综合单价的算术平均值。</w:t>
      </w:r>
    </w:p>
    <w:p>
      <w:pPr>
        <w:pageBreakBefore w:val="0"/>
        <w:kinsoku/>
        <w:wordWrap/>
        <w:overflowPunct/>
        <w:topLinePunct w:val="0"/>
        <w:autoSpaceDE/>
        <w:autoSpaceDN/>
        <w:bidi w:val="0"/>
        <w:adjustRightInd/>
        <w:snapToGrid/>
        <w:spacing w:line="240" w:lineRule="auto"/>
        <w:ind w:firstLine="398" w:firstLineChars="196"/>
        <w:rPr>
          <w:rFonts w:hint="eastAsia" w:ascii="宋体" w:hAnsi="宋体" w:cs="宋体"/>
          <w:color w:val="auto"/>
          <w:kern w:val="0"/>
          <w:sz w:val="21"/>
          <w:szCs w:val="21"/>
        </w:rPr>
      </w:pPr>
      <w:r>
        <w:rPr>
          <w:rFonts w:hint="eastAsia" w:ascii="宋体" w:hAnsi="宋体" w:cs="宋体"/>
          <w:color w:val="auto"/>
          <w:kern w:val="0"/>
          <w:sz w:val="21"/>
          <w:szCs w:val="21"/>
        </w:rPr>
        <w:fldChar w:fldCharType="begin"/>
      </w:r>
      <w:r>
        <w:rPr>
          <w:rFonts w:hint="eastAsia" w:ascii="宋体" w:hAnsi="宋体" w:cs="宋体"/>
          <w:color w:val="auto"/>
          <w:kern w:val="0"/>
          <w:sz w:val="21"/>
          <w:szCs w:val="21"/>
        </w:rPr>
        <w:instrText xml:space="preserve"> = 3 \* GB2 </w:instrText>
      </w:r>
      <w:r>
        <w:rPr>
          <w:rFonts w:hint="eastAsia" w:ascii="宋体" w:hAnsi="宋体" w:cs="宋体"/>
          <w:color w:val="auto"/>
          <w:kern w:val="0"/>
          <w:sz w:val="21"/>
          <w:szCs w:val="21"/>
        </w:rPr>
        <w:fldChar w:fldCharType="separate"/>
      </w:r>
      <w:r>
        <w:rPr>
          <w:rFonts w:hint="eastAsia" w:ascii="宋体" w:hAnsi="宋体" w:cs="宋体"/>
          <w:color w:val="auto"/>
          <w:kern w:val="0"/>
          <w:sz w:val="21"/>
          <w:szCs w:val="21"/>
        </w:rPr>
        <w:t>⑶</w:t>
      </w:r>
      <w:r>
        <w:rPr>
          <w:rFonts w:hint="eastAsia" w:ascii="宋体" w:hAnsi="宋体" w:cs="宋体"/>
          <w:color w:val="auto"/>
          <w:kern w:val="0"/>
          <w:sz w:val="21"/>
          <w:szCs w:val="21"/>
        </w:rPr>
        <w:fldChar w:fldCharType="end"/>
      </w:r>
      <w:r>
        <w:rPr>
          <w:rFonts w:hint="eastAsia" w:ascii="宋体" w:hAnsi="宋体" w:cs="宋体"/>
          <w:color w:val="auto"/>
          <w:kern w:val="0"/>
          <w:sz w:val="21"/>
          <w:szCs w:val="21"/>
        </w:rPr>
        <w:t xml:space="preserve"> 投标人报价在综合单价基准值95%—103%范围内（不含95%和103%）每项得0.5分；在综合单价基准值90%—95%范围内（含90%和95%）每项得0.25分。满分共计10分。超出该范围的不得分。</w:t>
      </w:r>
    </w:p>
    <w:p>
      <w:pPr>
        <w:pageBreakBefore w:val="0"/>
        <w:kinsoku/>
        <w:wordWrap/>
        <w:overflowPunct/>
        <w:topLinePunct w:val="0"/>
        <w:autoSpaceDE/>
        <w:autoSpaceDN/>
        <w:bidi w:val="0"/>
        <w:adjustRightInd/>
        <w:snapToGrid/>
        <w:spacing w:line="240" w:lineRule="auto"/>
        <w:ind w:firstLine="406" w:firstLineChars="200"/>
        <w:textAlignment w:val="baseline"/>
        <w:rPr>
          <w:rFonts w:hint="eastAsia" w:ascii="宋体" w:hAnsi="宋体" w:cs="宋体"/>
          <w:b/>
          <w:color w:val="auto"/>
          <w:kern w:val="0"/>
          <w:sz w:val="21"/>
          <w:szCs w:val="21"/>
        </w:rPr>
      </w:pPr>
      <w:r>
        <w:rPr>
          <w:rFonts w:hint="eastAsia" w:ascii="宋体" w:hAnsi="宋体" w:cs="宋体"/>
          <w:b/>
          <w:color w:val="auto"/>
          <w:kern w:val="0"/>
          <w:sz w:val="21"/>
          <w:szCs w:val="21"/>
        </w:rPr>
        <w:t>3、措施项目费的评审（不含安全文明措施费）：5分</w:t>
      </w:r>
    </w:p>
    <w:p>
      <w:pPr>
        <w:pageBreakBefore w:val="0"/>
        <w:kinsoku/>
        <w:wordWrap/>
        <w:overflowPunct/>
        <w:topLinePunct w:val="0"/>
        <w:autoSpaceDE/>
        <w:autoSpaceDN/>
        <w:bidi w:val="0"/>
        <w:adjustRightInd/>
        <w:snapToGrid/>
        <w:spacing w:line="240" w:lineRule="auto"/>
        <w:ind w:firstLine="406" w:firstLineChars="200"/>
        <w:textAlignment w:val="baseline"/>
        <w:rPr>
          <w:rFonts w:hint="eastAsia" w:ascii="宋体" w:hAnsi="宋体" w:cs="宋体"/>
          <w:color w:val="auto"/>
          <w:kern w:val="0"/>
          <w:sz w:val="21"/>
          <w:szCs w:val="21"/>
        </w:rPr>
      </w:pPr>
      <w:r>
        <w:rPr>
          <w:rFonts w:hint="eastAsia" w:ascii="宋体" w:hAnsi="宋体" w:cs="宋体"/>
          <w:color w:val="auto"/>
          <w:kern w:val="0"/>
          <w:sz w:val="21"/>
          <w:szCs w:val="21"/>
        </w:rPr>
        <w:t>措施项目费基准值是在最高投标限价中措施项目费用80%-110%范围之间（超出范围的不得分）的有效投标人所报措施项目费的算术平均值。投标所报措施费与措施项目基准值相等得基本分3分。当投标报价低于措施项目基准值时，每低1%在基本分3分的基础上加0.1分，最多加至5分为止；当低于措施项目基准值20%（不含）时，每再低于1%时，在满分5分的基础上扣0.4分，扣完为止；当高于措施项目基准值时，每高于1%时，在基本分3分的基础上扣0.2分，扣完为止。</w:t>
      </w:r>
    </w:p>
    <w:p>
      <w:pPr>
        <w:pageBreakBefore w:val="0"/>
        <w:kinsoku/>
        <w:wordWrap/>
        <w:overflowPunct/>
        <w:topLinePunct w:val="0"/>
        <w:autoSpaceDE/>
        <w:autoSpaceDN/>
        <w:bidi w:val="0"/>
        <w:adjustRightInd/>
        <w:snapToGrid/>
        <w:spacing w:line="240" w:lineRule="auto"/>
        <w:ind w:firstLine="406" w:firstLineChars="200"/>
        <w:textAlignment w:val="baseline"/>
        <w:rPr>
          <w:rFonts w:hint="eastAsia" w:ascii="宋体" w:hAnsi="宋体" w:cs="宋体"/>
          <w:b/>
          <w:color w:val="auto"/>
          <w:kern w:val="0"/>
          <w:sz w:val="21"/>
          <w:szCs w:val="21"/>
        </w:rPr>
      </w:pPr>
      <w:r>
        <w:rPr>
          <w:rFonts w:hint="eastAsia" w:ascii="宋体" w:hAnsi="宋体" w:cs="宋体"/>
          <w:b/>
          <w:color w:val="auto"/>
          <w:kern w:val="0"/>
          <w:sz w:val="21"/>
          <w:szCs w:val="21"/>
        </w:rPr>
        <w:t>4、主要材料单价的评审：5分</w:t>
      </w:r>
    </w:p>
    <w:p>
      <w:pPr>
        <w:pageBreakBefore w:val="0"/>
        <w:kinsoku/>
        <w:wordWrap/>
        <w:overflowPunct/>
        <w:topLinePunct w:val="0"/>
        <w:autoSpaceDE/>
        <w:autoSpaceDN/>
        <w:bidi w:val="0"/>
        <w:adjustRightInd/>
        <w:snapToGrid/>
        <w:spacing w:line="240" w:lineRule="auto"/>
        <w:ind w:firstLine="398" w:firstLineChars="196"/>
        <w:rPr>
          <w:rFonts w:hint="eastAsia" w:ascii="宋体" w:hAnsi="宋体" w:cs="宋体"/>
          <w:color w:val="auto"/>
          <w:sz w:val="21"/>
          <w:szCs w:val="21"/>
        </w:rPr>
      </w:pPr>
      <w:r>
        <w:rPr>
          <w:rFonts w:hint="eastAsia" w:ascii="宋体" w:hAnsi="宋体" w:cs="宋体"/>
          <w:color w:val="auto"/>
          <w:kern w:val="0"/>
          <w:sz w:val="21"/>
          <w:szCs w:val="21"/>
        </w:rPr>
        <w:fldChar w:fldCharType="begin"/>
      </w:r>
      <w:r>
        <w:rPr>
          <w:rFonts w:hint="eastAsia" w:ascii="宋体" w:hAnsi="宋体" w:cs="宋体"/>
          <w:color w:val="auto"/>
          <w:kern w:val="0"/>
          <w:sz w:val="21"/>
          <w:szCs w:val="21"/>
        </w:rPr>
        <w:instrText xml:space="preserve"> = 1 \* GB2 </w:instrText>
      </w:r>
      <w:r>
        <w:rPr>
          <w:rFonts w:hint="eastAsia" w:ascii="宋体" w:hAnsi="宋体" w:cs="宋体"/>
          <w:color w:val="auto"/>
          <w:kern w:val="0"/>
          <w:sz w:val="21"/>
          <w:szCs w:val="21"/>
        </w:rPr>
        <w:fldChar w:fldCharType="separate"/>
      </w:r>
      <w:r>
        <w:rPr>
          <w:rFonts w:hint="eastAsia" w:ascii="宋体" w:hAnsi="宋体" w:cs="宋体"/>
          <w:color w:val="auto"/>
          <w:kern w:val="0"/>
          <w:sz w:val="21"/>
          <w:szCs w:val="21"/>
        </w:rPr>
        <w:t>⑴</w:t>
      </w:r>
      <w:r>
        <w:rPr>
          <w:rFonts w:hint="eastAsia" w:ascii="宋体" w:hAnsi="宋体" w:cs="宋体"/>
          <w:color w:val="auto"/>
          <w:kern w:val="0"/>
          <w:sz w:val="21"/>
          <w:szCs w:val="21"/>
        </w:rPr>
        <w:fldChar w:fldCharType="end"/>
      </w:r>
      <w:r>
        <w:rPr>
          <w:rFonts w:hint="eastAsia" w:ascii="宋体" w:hAnsi="宋体" w:cs="宋体"/>
          <w:color w:val="auto"/>
          <w:sz w:val="21"/>
          <w:szCs w:val="21"/>
        </w:rPr>
        <w:t>当材料总数大于20项时，</w:t>
      </w:r>
      <w:r>
        <w:rPr>
          <w:rFonts w:hint="eastAsia" w:ascii="宋体" w:hAnsi="宋体" w:cs="宋体"/>
          <w:color w:val="auto"/>
          <w:kern w:val="0"/>
          <w:sz w:val="21"/>
          <w:szCs w:val="21"/>
        </w:rPr>
        <w:t>从最高投标限价中材料费用合价占总价权重最大的前20项材料中随机抽取6项，在剩余所有材料中随机抽取4项。若</w:t>
      </w:r>
      <w:r>
        <w:rPr>
          <w:rFonts w:hint="eastAsia" w:ascii="宋体" w:hAnsi="宋体" w:cs="宋体"/>
          <w:color w:val="auto"/>
          <w:sz w:val="21"/>
          <w:szCs w:val="21"/>
        </w:rPr>
        <w:t>最高投标限价材料费中不能抽项时，则按招标人公布的主要材料价格表中的材料，以“最接近评标基准价的负标价”的投标人的报价材料费用合价占总价权重抽项。</w:t>
      </w:r>
    </w:p>
    <w:p>
      <w:pPr>
        <w:pageBreakBefore w:val="0"/>
        <w:kinsoku/>
        <w:wordWrap/>
        <w:overflowPunct/>
        <w:topLinePunct w:val="0"/>
        <w:autoSpaceDE/>
        <w:autoSpaceDN/>
        <w:bidi w:val="0"/>
        <w:adjustRightInd/>
        <w:snapToGrid/>
        <w:spacing w:line="240" w:lineRule="auto"/>
        <w:ind w:firstLine="398" w:firstLineChars="196"/>
        <w:rPr>
          <w:rFonts w:hint="eastAsia" w:ascii="宋体" w:hAnsi="宋体" w:cs="宋体"/>
          <w:color w:val="auto"/>
          <w:sz w:val="21"/>
          <w:szCs w:val="21"/>
        </w:rPr>
      </w:pPr>
      <w:r>
        <w:rPr>
          <w:rFonts w:hint="eastAsia" w:ascii="宋体" w:hAnsi="宋体" w:cs="宋体"/>
          <w:color w:val="auto"/>
          <w:sz w:val="21"/>
          <w:szCs w:val="21"/>
        </w:rPr>
        <w:t>当材料总数小于等于20项、大于10项时，则从最高投标限价中随机抽取10项。</w:t>
      </w:r>
    </w:p>
    <w:p>
      <w:pPr>
        <w:pageBreakBefore w:val="0"/>
        <w:kinsoku/>
        <w:wordWrap/>
        <w:overflowPunct/>
        <w:topLinePunct w:val="0"/>
        <w:autoSpaceDE/>
        <w:autoSpaceDN/>
        <w:bidi w:val="0"/>
        <w:adjustRightInd/>
        <w:snapToGrid/>
        <w:spacing w:line="240" w:lineRule="auto"/>
        <w:ind w:firstLine="398" w:firstLineChars="196"/>
        <w:rPr>
          <w:rFonts w:hint="eastAsia" w:ascii="宋体" w:hAnsi="宋体" w:cs="宋体"/>
          <w:color w:val="auto"/>
          <w:kern w:val="0"/>
          <w:sz w:val="21"/>
          <w:szCs w:val="21"/>
        </w:rPr>
      </w:pPr>
      <w:r>
        <w:rPr>
          <w:rFonts w:hint="eastAsia" w:ascii="宋体" w:hAnsi="宋体" w:cs="宋体"/>
          <w:color w:val="auto"/>
          <w:sz w:val="21"/>
          <w:szCs w:val="21"/>
        </w:rPr>
        <w:fldChar w:fldCharType="begin"/>
      </w:r>
      <w:r>
        <w:rPr>
          <w:rFonts w:hint="eastAsia" w:ascii="宋体" w:hAnsi="宋体" w:cs="宋体"/>
          <w:color w:val="auto"/>
          <w:sz w:val="21"/>
          <w:szCs w:val="21"/>
        </w:rPr>
        <w:instrText xml:space="preserve"> = 2 \* GB2 </w:instrText>
      </w:r>
      <w:r>
        <w:rPr>
          <w:rFonts w:hint="eastAsia" w:ascii="宋体" w:hAnsi="宋体" w:cs="宋体"/>
          <w:color w:val="auto"/>
          <w:sz w:val="21"/>
          <w:szCs w:val="21"/>
        </w:rPr>
        <w:fldChar w:fldCharType="separate"/>
      </w:r>
      <w:r>
        <w:rPr>
          <w:rFonts w:hint="eastAsia" w:ascii="宋体" w:hAnsi="宋体" w:cs="宋体"/>
          <w:color w:val="auto"/>
          <w:sz w:val="21"/>
          <w:szCs w:val="21"/>
        </w:rPr>
        <w:t>⑵</w:t>
      </w:r>
      <w:r>
        <w:rPr>
          <w:rFonts w:hint="eastAsia" w:ascii="宋体" w:hAnsi="宋体" w:cs="宋体"/>
          <w:color w:val="auto"/>
          <w:sz w:val="21"/>
          <w:szCs w:val="21"/>
        </w:rPr>
        <w:fldChar w:fldCharType="end"/>
      </w:r>
      <w:r>
        <w:rPr>
          <w:rFonts w:hint="eastAsia" w:ascii="宋体" w:hAnsi="宋体" w:cs="宋体"/>
          <w:color w:val="auto"/>
          <w:sz w:val="21"/>
          <w:szCs w:val="21"/>
        </w:rPr>
        <w:t xml:space="preserve"> 主要材料单价基准值是以招标人公布的材料单价85%-105%范围内（含85%和105%）的各有效投标报价中（当有效投标5 家及以上时，各投标人有效投标报价中对应抽取材料单价按大小排列去掉排名靠前的20%和靠后</w:t>
      </w:r>
      <w:r>
        <w:rPr>
          <w:rFonts w:hint="eastAsia" w:ascii="宋体" w:hAnsi="宋体" w:cs="宋体"/>
          <w:color w:val="auto"/>
          <w:kern w:val="0"/>
          <w:sz w:val="21"/>
          <w:szCs w:val="21"/>
        </w:rPr>
        <w:t>的20%）对应抽取材料单价的算术平均值。</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cs="宋体"/>
          <w:color w:val="auto"/>
          <w:kern w:val="0"/>
          <w:sz w:val="21"/>
          <w:szCs w:val="21"/>
        </w:rPr>
      </w:pPr>
      <w:r>
        <w:rPr>
          <w:rFonts w:hint="eastAsia" w:ascii="宋体" w:hAnsi="宋体" w:cs="宋体"/>
          <w:color w:val="auto"/>
          <w:kern w:val="0"/>
          <w:sz w:val="21"/>
          <w:szCs w:val="21"/>
        </w:rPr>
        <w:fldChar w:fldCharType="begin"/>
      </w:r>
      <w:r>
        <w:rPr>
          <w:rFonts w:hint="eastAsia" w:ascii="宋体" w:hAnsi="宋体" w:cs="宋体"/>
          <w:color w:val="auto"/>
          <w:kern w:val="0"/>
          <w:sz w:val="21"/>
          <w:szCs w:val="21"/>
        </w:rPr>
        <w:instrText xml:space="preserve"> = 3 \* GB2 </w:instrText>
      </w:r>
      <w:r>
        <w:rPr>
          <w:rFonts w:hint="eastAsia" w:ascii="宋体" w:hAnsi="宋体" w:cs="宋体"/>
          <w:color w:val="auto"/>
          <w:kern w:val="0"/>
          <w:sz w:val="21"/>
          <w:szCs w:val="21"/>
        </w:rPr>
        <w:fldChar w:fldCharType="separate"/>
      </w:r>
      <w:r>
        <w:rPr>
          <w:rFonts w:hint="eastAsia" w:ascii="宋体" w:hAnsi="宋体" w:cs="宋体"/>
          <w:color w:val="auto"/>
          <w:kern w:val="0"/>
          <w:sz w:val="21"/>
          <w:szCs w:val="21"/>
        </w:rPr>
        <w:t>⑶</w:t>
      </w:r>
      <w:r>
        <w:rPr>
          <w:rFonts w:hint="eastAsia" w:ascii="宋体" w:hAnsi="宋体" w:cs="宋体"/>
          <w:color w:val="auto"/>
          <w:kern w:val="0"/>
          <w:sz w:val="21"/>
          <w:szCs w:val="21"/>
        </w:rPr>
        <w:fldChar w:fldCharType="end"/>
      </w:r>
      <w:r>
        <w:rPr>
          <w:rFonts w:hint="eastAsia" w:ascii="宋体" w:hAnsi="宋体" w:cs="宋体"/>
          <w:color w:val="auto"/>
          <w:kern w:val="0"/>
          <w:sz w:val="21"/>
          <w:szCs w:val="21"/>
        </w:rPr>
        <w:t xml:space="preserve"> 当投标人报价在材料单价基准值95%—103%范围内（不含95%和103%）每项得0.5分，在材料单价基准值90%—95%范围内（含90%和95%）每项得0.25分。超出该范围的不得分。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b/>
          <w:color w:val="auto"/>
          <w:kern w:val="0"/>
          <w:sz w:val="21"/>
          <w:szCs w:val="21"/>
          <w:lang w:eastAsia="zh-CN"/>
        </w:rPr>
      </w:pPr>
      <w:r>
        <w:rPr>
          <w:rFonts w:hint="eastAsia" w:ascii="宋体" w:hAnsi="宋体" w:cs="宋体"/>
          <w:color w:val="auto"/>
          <w:kern w:val="0"/>
          <w:sz w:val="21"/>
          <w:szCs w:val="21"/>
        </w:rPr>
        <w:t>针对上述2、4款项中部分分部分项工程项目数量较少、施工工艺简单、主材种类较少而不能满足最低抽项要求的，应将所有分部分项工程项目或主要材料项目纳入评审范围。每项得分等于</w:t>
      </w:r>
      <w:r>
        <w:rPr>
          <w:rFonts w:hint="eastAsia" w:ascii="宋体" w:hAnsi="宋体" w:cs="宋体"/>
          <w:color w:val="auto"/>
          <w:sz w:val="21"/>
          <w:szCs w:val="21"/>
        </w:rPr>
        <w:t>分部分项工程清单的评审分值或主要材料的评审分值除以抽项数量，作相应调整。当投标人报价在基准值95%—103%范围内（不含95%和103%）每项得分等于分部分项工程清单的评审分值或主要材料的评审分值/ m；当投标人报价在基准值90%—95%范围内（含90%和95%）每项得分等于分部分项工程清单的评审分值或主要材料的评审分值/2m。（m：抽项数量）</w:t>
      </w:r>
      <w:r>
        <w:rPr>
          <w:rFonts w:hint="eastAsia" w:ascii="宋体" w:hAnsi="宋体" w:cs="宋体"/>
          <w:color w:val="auto"/>
          <w:sz w:val="21"/>
          <w:szCs w:val="21"/>
          <w:lang w:eastAsia="zh-CN"/>
        </w:rPr>
        <w:t>。</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rPr>
      </w:pPr>
      <w:r>
        <w:rPr>
          <w:rFonts w:hint="eastAsia" w:ascii="宋体" w:hAnsi="宋体"/>
          <w:b/>
          <w:color w:val="auto"/>
          <w:kern w:val="0"/>
          <w:szCs w:val="21"/>
        </w:rPr>
        <w:t>三、综合标的主要内容及评标分值：</w:t>
      </w:r>
      <w:r>
        <w:rPr>
          <w:rFonts w:hint="eastAsia" w:ascii="宋体" w:hAnsi="宋体"/>
          <w:b/>
          <w:color w:val="auto"/>
          <w:kern w:val="0"/>
          <w:szCs w:val="21"/>
          <w:lang w:val="en-US" w:eastAsia="zh-CN"/>
        </w:rPr>
        <w:t>16.5</w:t>
      </w:r>
      <w:r>
        <w:rPr>
          <w:rFonts w:hint="eastAsia" w:ascii="宋体" w:hAnsi="宋体"/>
          <w:b/>
          <w:color w:val="auto"/>
          <w:kern w:val="0"/>
          <w:szCs w:val="21"/>
        </w:rPr>
        <w:t>分</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rPr>
      </w:pPr>
      <w:r>
        <w:rPr>
          <w:rFonts w:hint="eastAsia" w:ascii="宋体" w:hAnsi="宋体"/>
          <w:b/>
          <w:color w:val="auto"/>
          <w:kern w:val="0"/>
          <w:szCs w:val="21"/>
          <w:lang w:val="en-US" w:eastAsia="zh-CN"/>
        </w:rPr>
        <w:t>1、</w:t>
      </w:r>
      <w:r>
        <w:rPr>
          <w:rFonts w:hint="eastAsia" w:ascii="宋体" w:hAnsi="宋体"/>
          <w:b/>
          <w:color w:val="auto"/>
          <w:kern w:val="0"/>
          <w:szCs w:val="21"/>
        </w:rPr>
        <w:t>企业业绩：</w:t>
      </w:r>
      <w:r>
        <w:rPr>
          <w:rFonts w:hint="eastAsia" w:ascii="宋体" w:hAnsi="宋体"/>
          <w:b/>
          <w:color w:val="auto"/>
          <w:kern w:val="0"/>
          <w:szCs w:val="21"/>
          <w:lang w:val="en-US" w:eastAsia="zh-CN"/>
        </w:rPr>
        <w:t>6</w:t>
      </w:r>
      <w:r>
        <w:rPr>
          <w:rFonts w:hint="eastAsia" w:ascii="宋体" w:hAnsi="宋体"/>
          <w:b/>
          <w:color w:val="auto"/>
          <w:kern w:val="0"/>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b/>
          <w:color w:val="auto"/>
          <w:kern w:val="0"/>
          <w:szCs w:val="21"/>
        </w:rPr>
      </w:pPr>
      <w:r>
        <w:rPr>
          <w:rFonts w:hint="eastAsia" w:ascii="宋体" w:hAnsi="宋体"/>
          <w:color w:val="auto"/>
          <w:kern w:val="0"/>
          <w:szCs w:val="21"/>
        </w:rPr>
        <w:t>投标人2018年1月1日以来承接过单项合同额1000万元人民币（含）以上的同类工程施工业绩的，每有1项得</w:t>
      </w:r>
      <w:r>
        <w:rPr>
          <w:rFonts w:hint="eastAsia" w:ascii="宋体" w:hAnsi="宋体"/>
          <w:color w:val="auto"/>
          <w:kern w:val="0"/>
          <w:szCs w:val="21"/>
          <w:lang w:val="en-US" w:eastAsia="zh-CN"/>
        </w:rPr>
        <w:t>2</w:t>
      </w:r>
      <w:r>
        <w:rPr>
          <w:rFonts w:hint="eastAsia" w:ascii="宋体" w:hAnsi="宋体"/>
          <w:color w:val="auto"/>
          <w:kern w:val="0"/>
          <w:szCs w:val="21"/>
        </w:rPr>
        <w:t>分，最多得</w:t>
      </w:r>
      <w:r>
        <w:rPr>
          <w:rFonts w:hint="eastAsia" w:ascii="宋体" w:hAnsi="宋体"/>
          <w:color w:val="auto"/>
          <w:kern w:val="0"/>
          <w:szCs w:val="21"/>
          <w:lang w:val="en-US" w:eastAsia="zh-CN"/>
        </w:rPr>
        <w:t>6</w:t>
      </w:r>
      <w:r>
        <w:rPr>
          <w:rFonts w:hint="eastAsia" w:ascii="宋体" w:hAnsi="宋体"/>
          <w:color w:val="auto"/>
          <w:kern w:val="0"/>
          <w:szCs w:val="21"/>
        </w:rPr>
        <w:t>分，没有不得分。</w:t>
      </w:r>
      <w:r>
        <w:rPr>
          <w:rFonts w:hint="eastAsia" w:ascii="宋体" w:hAnsi="宋体"/>
          <w:b/>
          <w:color w:val="auto"/>
          <w:kern w:val="0"/>
          <w:szCs w:val="21"/>
        </w:rPr>
        <w:t>（须提供中标通知书</w:t>
      </w:r>
      <w:r>
        <w:rPr>
          <w:rFonts w:hint="eastAsia" w:ascii="宋体" w:hAnsi="宋体"/>
          <w:b/>
          <w:color w:val="auto"/>
          <w:kern w:val="0"/>
          <w:szCs w:val="21"/>
          <w:lang w:val="en-US" w:eastAsia="zh-CN"/>
        </w:rPr>
        <w:t>及</w:t>
      </w:r>
      <w:r>
        <w:rPr>
          <w:rFonts w:hint="eastAsia" w:ascii="宋体" w:hAnsi="宋体"/>
          <w:b/>
          <w:color w:val="auto"/>
          <w:kern w:val="0"/>
          <w:szCs w:val="21"/>
        </w:rPr>
        <w:t>施工合同，以合同签订时间为准，投标文件中须附以上证明资料的原件扫描件）</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rPr>
      </w:pPr>
      <w:r>
        <w:rPr>
          <w:rFonts w:hint="eastAsia" w:ascii="宋体" w:hAnsi="宋体"/>
          <w:b/>
          <w:color w:val="auto"/>
          <w:kern w:val="0"/>
          <w:szCs w:val="21"/>
          <w:lang w:val="en-US" w:eastAsia="zh-CN"/>
        </w:rPr>
        <w:t>2、</w:t>
      </w:r>
      <w:r>
        <w:rPr>
          <w:rFonts w:hint="eastAsia" w:ascii="宋体" w:hAnsi="宋体"/>
          <w:b/>
          <w:color w:val="auto"/>
          <w:kern w:val="0"/>
          <w:szCs w:val="21"/>
        </w:rPr>
        <w:t>优惠承诺（变更签证优惠率）：</w:t>
      </w:r>
      <w:r>
        <w:rPr>
          <w:rFonts w:hint="eastAsia" w:ascii="宋体" w:hAnsi="宋体"/>
          <w:b/>
          <w:color w:val="auto"/>
          <w:kern w:val="0"/>
          <w:szCs w:val="21"/>
          <w:lang w:val="en-US" w:eastAsia="zh-CN"/>
        </w:rPr>
        <w:t>2</w:t>
      </w:r>
      <w:r>
        <w:rPr>
          <w:rFonts w:hint="eastAsia" w:ascii="宋体" w:hAnsi="宋体"/>
          <w:b/>
          <w:color w:val="auto"/>
          <w:kern w:val="0"/>
          <w:szCs w:val="21"/>
        </w:rPr>
        <w:t>分</w:t>
      </w:r>
    </w:p>
    <w:p>
      <w:pPr>
        <w:pageBreakBefore w:val="0"/>
        <w:kinsoku/>
        <w:wordWrap/>
        <w:overflowPunct/>
        <w:topLinePunct w:val="0"/>
        <w:autoSpaceDE/>
        <w:autoSpaceDN/>
        <w:bidi w:val="0"/>
        <w:adjustRightInd/>
        <w:snapToGrid/>
        <w:spacing w:line="240" w:lineRule="auto"/>
        <w:ind w:firstLine="406" w:firstLineChars="200"/>
        <w:rPr>
          <w:rFonts w:ascii="宋体" w:hAnsi="宋体"/>
          <w:color w:val="auto"/>
          <w:kern w:val="0"/>
          <w:szCs w:val="21"/>
        </w:rPr>
      </w:pPr>
      <w:r>
        <w:rPr>
          <w:rFonts w:hint="eastAsia" w:ascii="宋体" w:hAnsi="宋体"/>
          <w:color w:val="auto"/>
          <w:kern w:val="0"/>
          <w:szCs w:val="21"/>
        </w:rPr>
        <w:t>①投标人所报变更签证优惠率高于或等于其本身投标报价优惠率及评标基准变更签证优惠率，得</w:t>
      </w:r>
      <w:r>
        <w:rPr>
          <w:rFonts w:hint="eastAsia" w:ascii="宋体" w:hAnsi="宋体"/>
          <w:color w:val="auto"/>
          <w:kern w:val="0"/>
          <w:szCs w:val="21"/>
          <w:lang w:val="en-US" w:eastAsia="zh-CN"/>
        </w:rPr>
        <w:t>2</w:t>
      </w:r>
      <w:r>
        <w:rPr>
          <w:rFonts w:hint="eastAsia" w:ascii="宋体" w:hAnsi="宋体"/>
          <w:color w:val="auto"/>
          <w:kern w:val="0"/>
          <w:szCs w:val="21"/>
        </w:rPr>
        <w:t>分。</w:t>
      </w:r>
    </w:p>
    <w:p>
      <w:pPr>
        <w:pageBreakBefore w:val="0"/>
        <w:kinsoku/>
        <w:wordWrap/>
        <w:overflowPunct/>
        <w:topLinePunct w:val="0"/>
        <w:autoSpaceDE/>
        <w:autoSpaceDN/>
        <w:bidi w:val="0"/>
        <w:adjustRightInd/>
        <w:snapToGrid/>
        <w:spacing w:line="240" w:lineRule="auto"/>
        <w:ind w:firstLine="406" w:firstLineChars="200"/>
        <w:rPr>
          <w:rFonts w:ascii="宋体" w:hAnsi="宋体"/>
          <w:color w:val="auto"/>
          <w:kern w:val="0"/>
          <w:szCs w:val="21"/>
        </w:rPr>
      </w:pPr>
      <w:r>
        <w:rPr>
          <w:rFonts w:hint="eastAsia" w:ascii="宋体" w:hAnsi="宋体"/>
          <w:color w:val="auto"/>
          <w:kern w:val="0"/>
          <w:szCs w:val="21"/>
        </w:rPr>
        <w:t>②投标人所报变更签证优惠率高于或等于其本身投标报价优惠率但低于评标基准变更签证优惠率，得</w:t>
      </w:r>
      <w:r>
        <w:rPr>
          <w:rFonts w:hint="eastAsia" w:ascii="宋体" w:hAnsi="宋体"/>
          <w:color w:val="auto"/>
          <w:kern w:val="0"/>
          <w:szCs w:val="21"/>
          <w:lang w:val="en-US" w:eastAsia="zh-CN"/>
        </w:rPr>
        <w:t>1</w:t>
      </w:r>
      <w:r>
        <w:rPr>
          <w:rFonts w:hint="eastAsia" w:ascii="宋体" w:hAnsi="宋体"/>
          <w:color w:val="auto"/>
          <w:kern w:val="0"/>
          <w:szCs w:val="21"/>
        </w:rPr>
        <w:t>分。</w:t>
      </w:r>
    </w:p>
    <w:p>
      <w:pPr>
        <w:pageBreakBefore w:val="0"/>
        <w:kinsoku/>
        <w:wordWrap/>
        <w:overflowPunct/>
        <w:topLinePunct w:val="0"/>
        <w:autoSpaceDE/>
        <w:autoSpaceDN/>
        <w:bidi w:val="0"/>
        <w:adjustRightInd/>
        <w:snapToGrid/>
        <w:spacing w:line="240" w:lineRule="auto"/>
        <w:ind w:firstLine="406" w:firstLineChars="200"/>
        <w:rPr>
          <w:rFonts w:ascii="宋体" w:hAnsi="宋体"/>
          <w:color w:val="auto"/>
          <w:kern w:val="0"/>
          <w:szCs w:val="21"/>
        </w:rPr>
      </w:pPr>
      <w:r>
        <w:rPr>
          <w:rFonts w:hint="eastAsia" w:ascii="宋体" w:hAnsi="宋体"/>
          <w:color w:val="auto"/>
          <w:kern w:val="0"/>
          <w:szCs w:val="21"/>
        </w:rPr>
        <w:t>③投标报价优惠率=（最高投标限价-投标报价）/最高投标限价*100%。</w:t>
      </w:r>
    </w:p>
    <w:p>
      <w:pPr>
        <w:pageBreakBefore w:val="0"/>
        <w:kinsoku/>
        <w:wordWrap/>
        <w:overflowPunct/>
        <w:topLinePunct w:val="0"/>
        <w:autoSpaceDE/>
        <w:autoSpaceDN/>
        <w:bidi w:val="0"/>
        <w:adjustRightInd/>
        <w:snapToGrid/>
        <w:spacing w:line="240" w:lineRule="auto"/>
        <w:ind w:firstLine="406" w:firstLineChars="200"/>
        <w:rPr>
          <w:rFonts w:ascii="宋体" w:hAnsi="宋体"/>
          <w:color w:val="auto"/>
          <w:kern w:val="0"/>
          <w:szCs w:val="21"/>
        </w:rPr>
      </w:pPr>
      <w:r>
        <w:rPr>
          <w:rFonts w:hint="eastAsia" w:ascii="宋体" w:hAnsi="宋体"/>
          <w:color w:val="auto"/>
          <w:kern w:val="0"/>
          <w:szCs w:val="21"/>
        </w:rPr>
        <w:t>④评标基准变更签证优惠率为所有有效投标人的变更签证优惠率的（当有效投标人5家及以上时，按大小排列分别去掉排名靠前的20%和靠后20%）的算术平均值，不为整数时按四舍五入取整。</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rPr>
      </w:pPr>
      <w:r>
        <w:rPr>
          <w:rFonts w:hint="eastAsia" w:ascii="宋体" w:hAnsi="宋体"/>
          <w:b/>
          <w:color w:val="auto"/>
          <w:kern w:val="0"/>
          <w:szCs w:val="21"/>
          <w:lang w:val="en-US" w:eastAsia="zh-CN"/>
        </w:rPr>
        <w:t>3、</w:t>
      </w:r>
      <w:r>
        <w:rPr>
          <w:rFonts w:hint="eastAsia" w:ascii="宋体" w:hAnsi="宋体"/>
          <w:b/>
          <w:color w:val="auto"/>
          <w:kern w:val="0"/>
          <w:szCs w:val="21"/>
        </w:rPr>
        <w:t>企业荣誉：</w:t>
      </w:r>
      <w:r>
        <w:rPr>
          <w:rFonts w:hint="eastAsia" w:ascii="宋体" w:hAnsi="宋体"/>
          <w:b/>
          <w:color w:val="auto"/>
          <w:kern w:val="0"/>
          <w:szCs w:val="21"/>
          <w:lang w:val="en-US" w:eastAsia="zh-CN"/>
        </w:rPr>
        <w:t>2</w:t>
      </w:r>
      <w:r>
        <w:rPr>
          <w:rFonts w:hint="eastAsia" w:ascii="宋体" w:hAnsi="宋体"/>
          <w:b/>
          <w:color w:val="auto"/>
          <w:kern w:val="0"/>
          <w:szCs w:val="21"/>
        </w:rPr>
        <w:t>分</w:t>
      </w:r>
    </w:p>
    <w:p>
      <w:pPr>
        <w:pageBreakBefore w:val="0"/>
        <w:kinsoku/>
        <w:wordWrap/>
        <w:overflowPunct/>
        <w:topLinePunct w:val="0"/>
        <w:autoSpaceDE/>
        <w:autoSpaceDN/>
        <w:bidi w:val="0"/>
        <w:adjustRightInd/>
        <w:snapToGrid/>
        <w:spacing w:line="240" w:lineRule="auto"/>
        <w:ind w:firstLine="406" w:firstLineChars="200"/>
        <w:rPr>
          <w:rFonts w:ascii="宋体" w:hAnsi="宋体"/>
          <w:color w:val="auto"/>
          <w:kern w:val="0"/>
          <w:szCs w:val="21"/>
        </w:rPr>
      </w:pPr>
      <w:r>
        <w:rPr>
          <w:rFonts w:hint="eastAsia" w:ascii="宋体" w:hAnsi="宋体"/>
          <w:color w:val="auto"/>
          <w:kern w:val="0"/>
          <w:szCs w:val="21"/>
        </w:rPr>
        <w:t>近三年（投标截止日前三年内）投标企业获得省级及以上工程质量奖、科技创新、安全文明工地、一般性通报表彰之一的得</w:t>
      </w:r>
      <w:r>
        <w:rPr>
          <w:rFonts w:hint="eastAsia" w:ascii="宋体" w:hAnsi="宋体"/>
          <w:color w:val="auto"/>
          <w:kern w:val="0"/>
          <w:szCs w:val="21"/>
          <w:lang w:val="en-US" w:eastAsia="zh-CN"/>
        </w:rPr>
        <w:t>2</w:t>
      </w:r>
      <w:r>
        <w:rPr>
          <w:rFonts w:hint="eastAsia" w:ascii="宋体" w:hAnsi="宋体"/>
          <w:color w:val="auto"/>
          <w:kern w:val="0"/>
          <w:szCs w:val="21"/>
        </w:rPr>
        <w:t>分；获得地市级工程质量奖、安全文明工地、一般性通报表彰之一的得</w:t>
      </w:r>
      <w:r>
        <w:rPr>
          <w:rFonts w:hint="eastAsia" w:ascii="宋体" w:hAnsi="宋体"/>
          <w:color w:val="auto"/>
          <w:kern w:val="0"/>
          <w:szCs w:val="21"/>
          <w:lang w:val="en-US" w:eastAsia="zh-CN"/>
        </w:rPr>
        <w:t>1</w:t>
      </w:r>
      <w:r>
        <w:rPr>
          <w:rFonts w:hint="eastAsia" w:ascii="宋体" w:hAnsi="宋体"/>
          <w:color w:val="auto"/>
          <w:kern w:val="0"/>
          <w:szCs w:val="21"/>
        </w:rPr>
        <w:t>分。</w:t>
      </w:r>
      <w:r>
        <w:rPr>
          <w:rFonts w:hint="eastAsia" w:ascii="宋体" w:hAnsi="宋体"/>
          <w:b/>
          <w:color w:val="auto"/>
          <w:kern w:val="0"/>
          <w:szCs w:val="21"/>
        </w:rPr>
        <w:t>（投标文件中须附</w:t>
      </w:r>
      <w:r>
        <w:rPr>
          <w:rFonts w:hint="eastAsia" w:ascii="宋体" w:hAnsi="宋体"/>
          <w:b/>
          <w:color w:val="auto"/>
          <w:kern w:val="0"/>
          <w:szCs w:val="21"/>
          <w:lang w:val="en-US" w:eastAsia="zh-CN"/>
        </w:rPr>
        <w:t>获奖证书</w:t>
      </w:r>
      <w:r>
        <w:rPr>
          <w:rFonts w:hint="eastAsia" w:ascii="宋体" w:hAnsi="宋体"/>
          <w:b/>
          <w:color w:val="auto"/>
          <w:kern w:val="0"/>
          <w:szCs w:val="21"/>
        </w:rPr>
        <w:t>原件扫描件</w:t>
      </w:r>
      <w:r>
        <w:rPr>
          <w:rFonts w:hint="eastAsia" w:ascii="宋体" w:hAnsi="宋体"/>
          <w:b/>
          <w:color w:val="auto"/>
          <w:kern w:val="0"/>
          <w:szCs w:val="21"/>
          <w:lang w:eastAsia="zh-CN"/>
        </w:rPr>
        <w:t>，证书不累计，不重复计分，以最高证书加分为准</w:t>
      </w:r>
      <w:r>
        <w:rPr>
          <w:rFonts w:hint="eastAsia" w:ascii="宋体" w:hAnsi="宋体"/>
          <w:b/>
          <w:color w:val="auto"/>
          <w:kern w:val="0"/>
          <w:szCs w:val="21"/>
        </w:rPr>
        <w:t>）</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rPr>
      </w:pPr>
      <w:r>
        <w:rPr>
          <w:rFonts w:hint="eastAsia" w:ascii="宋体" w:hAnsi="宋体"/>
          <w:b/>
          <w:color w:val="auto"/>
          <w:kern w:val="0"/>
          <w:szCs w:val="21"/>
          <w:lang w:val="en-US" w:eastAsia="zh-CN"/>
        </w:rPr>
        <w:t>4、</w:t>
      </w:r>
      <w:r>
        <w:rPr>
          <w:rFonts w:hint="eastAsia" w:ascii="宋体" w:hAnsi="宋体"/>
          <w:b/>
          <w:color w:val="auto"/>
          <w:kern w:val="0"/>
          <w:szCs w:val="21"/>
        </w:rPr>
        <w:t>企业信用评价：</w:t>
      </w:r>
      <w:r>
        <w:rPr>
          <w:rFonts w:hint="eastAsia" w:ascii="宋体" w:hAnsi="宋体"/>
          <w:b/>
          <w:color w:val="auto"/>
          <w:kern w:val="0"/>
          <w:szCs w:val="21"/>
          <w:lang w:val="en-US" w:eastAsia="zh-CN"/>
        </w:rPr>
        <w:t>2</w:t>
      </w:r>
      <w:r>
        <w:rPr>
          <w:rFonts w:hint="eastAsia" w:ascii="宋体" w:hAnsi="宋体"/>
          <w:b/>
          <w:color w:val="auto"/>
          <w:kern w:val="0"/>
          <w:szCs w:val="21"/>
        </w:rPr>
        <w:t>分</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rPr>
      </w:pPr>
      <w:r>
        <w:rPr>
          <w:rFonts w:hint="eastAsia" w:ascii="宋体" w:hAnsi="宋体"/>
          <w:color w:val="auto"/>
          <w:kern w:val="0"/>
          <w:szCs w:val="21"/>
          <w:lang w:val="en-US" w:eastAsia="zh-CN"/>
        </w:rPr>
        <w:t>投标人信用等级为</w:t>
      </w:r>
      <w:r>
        <w:rPr>
          <w:rFonts w:hint="eastAsia" w:ascii="宋体" w:hAnsi="宋体"/>
          <w:color w:val="auto"/>
          <w:kern w:val="0"/>
          <w:szCs w:val="21"/>
        </w:rPr>
        <w:t>AAA</w:t>
      </w:r>
      <w:r>
        <w:rPr>
          <w:rFonts w:hint="eastAsia" w:ascii="宋体" w:hAnsi="宋体"/>
          <w:color w:val="auto"/>
          <w:kern w:val="0"/>
          <w:szCs w:val="21"/>
          <w:lang w:val="en-US" w:eastAsia="zh-CN"/>
        </w:rPr>
        <w:t>级的</w:t>
      </w:r>
      <w:r>
        <w:rPr>
          <w:rFonts w:hint="eastAsia" w:ascii="宋体" w:hAnsi="宋体"/>
          <w:color w:val="auto"/>
          <w:kern w:val="0"/>
          <w:szCs w:val="21"/>
        </w:rPr>
        <w:t>得</w:t>
      </w:r>
      <w:r>
        <w:rPr>
          <w:rFonts w:hint="eastAsia" w:ascii="宋体" w:hAnsi="宋体"/>
          <w:color w:val="auto"/>
          <w:kern w:val="0"/>
          <w:szCs w:val="21"/>
          <w:lang w:val="en-US" w:eastAsia="zh-CN"/>
        </w:rPr>
        <w:t>2</w:t>
      </w:r>
      <w:r>
        <w:rPr>
          <w:rFonts w:hint="eastAsia" w:ascii="宋体" w:hAnsi="宋体"/>
          <w:color w:val="auto"/>
          <w:kern w:val="0"/>
          <w:szCs w:val="21"/>
        </w:rPr>
        <w:t>分。</w:t>
      </w:r>
      <w:r>
        <w:rPr>
          <w:rFonts w:hint="eastAsia" w:ascii="宋体" w:hAnsi="宋体"/>
          <w:b/>
          <w:color w:val="auto"/>
          <w:kern w:val="0"/>
          <w:szCs w:val="21"/>
        </w:rPr>
        <w:t>（投标文件中须附</w:t>
      </w:r>
      <w:r>
        <w:rPr>
          <w:rFonts w:hint="eastAsia" w:ascii="宋体" w:hAnsi="宋体"/>
          <w:b/>
          <w:color w:val="auto"/>
          <w:kern w:val="0"/>
          <w:szCs w:val="21"/>
          <w:lang w:val="en-US" w:eastAsia="zh-CN"/>
        </w:rPr>
        <w:t>信用等级证书</w:t>
      </w:r>
      <w:r>
        <w:rPr>
          <w:rFonts w:hint="eastAsia" w:ascii="宋体" w:hAnsi="宋体"/>
          <w:b/>
          <w:color w:val="auto"/>
          <w:kern w:val="0"/>
          <w:szCs w:val="21"/>
        </w:rPr>
        <w:t>原件扫描件）</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b/>
          <w:color w:val="auto"/>
          <w:kern w:val="0"/>
          <w:szCs w:val="21"/>
          <w:lang w:val="en-US" w:eastAsia="zh-CN"/>
        </w:rPr>
      </w:pPr>
      <w:r>
        <w:rPr>
          <w:rFonts w:hint="eastAsia" w:ascii="宋体" w:hAnsi="宋体" w:eastAsia="宋体"/>
          <w:b/>
          <w:color w:val="auto"/>
          <w:kern w:val="0"/>
          <w:szCs w:val="21"/>
          <w:lang w:val="en-US" w:eastAsia="zh-CN"/>
        </w:rPr>
        <w:t>5、履职尽责承诺：3分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b w:val="0"/>
          <w:bCs/>
          <w:color w:val="auto"/>
          <w:kern w:val="0"/>
          <w:szCs w:val="21"/>
          <w:lang w:val="en-US" w:eastAsia="zh-CN"/>
        </w:rPr>
      </w:pPr>
      <w:r>
        <w:rPr>
          <w:rFonts w:hint="eastAsia" w:ascii="宋体" w:hAnsi="宋体"/>
          <w:b w:val="0"/>
          <w:bCs/>
          <w:color w:val="auto"/>
          <w:kern w:val="0"/>
          <w:szCs w:val="21"/>
          <w:lang w:val="en-US" w:eastAsia="zh-CN"/>
        </w:rPr>
        <w:t>质量缺陷责任期服务方案和承诺：投标单位应对缺陷责任期内的缺陷责任修复制定服务方案和承诺，方案需满足1小时内响应、2小时内到达现场、24小时内提出解决方案报业主审批、在业主要求的合理时间内修复质量缺陷的措施和方法。评标委员会根据服务方案和承诺是否切实可行、是否能满足项目需要、是否具备将承诺的内容落实到位的条件进行打分（0-3分）。</w:t>
      </w:r>
    </w:p>
    <w:p>
      <w:pPr>
        <w:pageBreakBefore w:val="0"/>
        <w:kinsoku/>
        <w:wordWrap/>
        <w:overflowPunct/>
        <w:topLinePunct w:val="0"/>
        <w:autoSpaceDE/>
        <w:autoSpaceDN/>
        <w:bidi w:val="0"/>
        <w:adjustRightInd/>
        <w:snapToGrid/>
        <w:spacing w:line="240" w:lineRule="auto"/>
        <w:ind w:firstLine="406" w:firstLineChars="200"/>
        <w:textAlignment w:val="baseline"/>
        <w:rPr>
          <w:rFonts w:hint="eastAsia" w:ascii="宋体" w:hAnsi="宋体" w:cs="宋体"/>
          <w:b/>
          <w:color w:val="auto"/>
          <w:kern w:val="0"/>
          <w:sz w:val="21"/>
          <w:szCs w:val="21"/>
        </w:rPr>
      </w:pPr>
      <w:r>
        <w:rPr>
          <w:rFonts w:hint="eastAsia" w:ascii="宋体" w:hAnsi="宋体" w:cs="宋体"/>
          <w:b/>
          <w:color w:val="auto"/>
          <w:kern w:val="0"/>
          <w:sz w:val="21"/>
          <w:szCs w:val="21"/>
          <w:lang w:val="en-US" w:eastAsia="zh-CN"/>
        </w:rPr>
        <w:t>6</w:t>
      </w:r>
      <w:r>
        <w:rPr>
          <w:rFonts w:hint="eastAsia" w:ascii="宋体" w:hAnsi="宋体" w:cs="宋体"/>
          <w:b/>
          <w:color w:val="auto"/>
          <w:kern w:val="0"/>
          <w:sz w:val="21"/>
          <w:szCs w:val="21"/>
        </w:rPr>
        <w:t>、中小企业扶持政策得分：</w:t>
      </w:r>
      <w:r>
        <w:rPr>
          <w:rFonts w:hint="eastAsia" w:ascii="宋体" w:hAnsi="宋体" w:cs="宋体"/>
          <w:b/>
          <w:color w:val="auto"/>
          <w:kern w:val="0"/>
          <w:sz w:val="21"/>
          <w:szCs w:val="21"/>
          <w:lang w:val="en-US" w:eastAsia="zh-CN"/>
        </w:rPr>
        <w:t>1.</w:t>
      </w:r>
      <w:r>
        <w:rPr>
          <w:rFonts w:hint="eastAsia" w:ascii="宋体" w:hAnsi="宋体" w:cs="宋体"/>
          <w:b/>
          <w:color w:val="auto"/>
          <w:kern w:val="0"/>
          <w:sz w:val="21"/>
          <w:szCs w:val="21"/>
        </w:rPr>
        <w:t>5分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b w:val="0"/>
          <w:bCs/>
          <w:color w:val="auto"/>
          <w:kern w:val="0"/>
          <w:szCs w:val="21"/>
        </w:rPr>
      </w:pPr>
      <w:r>
        <w:rPr>
          <w:rFonts w:hint="eastAsia" w:ascii="宋体" w:hAnsi="宋体" w:eastAsia="宋体" w:cs="宋体"/>
          <w:b w:val="0"/>
          <w:bCs w:val="0"/>
          <w:color w:val="auto"/>
          <w:sz w:val="21"/>
          <w:szCs w:val="21"/>
          <w:highlight w:val="none"/>
          <w:lang w:val="en-US" w:eastAsia="zh-CN"/>
        </w:rPr>
        <w:t>对符合规定的小微企业</w:t>
      </w:r>
      <w:r>
        <w:rPr>
          <w:rFonts w:hint="eastAsia" w:ascii="宋体" w:hAnsi="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lang w:val="en-US" w:eastAsia="zh-CN"/>
        </w:rPr>
        <w:t>在采用原报价进行评分的基础上增加其价格得分的3%作为其价格分</w:t>
      </w:r>
      <w:r>
        <w:rPr>
          <w:rFonts w:hint="eastAsia" w:ascii="宋体" w:hAnsi="宋体"/>
          <w:b w:val="0"/>
          <w:bCs/>
          <w:color w:val="auto"/>
          <w:kern w:val="0"/>
          <w:szCs w:val="21"/>
        </w:rPr>
        <w:t>；</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b w:val="0"/>
          <w:bCs/>
          <w:color w:val="auto"/>
          <w:kern w:val="0"/>
          <w:szCs w:val="21"/>
        </w:rPr>
      </w:pPr>
      <w:r>
        <w:rPr>
          <w:rFonts w:hint="eastAsia" w:ascii="宋体" w:hAnsi="宋体"/>
          <w:b w:val="0"/>
          <w:bCs/>
          <w:color w:val="auto"/>
          <w:kern w:val="0"/>
          <w:szCs w:val="21"/>
        </w:rPr>
        <w:t>计算公式：小微企业扶持政策得分=采用原报价评审得分</w:t>
      </w:r>
      <w:r>
        <w:rPr>
          <w:rFonts w:hint="eastAsia" w:ascii="宋体" w:hAnsi="宋体"/>
          <w:b w:val="0"/>
          <w:bCs/>
          <w:color w:val="auto"/>
          <w:kern w:val="0"/>
          <w:szCs w:val="21"/>
          <w:lang w:eastAsia="zh-CN"/>
        </w:rPr>
        <w:t>（</w:t>
      </w:r>
      <w:r>
        <w:rPr>
          <w:rFonts w:hint="eastAsia" w:ascii="宋体" w:hAnsi="宋体"/>
          <w:b w:val="0"/>
          <w:bCs/>
          <w:color w:val="auto"/>
          <w:kern w:val="0"/>
          <w:szCs w:val="21"/>
          <w:lang w:val="en-US" w:eastAsia="zh-CN"/>
        </w:rPr>
        <w:t>商务标得分</w:t>
      </w:r>
      <w:r>
        <w:rPr>
          <w:rFonts w:hint="eastAsia" w:ascii="宋体" w:hAnsi="宋体"/>
          <w:b w:val="0"/>
          <w:bCs/>
          <w:color w:val="auto"/>
          <w:kern w:val="0"/>
          <w:szCs w:val="21"/>
          <w:lang w:eastAsia="zh-CN"/>
        </w:rPr>
        <w:t>）</w:t>
      </w:r>
      <w:r>
        <w:rPr>
          <w:rFonts w:hint="eastAsia" w:ascii="宋体" w:hAnsi="宋体"/>
          <w:b w:val="0"/>
          <w:bCs/>
          <w:color w:val="auto"/>
          <w:kern w:val="0"/>
          <w:szCs w:val="21"/>
        </w:rPr>
        <w:t>×3%。</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rPr>
      </w:pPr>
      <w:r>
        <w:rPr>
          <w:rFonts w:hint="eastAsia" w:ascii="宋体" w:hAnsi="宋体"/>
          <w:b/>
          <w:color w:val="auto"/>
          <w:kern w:val="0"/>
          <w:szCs w:val="21"/>
        </w:rPr>
        <w:t>四、投标人综合得分的计算</w:t>
      </w:r>
    </w:p>
    <w:p>
      <w:pPr>
        <w:pageBreakBefore w:val="0"/>
        <w:kinsoku/>
        <w:wordWrap/>
        <w:overflowPunct/>
        <w:topLinePunct w:val="0"/>
        <w:autoSpaceDE/>
        <w:autoSpaceDN/>
        <w:bidi w:val="0"/>
        <w:adjustRightInd/>
        <w:snapToGrid/>
        <w:spacing w:line="240" w:lineRule="auto"/>
        <w:ind w:firstLine="406" w:firstLineChars="200"/>
        <w:rPr>
          <w:rFonts w:ascii="宋体" w:hAnsi="宋体"/>
          <w:color w:val="auto"/>
          <w:kern w:val="0"/>
          <w:szCs w:val="21"/>
        </w:rPr>
      </w:pPr>
      <w:r>
        <w:rPr>
          <w:rFonts w:hint="eastAsia" w:ascii="宋体" w:hAnsi="宋体"/>
          <w:color w:val="auto"/>
          <w:kern w:val="0"/>
          <w:szCs w:val="21"/>
        </w:rPr>
        <w:t>评标委员会应按计分法公式计算得分，分值均保留两位小数。</w:t>
      </w:r>
    </w:p>
    <w:p>
      <w:pPr>
        <w:pageBreakBefore w:val="0"/>
        <w:widowControl/>
        <w:kinsoku/>
        <w:wordWrap/>
        <w:overflowPunct/>
        <w:topLinePunct w:val="0"/>
        <w:autoSpaceDE/>
        <w:autoSpaceDN/>
        <w:bidi w:val="0"/>
        <w:adjustRightInd/>
        <w:snapToGrid/>
        <w:spacing w:line="240" w:lineRule="auto"/>
        <w:ind w:firstLine="406" w:firstLineChars="200"/>
        <w:jc w:val="left"/>
        <w:rPr>
          <w:rFonts w:ascii="宋体" w:hAnsi="宋体"/>
          <w:color w:val="auto"/>
          <w:kern w:val="0"/>
          <w:szCs w:val="21"/>
        </w:rPr>
      </w:pPr>
      <w:r>
        <w:rPr>
          <w:rFonts w:hint="eastAsia" w:ascii="宋体" w:hAnsi="宋体"/>
          <w:color w:val="auto"/>
          <w:kern w:val="0"/>
          <w:szCs w:val="21"/>
        </w:rPr>
        <w:t>投标人综合得分＝技术标得分＋商务标得分＋综合标得分。</w:t>
      </w:r>
    </w:p>
    <w:p>
      <w:pPr>
        <w:pageBreakBefore w:val="0"/>
        <w:kinsoku/>
        <w:wordWrap/>
        <w:overflowPunct/>
        <w:topLinePunct w:val="0"/>
        <w:autoSpaceDE/>
        <w:autoSpaceDN/>
        <w:bidi w:val="0"/>
        <w:adjustRightInd/>
        <w:snapToGrid/>
        <w:spacing w:line="240" w:lineRule="auto"/>
        <w:ind w:firstLine="406" w:firstLineChars="200"/>
        <w:rPr>
          <w:rFonts w:ascii="宋体" w:hAnsi="宋体"/>
          <w:color w:val="auto"/>
          <w:szCs w:val="21"/>
        </w:rPr>
      </w:pPr>
      <w:r>
        <w:rPr>
          <w:rFonts w:hint="eastAsia" w:ascii="宋体" w:hAnsi="宋体"/>
          <w:color w:val="auto"/>
          <w:kern w:val="0"/>
          <w:szCs w:val="21"/>
        </w:rPr>
        <w:t>评标计分汇总工作由评委会指定不少于2名评委，在评标委员会监督下进行，各投标人每项得分（包括技术标各项得分）之和为总计得分，排出得分名次，并按推荐中标候选人。当合计得分最高的出现相等时，按投标总报价由低到高的顺序排列；如总得分和投标总报价也相同时,按技术标得分由高到低的顺序排列；技术标得分相同时，按综合标得分由高到低的顺序排列，如综合标得分相同时，由评标委员会确定排序。评标委员会成</w:t>
      </w:r>
      <w:r>
        <w:rPr>
          <w:rFonts w:hint="eastAsia" w:ascii="宋体" w:hAnsi="宋体"/>
          <w:color w:val="auto"/>
          <w:szCs w:val="21"/>
        </w:rPr>
        <w:t>员应在《评标计分汇总表》上签署意见，向所有投标人公开评标结果。</w:t>
      </w:r>
    </w:p>
    <w:p>
      <w:pPr>
        <w:pageBreakBefore w:val="0"/>
        <w:kinsoku/>
        <w:wordWrap/>
        <w:overflowPunct/>
        <w:topLinePunct w:val="0"/>
        <w:autoSpaceDE/>
        <w:autoSpaceDN/>
        <w:bidi w:val="0"/>
        <w:adjustRightInd/>
        <w:snapToGrid/>
        <w:spacing w:line="240" w:lineRule="auto"/>
        <w:ind w:firstLine="406" w:firstLineChars="200"/>
        <w:rPr>
          <w:rFonts w:ascii="宋体" w:hAnsi="宋体"/>
          <w:color w:val="auto"/>
          <w:kern w:val="0"/>
          <w:szCs w:val="21"/>
        </w:rPr>
      </w:pPr>
      <w:bookmarkStart w:id="200" w:name="_Toc144974563"/>
      <w:bookmarkStart w:id="201" w:name="_Toc152042373"/>
      <w:bookmarkStart w:id="202" w:name="_Toc179632614"/>
      <w:bookmarkStart w:id="203" w:name="_Toc152045596"/>
      <w:r>
        <w:rPr>
          <w:rFonts w:hint="eastAsia" w:ascii="宋体" w:hAnsi="宋体"/>
          <w:color w:val="auto"/>
          <w:kern w:val="0"/>
          <w:szCs w:val="21"/>
        </w:rPr>
        <w:t>评标委员会发现投标人的报价（修正价）明显低于其他投标报价，使得其投标报价可能低于其个别成本的，应当要求该投标人作出书面说明并提供相关证明材料。投标人不能合理说明或者不能提供相关证明材料的，由评标委员会认定该投标人以低于成本报价竞标，其投标应作废标处理。</w:t>
      </w:r>
    </w:p>
    <w:p>
      <w:pPr>
        <w:pageBreakBefore w:val="0"/>
        <w:kinsoku/>
        <w:wordWrap/>
        <w:overflowPunct/>
        <w:topLinePunct w:val="0"/>
        <w:autoSpaceDE/>
        <w:autoSpaceDN/>
        <w:bidi w:val="0"/>
        <w:adjustRightInd/>
        <w:snapToGrid/>
        <w:spacing w:line="240" w:lineRule="auto"/>
        <w:rPr>
          <w:b/>
          <w:color w:val="auto"/>
        </w:rPr>
      </w:pPr>
      <w:r>
        <w:rPr>
          <w:rFonts w:hint="eastAsia"/>
          <w:b/>
          <w:color w:val="auto"/>
        </w:rPr>
        <w:t>2.3 投标文件的澄清</w:t>
      </w:r>
      <w:bookmarkEnd w:id="200"/>
      <w:r>
        <w:rPr>
          <w:rFonts w:hint="eastAsia"/>
          <w:b/>
          <w:color w:val="auto"/>
        </w:rPr>
        <w:t>和补正</w:t>
      </w:r>
      <w:bookmarkEnd w:id="201"/>
      <w:bookmarkEnd w:id="202"/>
      <w:bookmarkEnd w:id="203"/>
    </w:p>
    <w:p>
      <w:pPr>
        <w:pageBreakBefore w:val="0"/>
        <w:kinsoku/>
        <w:wordWrap/>
        <w:overflowPunct/>
        <w:topLinePunct w:val="0"/>
        <w:autoSpaceDE/>
        <w:autoSpaceDN/>
        <w:bidi w:val="0"/>
        <w:adjustRightInd/>
        <w:snapToGrid/>
        <w:spacing w:line="240" w:lineRule="auto"/>
        <w:ind w:firstLine="406" w:firstLineChars="200"/>
        <w:rPr>
          <w:color w:val="auto"/>
        </w:rPr>
      </w:pPr>
      <w:r>
        <w:rPr>
          <w:rFonts w:hint="eastAsia"/>
          <w:color w:val="auto"/>
        </w:rPr>
        <w:t>2.3.1在评标过程中，评标委员会可以书面形式要求投标人对所提交的投标文件中不明确的内容进行书面澄清或说明，或者对细微偏差进行补正。评标委员会不接受投标人主动提出的澄清、说明或补正。</w:t>
      </w:r>
    </w:p>
    <w:p>
      <w:pPr>
        <w:pageBreakBefore w:val="0"/>
        <w:kinsoku/>
        <w:wordWrap/>
        <w:overflowPunct/>
        <w:topLinePunct w:val="0"/>
        <w:autoSpaceDE/>
        <w:autoSpaceDN/>
        <w:bidi w:val="0"/>
        <w:adjustRightInd/>
        <w:snapToGrid/>
        <w:spacing w:line="240" w:lineRule="auto"/>
        <w:ind w:firstLine="406" w:firstLineChars="200"/>
        <w:rPr>
          <w:color w:val="auto"/>
        </w:rPr>
      </w:pPr>
      <w:r>
        <w:rPr>
          <w:rFonts w:hint="eastAsia"/>
          <w:color w:val="auto"/>
        </w:rPr>
        <w:t>2.3.2 澄清、说明和补正不得改变投标文件的实质性内容（算术性错误修正的除外）。投标人的书面澄清、说明和补正属于投标文件的组成部分。</w:t>
      </w:r>
    </w:p>
    <w:p>
      <w:pPr>
        <w:pageBreakBefore w:val="0"/>
        <w:kinsoku/>
        <w:wordWrap/>
        <w:overflowPunct/>
        <w:topLinePunct w:val="0"/>
        <w:autoSpaceDE/>
        <w:autoSpaceDN/>
        <w:bidi w:val="0"/>
        <w:adjustRightInd/>
        <w:snapToGrid/>
        <w:spacing w:line="240" w:lineRule="auto"/>
        <w:ind w:firstLine="406" w:firstLineChars="200"/>
        <w:rPr>
          <w:color w:val="auto"/>
        </w:rPr>
      </w:pPr>
      <w:r>
        <w:rPr>
          <w:rFonts w:hint="eastAsia"/>
          <w:color w:val="auto"/>
        </w:rPr>
        <w:t>2.3.3 评标委员会对投标人提交的澄清、说明或补正有疑问的，可以要求投标人进一步澄清、说明或补正，直至满足评标委员会的要求。</w:t>
      </w:r>
    </w:p>
    <w:p>
      <w:pPr>
        <w:pageBreakBefore w:val="0"/>
        <w:kinsoku/>
        <w:wordWrap/>
        <w:overflowPunct/>
        <w:topLinePunct w:val="0"/>
        <w:autoSpaceDE/>
        <w:autoSpaceDN/>
        <w:bidi w:val="0"/>
        <w:adjustRightInd/>
        <w:snapToGrid/>
        <w:spacing w:line="240" w:lineRule="auto"/>
        <w:rPr>
          <w:b/>
          <w:color w:val="auto"/>
        </w:rPr>
      </w:pPr>
      <w:bookmarkStart w:id="204" w:name="_Toc179632615"/>
      <w:bookmarkStart w:id="205" w:name="_Toc152045597"/>
      <w:bookmarkStart w:id="206" w:name="_Toc152042374"/>
      <w:bookmarkStart w:id="207" w:name="_Toc144974564"/>
      <w:r>
        <w:rPr>
          <w:rFonts w:hint="eastAsia"/>
          <w:b/>
          <w:color w:val="auto"/>
        </w:rPr>
        <w:t>2.4 评标结果</w:t>
      </w:r>
      <w:bookmarkEnd w:id="204"/>
      <w:bookmarkEnd w:id="205"/>
      <w:bookmarkEnd w:id="206"/>
      <w:bookmarkEnd w:id="207"/>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szCs w:val="21"/>
        </w:rPr>
      </w:pPr>
      <w:r>
        <w:rPr>
          <w:rFonts w:hint="eastAsia" w:ascii="宋体" w:hAnsi="宋体"/>
          <w:color w:val="auto"/>
          <w:kern w:val="0"/>
          <w:szCs w:val="21"/>
        </w:rPr>
        <w:t>评标委员会完成评标后，应出具由评标委员会全体成员签名的评标报告。对评标结论有异议的评标委员会成员可以书面方式阐述其不同意见和理由。评标委员会成员拒绝在评标报告上签字且不以书面阐述其不同意见和理由的，视为同意评标结论。评标委员会应当对此作出书面说明并记录在案。</w:t>
      </w:r>
    </w:p>
    <w:p>
      <w:pPr>
        <w:pageBreakBefore w:val="0"/>
        <w:kinsoku/>
        <w:wordWrap/>
        <w:overflowPunct/>
        <w:topLinePunct w:val="0"/>
        <w:autoSpaceDE/>
        <w:autoSpaceDN/>
        <w:bidi w:val="0"/>
        <w:adjustRightInd/>
        <w:snapToGrid/>
        <w:spacing w:line="240" w:lineRule="auto"/>
        <w:ind w:firstLine="508" w:firstLineChars="250"/>
        <w:rPr>
          <w:rFonts w:hint="eastAsia" w:ascii="宋体" w:hAnsi="宋体"/>
          <w:color w:val="auto"/>
          <w:kern w:val="0"/>
          <w:szCs w:val="21"/>
        </w:rPr>
      </w:pPr>
      <w:r>
        <w:rPr>
          <w:rFonts w:hint="eastAsia" w:ascii="宋体" w:hAnsi="宋体"/>
          <w:color w:val="auto"/>
          <w:kern w:val="0"/>
          <w:szCs w:val="21"/>
        </w:rPr>
        <w:t>附件：</w:t>
      </w:r>
      <w:r>
        <w:rPr>
          <w:rFonts w:hint="eastAsia" w:ascii="宋体" w:hAnsi="宋体"/>
          <w:color w:val="auto"/>
          <w:kern w:val="0"/>
          <w:szCs w:val="21"/>
          <w:lang w:val="en-US" w:eastAsia="zh-CN"/>
        </w:rPr>
        <w:t>1、</w:t>
      </w:r>
      <w:r>
        <w:rPr>
          <w:rFonts w:hint="eastAsia" w:ascii="宋体" w:hAnsi="宋体"/>
          <w:color w:val="auto"/>
          <w:kern w:val="0"/>
          <w:szCs w:val="21"/>
        </w:rPr>
        <w:t>商务标清标内容</w:t>
      </w:r>
    </w:p>
    <w:p>
      <w:pPr>
        <w:pageBreakBefore w:val="0"/>
        <w:numPr>
          <w:ilvl w:val="0"/>
          <w:numId w:val="1"/>
        </w:numPr>
        <w:kinsoku/>
        <w:wordWrap/>
        <w:overflowPunct/>
        <w:topLinePunct w:val="0"/>
        <w:autoSpaceDE/>
        <w:autoSpaceDN/>
        <w:bidi w:val="0"/>
        <w:adjustRightInd/>
        <w:snapToGrid/>
        <w:spacing w:line="240" w:lineRule="auto"/>
        <w:ind w:firstLine="1117" w:firstLineChars="550"/>
        <w:rPr>
          <w:rFonts w:hint="eastAsia" w:ascii="宋体" w:hAnsi="宋体" w:eastAsia="宋体"/>
          <w:color w:val="auto"/>
          <w:kern w:val="0"/>
          <w:szCs w:val="21"/>
          <w:lang w:val="en-US" w:eastAsia="zh-CN"/>
        </w:rPr>
      </w:pPr>
      <w:r>
        <w:rPr>
          <w:rFonts w:hint="eastAsia" w:ascii="宋体" w:hAnsi="宋体"/>
          <w:color w:val="auto"/>
          <w:kern w:val="0"/>
          <w:szCs w:val="21"/>
          <w:lang w:val="en-US" w:eastAsia="zh-CN"/>
        </w:rPr>
        <w:t>建设工程危险性较大的分部分项工程清单</w:t>
      </w:r>
    </w:p>
    <w:p>
      <w:pPr>
        <w:rPr>
          <w:rFonts w:ascii="宋体" w:hAnsi="宋体"/>
          <w:color w:val="auto"/>
          <w:kern w:val="0"/>
          <w:szCs w:val="21"/>
        </w:rPr>
      </w:pPr>
      <w:r>
        <w:rPr>
          <w:rFonts w:ascii="宋体" w:hAnsi="宋体"/>
          <w:color w:val="auto"/>
          <w:kern w:val="0"/>
          <w:szCs w:val="21"/>
        </w:rPr>
        <w:br w:type="page"/>
      </w:r>
    </w:p>
    <w:p>
      <w:pPr>
        <w:pStyle w:val="6"/>
        <w:rPr>
          <w:rFonts w:hint="eastAsia" w:eastAsia="宋体"/>
          <w:color w:val="auto"/>
          <w:lang w:val="en-US" w:eastAsia="zh-CN"/>
        </w:rPr>
      </w:pPr>
      <w:r>
        <w:rPr>
          <w:rFonts w:hint="eastAsia"/>
          <w:color w:val="auto"/>
        </w:rPr>
        <w:t>附件</w:t>
      </w:r>
      <w:r>
        <w:rPr>
          <w:rFonts w:hint="eastAsia"/>
          <w:color w:val="auto"/>
          <w:lang w:val="en-US" w:eastAsia="zh-CN"/>
        </w:rPr>
        <w:t>1</w:t>
      </w:r>
    </w:p>
    <w:p>
      <w:pPr>
        <w:spacing w:line="500" w:lineRule="exact"/>
        <w:jc w:val="center"/>
        <w:rPr>
          <w:rFonts w:ascii="黑体" w:hAnsi="黑体" w:eastAsia="黑体"/>
          <w:color w:val="auto"/>
          <w:kern w:val="0"/>
          <w:sz w:val="36"/>
          <w:szCs w:val="36"/>
        </w:rPr>
      </w:pPr>
      <w:r>
        <w:rPr>
          <w:rFonts w:hint="eastAsia" w:ascii="黑体" w:hAnsi="黑体" w:eastAsia="黑体"/>
          <w:color w:val="auto"/>
          <w:kern w:val="0"/>
          <w:sz w:val="36"/>
          <w:szCs w:val="36"/>
        </w:rPr>
        <w:t>商务标清标内容</w:t>
      </w:r>
    </w:p>
    <w:tbl>
      <w:tblPr>
        <w:tblStyle w:val="37"/>
        <w:tblW w:w="10364" w:type="dxa"/>
        <w:jc w:val="center"/>
        <w:tblLayout w:type="fixed"/>
        <w:tblCellMar>
          <w:top w:w="0" w:type="dxa"/>
          <w:left w:w="108" w:type="dxa"/>
          <w:bottom w:w="0" w:type="dxa"/>
          <w:right w:w="108" w:type="dxa"/>
        </w:tblCellMar>
      </w:tblPr>
      <w:tblGrid>
        <w:gridCol w:w="405"/>
        <w:gridCol w:w="548"/>
        <w:gridCol w:w="3429"/>
        <w:gridCol w:w="4442"/>
        <w:gridCol w:w="781"/>
        <w:gridCol w:w="759"/>
      </w:tblGrid>
      <w:tr>
        <w:tblPrEx>
          <w:tblCellMar>
            <w:top w:w="0" w:type="dxa"/>
            <w:left w:w="108" w:type="dxa"/>
            <w:bottom w:w="0" w:type="dxa"/>
            <w:right w:w="108" w:type="dxa"/>
          </w:tblCellMar>
        </w:tblPrEx>
        <w:trPr>
          <w:trHeight w:val="282" w:hRule="atLeast"/>
          <w:jc w:val="center"/>
        </w:trPr>
        <w:tc>
          <w:tcPr>
            <w:tcW w:w="953"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
                <w:bCs/>
                <w:color w:val="auto"/>
                <w:kern w:val="0"/>
                <w:szCs w:val="21"/>
              </w:rPr>
            </w:pPr>
            <w:r>
              <w:rPr>
                <w:rFonts w:hint="eastAsia" w:ascii="宋体" w:hAnsi="宋体"/>
                <w:b/>
                <w:bCs/>
                <w:color w:val="auto"/>
                <w:kern w:val="0"/>
                <w:szCs w:val="21"/>
              </w:rPr>
              <w:t>序号</w:t>
            </w:r>
          </w:p>
        </w:tc>
        <w:tc>
          <w:tcPr>
            <w:tcW w:w="3429" w:type="dxa"/>
            <w:vMerge w:val="restart"/>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b/>
                <w:bCs/>
                <w:color w:val="auto"/>
                <w:kern w:val="0"/>
                <w:szCs w:val="21"/>
              </w:rPr>
            </w:pPr>
            <w:r>
              <w:rPr>
                <w:rFonts w:hint="eastAsia" w:ascii="宋体" w:hAnsi="宋体"/>
                <w:b/>
                <w:bCs/>
                <w:color w:val="auto"/>
                <w:kern w:val="0"/>
                <w:szCs w:val="21"/>
              </w:rPr>
              <w:t>清标项目</w:t>
            </w:r>
          </w:p>
        </w:tc>
        <w:tc>
          <w:tcPr>
            <w:tcW w:w="4442" w:type="dxa"/>
            <w:vMerge w:val="restart"/>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b/>
                <w:bCs/>
                <w:color w:val="auto"/>
                <w:kern w:val="0"/>
                <w:szCs w:val="21"/>
              </w:rPr>
            </w:pPr>
            <w:r>
              <w:rPr>
                <w:rFonts w:hint="eastAsia" w:ascii="宋体" w:hAnsi="宋体"/>
                <w:b/>
                <w:bCs/>
                <w:color w:val="auto"/>
                <w:kern w:val="0"/>
                <w:szCs w:val="21"/>
              </w:rPr>
              <w:t>清标内容</w:t>
            </w:r>
          </w:p>
        </w:tc>
        <w:tc>
          <w:tcPr>
            <w:tcW w:w="1540"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b/>
                <w:bCs/>
                <w:color w:val="auto"/>
                <w:kern w:val="0"/>
                <w:szCs w:val="21"/>
              </w:rPr>
            </w:pPr>
            <w:r>
              <w:rPr>
                <w:rFonts w:hint="eastAsia" w:ascii="宋体" w:hAnsi="宋体"/>
                <w:b/>
                <w:bCs/>
                <w:color w:val="auto"/>
                <w:kern w:val="0"/>
                <w:szCs w:val="21"/>
              </w:rPr>
              <w:t>清标结果</w:t>
            </w:r>
          </w:p>
        </w:tc>
      </w:tr>
      <w:tr>
        <w:tblPrEx>
          <w:tblCellMar>
            <w:top w:w="0" w:type="dxa"/>
            <w:left w:w="108" w:type="dxa"/>
            <w:bottom w:w="0" w:type="dxa"/>
            <w:right w:w="108" w:type="dxa"/>
          </w:tblCellMar>
        </w:tblPrEx>
        <w:trPr>
          <w:trHeight w:val="204" w:hRule="atLeast"/>
          <w:jc w:val="center"/>
        </w:trPr>
        <w:tc>
          <w:tcPr>
            <w:tcW w:w="953"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宋体" w:hAnsi="宋体"/>
                <w:b/>
                <w:bCs/>
                <w:color w:val="auto"/>
                <w:kern w:val="0"/>
                <w:szCs w:val="21"/>
              </w:rPr>
            </w:pPr>
          </w:p>
        </w:tc>
        <w:tc>
          <w:tcPr>
            <w:tcW w:w="3429" w:type="dxa"/>
            <w:vMerge w:val="continue"/>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b/>
                <w:bCs/>
                <w:color w:val="auto"/>
                <w:kern w:val="0"/>
                <w:szCs w:val="21"/>
              </w:rPr>
            </w:pPr>
          </w:p>
        </w:tc>
        <w:tc>
          <w:tcPr>
            <w:tcW w:w="4442" w:type="dxa"/>
            <w:vMerge w:val="continue"/>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b/>
                <w:bCs/>
                <w:color w:val="auto"/>
                <w:kern w:val="0"/>
                <w:szCs w:val="21"/>
              </w:rPr>
            </w:pPr>
          </w:p>
        </w:tc>
        <w:tc>
          <w:tcPr>
            <w:tcW w:w="781"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b/>
                <w:bCs/>
                <w:color w:val="auto"/>
                <w:kern w:val="0"/>
                <w:szCs w:val="21"/>
              </w:rPr>
            </w:pPr>
            <w:r>
              <w:rPr>
                <w:rFonts w:hint="eastAsia" w:ascii="宋体" w:hAnsi="宋体"/>
                <w:b/>
                <w:bCs/>
                <w:color w:val="auto"/>
                <w:kern w:val="0"/>
                <w:szCs w:val="21"/>
              </w:rPr>
              <w:t>是</w:t>
            </w:r>
          </w:p>
        </w:tc>
        <w:tc>
          <w:tcPr>
            <w:tcW w:w="759"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b/>
                <w:bCs/>
                <w:color w:val="auto"/>
                <w:kern w:val="0"/>
                <w:szCs w:val="21"/>
              </w:rPr>
            </w:pPr>
            <w:r>
              <w:rPr>
                <w:rFonts w:hint="eastAsia" w:ascii="宋体" w:hAnsi="宋体"/>
                <w:b/>
                <w:bCs/>
                <w:color w:val="auto"/>
                <w:kern w:val="0"/>
                <w:szCs w:val="21"/>
              </w:rPr>
              <w:t>否</w:t>
            </w:r>
          </w:p>
        </w:tc>
      </w:tr>
      <w:tr>
        <w:tblPrEx>
          <w:tblCellMar>
            <w:top w:w="0" w:type="dxa"/>
            <w:left w:w="108" w:type="dxa"/>
            <w:bottom w:w="0" w:type="dxa"/>
            <w:right w:w="108" w:type="dxa"/>
          </w:tblCellMar>
        </w:tblPrEx>
        <w:trPr>
          <w:trHeight w:val="539" w:hRule="atLeast"/>
          <w:jc w:val="center"/>
        </w:trPr>
        <w:tc>
          <w:tcPr>
            <w:tcW w:w="405" w:type="dxa"/>
            <w:vMerge w:val="restart"/>
            <w:tcBorders>
              <w:top w:val="nil"/>
              <w:left w:val="single" w:color="auto" w:sz="4" w:space="0"/>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1</w:t>
            </w:r>
          </w:p>
        </w:tc>
        <w:tc>
          <w:tcPr>
            <w:tcW w:w="548"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1.1</w:t>
            </w:r>
          </w:p>
        </w:tc>
        <w:tc>
          <w:tcPr>
            <w:tcW w:w="3429"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项目总报价</w:t>
            </w:r>
          </w:p>
        </w:tc>
        <w:tc>
          <w:tcPr>
            <w:tcW w:w="4442"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是否等于各单项工程造价之和</w:t>
            </w:r>
          </w:p>
        </w:tc>
        <w:tc>
          <w:tcPr>
            <w:tcW w:w="781"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c>
          <w:tcPr>
            <w:tcW w:w="759"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r>
      <w:tr>
        <w:tblPrEx>
          <w:tblCellMar>
            <w:top w:w="0" w:type="dxa"/>
            <w:left w:w="108" w:type="dxa"/>
            <w:bottom w:w="0" w:type="dxa"/>
            <w:right w:w="108" w:type="dxa"/>
          </w:tblCellMar>
        </w:tblPrEx>
        <w:trPr>
          <w:trHeight w:val="539" w:hRule="atLeast"/>
          <w:jc w:val="center"/>
        </w:trPr>
        <w:tc>
          <w:tcPr>
            <w:tcW w:w="405" w:type="dxa"/>
            <w:vMerge w:val="continue"/>
            <w:tcBorders>
              <w:top w:val="nil"/>
              <w:left w:val="single" w:color="auto" w:sz="4" w:space="0"/>
              <w:bottom w:val="single" w:color="auto" w:sz="4" w:space="0"/>
              <w:right w:val="single" w:color="auto" w:sz="4" w:space="0"/>
            </w:tcBorders>
            <w:vAlign w:val="center"/>
          </w:tcPr>
          <w:p>
            <w:pPr>
              <w:spacing w:line="240" w:lineRule="exact"/>
              <w:jc w:val="left"/>
              <w:rPr>
                <w:rFonts w:ascii="宋体" w:hAnsi="宋体"/>
                <w:color w:val="auto"/>
                <w:kern w:val="0"/>
                <w:szCs w:val="21"/>
              </w:rPr>
            </w:pPr>
          </w:p>
        </w:tc>
        <w:tc>
          <w:tcPr>
            <w:tcW w:w="548"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1.2</w:t>
            </w:r>
          </w:p>
        </w:tc>
        <w:tc>
          <w:tcPr>
            <w:tcW w:w="3429"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单项工程费</w:t>
            </w:r>
          </w:p>
        </w:tc>
        <w:tc>
          <w:tcPr>
            <w:tcW w:w="4442"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是否等于各单位工程造价之和</w:t>
            </w:r>
          </w:p>
        </w:tc>
        <w:tc>
          <w:tcPr>
            <w:tcW w:w="781"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c>
          <w:tcPr>
            <w:tcW w:w="759"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r>
      <w:tr>
        <w:tblPrEx>
          <w:tblCellMar>
            <w:top w:w="0" w:type="dxa"/>
            <w:left w:w="108" w:type="dxa"/>
            <w:bottom w:w="0" w:type="dxa"/>
            <w:right w:w="108" w:type="dxa"/>
          </w:tblCellMar>
        </w:tblPrEx>
        <w:trPr>
          <w:trHeight w:val="539" w:hRule="atLeast"/>
          <w:jc w:val="center"/>
        </w:trPr>
        <w:tc>
          <w:tcPr>
            <w:tcW w:w="405" w:type="dxa"/>
            <w:vMerge w:val="continue"/>
            <w:tcBorders>
              <w:top w:val="nil"/>
              <w:left w:val="single" w:color="auto" w:sz="4" w:space="0"/>
              <w:bottom w:val="single" w:color="auto" w:sz="4" w:space="0"/>
              <w:right w:val="single" w:color="auto" w:sz="4" w:space="0"/>
            </w:tcBorders>
            <w:vAlign w:val="center"/>
          </w:tcPr>
          <w:p>
            <w:pPr>
              <w:spacing w:line="240" w:lineRule="exact"/>
              <w:jc w:val="left"/>
              <w:rPr>
                <w:rFonts w:ascii="宋体" w:hAnsi="宋体"/>
                <w:color w:val="auto"/>
                <w:kern w:val="0"/>
                <w:szCs w:val="21"/>
              </w:rPr>
            </w:pPr>
          </w:p>
        </w:tc>
        <w:tc>
          <w:tcPr>
            <w:tcW w:w="548"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1.3</w:t>
            </w:r>
          </w:p>
        </w:tc>
        <w:tc>
          <w:tcPr>
            <w:tcW w:w="3429"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单位工程费</w:t>
            </w:r>
          </w:p>
        </w:tc>
        <w:tc>
          <w:tcPr>
            <w:tcW w:w="4442"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是否等于分部分项工程费</w:t>
            </w:r>
            <w:r>
              <w:rPr>
                <w:rFonts w:ascii="宋体" w:hAnsi="宋体"/>
                <w:color w:val="auto"/>
                <w:kern w:val="0"/>
                <w:szCs w:val="21"/>
              </w:rPr>
              <w:t>+</w:t>
            </w:r>
            <w:r>
              <w:rPr>
                <w:rFonts w:hint="eastAsia" w:ascii="宋体" w:hAnsi="宋体"/>
                <w:color w:val="auto"/>
                <w:kern w:val="0"/>
                <w:szCs w:val="21"/>
              </w:rPr>
              <w:t>措施项目费</w:t>
            </w:r>
            <w:r>
              <w:rPr>
                <w:rFonts w:ascii="宋体" w:hAnsi="宋体"/>
                <w:color w:val="auto"/>
                <w:kern w:val="0"/>
                <w:szCs w:val="21"/>
              </w:rPr>
              <w:t>+</w:t>
            </w:r>
            <w:r>
              <w:rPr>
                <w:rFonts w:hint="eastAsia" w:ascii="宋体" w:hAnsi="宋体"/>
                <w:color w:val="auto"/>
                <w:kern w:val="0"/>
                <w:szCs w:val="21"/>
              </w:rPr>
              <w:t>其它项目费</w:t>
            </w:r>
            <w:r>
              <w:rPr>
                <w:rFonts w:ascii="宋体" w:hAnsi="宋体"/>
                <w:color w:val="auto"/>
                <w:kern w:val="0"/>
                <w:szCs w:val="21"/>
              </w:rPr>
              <w:t>+</w:t>
            </w:r>
            <w:r>
              <w:rPr>
                <w:rFonts w:hint="eastAsia" w:ascii="宋体" w:hAnsi="宋体"/>
                <w:color w:val="auto"/>
                <w:kern w:val="0"/>
                <w:szCs w:val="21"/>
              </w:rPr>
              <w:t>规费</w:t>
            </w:r>
            <w:r>
              <w:rPr>
                <w:rFonts w:ascii="宋体" w:hAnsi="宋体"/>
                <w:color w:val="auto"/>
                <w:kern w:val="0"/>
                <w:szCs w:val="21"/>
              </w:rPr>
              <w:t>+</w:t>
            </w:r>
            <w:r>
              <w:rPr>
                <w:rFonts w:hint="eastAsia" w:ascii="宋体" w:hAnsi="宋体"/>
                <w:color w:val="auto"/>
                <w:kern w:val="0"/>
                <w:szCs w:val="21"/>
              </w:rPr>
              <w:t>税金之和</w:t>
            </w:r>
          </w:p>
        </w:tc>
        <w:tc>
          <w:tcPr>
            <w:tcW w:w="781"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c>
          <w:tcPr>
            <w:tcW w:w="759"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r>
      <w:tr>
        <w:tblPrEx>
          <w:tblCellMar>
            <w:top w:w="0" w:type="dxa"/>
            <w:left w:w="108" w:type="dxa"/>
            <w:bottom w:w="0" w:type="dxa"/>
            <w:right w:w="108" w:type="dxa"/>
          </w:tblCellMar>
        </w:tblPrEx>
        <w:trPr>
          <w:trHeight w:val="539" w:hRule="atLeast"/>
          <w:jc w:val="center"/>
        </w:trPr>
        <w:tc>
          <w:tcPr>
            <w:tcW w:w="405" w:type="dxa"/>
            <w:vMerge w:val="restart"/>
            <w:tcBorders>
              <w:top w:val="nil"/>
              <w:left w:val="single" w:color="auto" w:sz="4" w:space="0"/>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2</w:t>
            </w:r>
          </w:p>
        </w:tc>
        <w:tc>
          <w:tcPr>
            <w:tcW w:w="548"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2.1</w:t>
            </w:r>
          </w:p>
        </w:tc>
        <w:tc>
          <w:tcPr>
            <w:tcW w:w="3429"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分部分项工程费及单价措施费</w:t>
            </w:r>
          </w:p>
        </w:tc>
        <w:tc>
          <w:tcPr>
            <w:tcW w:w="4442" w:type="dxa"/>
            <w:tcBorders>
              <w:top w:val="single" w:color="auto" w:sz="4" w:space="0"/>
              <w:left w:val="nil"/>
              <w:bottom w:val="single" w:color="auto" w:sz="4" w:space="0"/>
              <w:right w:val="single" w:color="auto" w:sz="4" w:space="0"/>
            </w:tcBorders>
            <w:vAlign w:val="center"/>
          </w:tcPr>
          <w:p>
            <w:pPr>
              <w:spacing w:line="240" w:lineRule="exact"/>
              <w:ind w:left="186" w:hanging="179" w:hangingChars="100"/>
              <w:rPr>
                <w:rFonts w:ascii="宋体" w:hAnsi="宋体"/>
                <w:color w:val="auto"/>
                <w:spacing w:val="-12"/>
                <w:kern w:val="0"/>
                <w:szCs w:val="21"/>
              </w:rPr>
            </w:pPr>
            <w:r>
              <w:rPr>
                <w:rFonts w:hint="eastAsia" w:ascii="宋体" w:hAnsi="宋体"/>
                <w:color w:val="auto"/>
                <w:spacing w:val="-12"/>
                <w:kern w:val="0"/>
                <w:szCs w:val="21"/>
              </w:rPr>
              <w:t>是否等于各分部分项清单（含单价措施项目）费之和</w:t>
            </w:r>
          </w:p>
        </w:tc>
        <w:tc>
          <w:tcPr>
            <w:tcW w:w="781"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c>
          <w:tcPr>
            <w:tcW w:w="759"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r>
      <w:tr>
        <w:tblPrEx>
          <w:tblCellMar>
            <w:top w:w="0" w:type="dxa"/>
            <w:left w:w="108" w:type="dxa"/>
            <w:bottom w:w="0" w:type="dxa"/>
            <w:right w:w="108" w:type="dxa"/>
          </w:tblCellMar>
        </w:tblPrEx>
        <w:trPr>
          <w:trHeight w:val="454" w:hRule="exact"/>
          <w:jc w:val="center"/>
        </w:trPr>
        <w:tc>
          <w:tcPr>
            <w:tcW w:w="405" w:type="dxa"/>
            <w:vMerge w:val="continue"/>
            <w:tcBorders>
              <w:top w:val="nil"/>
              <w:left w:val="single" w:color="auto" w:sz="4" w:space="0"/>
              <w:bottom w:val="single" w:color="auto" w:sz="4" w:space="0"/>
              <w:right w:val="single" w:color="auto" w:sz="4" w:space="0"/>
            </w:tcBorders>
            <w:vAlign w:val="center"/>
          </w:tcPr>
          <w:p>
            <w:pPr>
              <w:spacing w:line="240" w:lineRule="exact"/>
              <w:jc w:val="left"/>
              <w:rPr>
                <w:rFonts w:ascii="宋体" w:hAnsi="宋体"/>
                <w:color w:val="auto"/>
                <w:kern w:val="0"/>
                <w:szCs w:val="21"/>
              </w:rPr>
            </w:pPr>
          </w:p>
        </w:tc>
        <w:tc>
          <w:tcPr>
            <w:tcW w:w="548"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2.2</w:t>
            </w:r>
          </w:p>
        </w:tc>
        <w:tc>
          <w:tcPr>
            <w:tcW w:w="3429"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分部分项及单价措施项目编码</w:t>
            </w:r>
          </w:p>
        </w:tc>
        <w:tc>
          <w:tcPr>
            <w:tcW w:w="4442"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不得修改招标人清单</w:t>
            </w:r>
          </w:p>
        </w:tc>
        <w:tc>
          <w:tcPr>
            <w:tcW w:w="781"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c>
          <w:tcPr>
            <w:tcW w:w="759"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r>
      <w:tr>
        <w:tblPrEx>
          <w:tblCellMar>
            <w:top w:w="0" w:type="dxa"/>
            <w:left w:w="108" w:type="dxa"/>
            <w:bottom w:w="0" w:type="dxa"/>
            <w:right w:w="108" w:type="dxa"/>
          </w:tblCellMar>
        </w:tblPrEx>
        <w:trPr>
          <w:trHeight w:val="454" w:hRule="exact"/>
          <w:jc w:val="center"/>
        </w:trPr>
        <w:tc>
          <w:tcPr>
            <w:tcW w:w="405" w:type="dxa"/>
            <w:vMerge w:val="continue"/>
            <w:tcBorders>
              <w:top w:val="nil"/>
              <w:left w:val="single" w:color="auto" w:sz="4" w:space="0"/>
              <w:bottom w:val="single" w:color="auto" w:sz="4" w:space="0"/>
              <w:right w:val="single" w:color="auto" w:sz="4" w:space="0"/>
            </w:tcBorders>
            <w:vAlign w:val="center"/>
          </w:tcPr>
          <w:p>
            <w:pPr>
              <w:spacing w:line="240" w:lineRule="exact"/>
              <w:jc w:val="left"/>
              <w:rPr>
                <w:rFonts w:ascii="宋体" w:hAnsi="宋体"/>
                <w:color w:val="auto"/>
                <w:kern w:val="0"/>
                <w:szCs w:val="21"/>
              </w:rPr>
            </w:pPr>
          </w:p>
        </w:tc>
        <w:tc>
          <w:tcPr>
            <w:tcW w:w="548"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2.3</w:t>
            </w:r>
          </w:p>
        </w:tc>
        <w:tc>
          <w:tcPr>
            <w:tcW w:w="3429"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分部分项及单价措施项目名称</w:t>
            </w:r>
          </w:p>
        </w:tc>
        <w:tc>
          <w:tcPr>
            <w:tcW w:w="4442"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不得修改招标人清单</w:t>
            </w:r>
          </w:p>
        </w:tc>
        <w:tc>
          <w:tcPr>
            <w:tcW w:w="781"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c>
          <w:tcPr>
            <w:tcW w:w="759"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r>
      <w:tr>
        <w:tblPrEx>
          <w:tblCellMar>
            <w:top w:w="0" w:type="dxa"/>
            <w:left w:w="108" w:type="dxa"/>
            <w:bottom w:w="0" w:type="dxa"/>
            <w:right w:w="108" w:type="dxa"/>
          </w:tblCellMar>
        </w:tblPrEx>
        <w:trPr>
          <w:trHeight w:val="454" w:hRule="exact"/>
          <w:jc w:val="center"/>
        </w:trPr>
        <w:tc>
          <w:tcPr>
            <w:tcW w:w="405" w:type="dxa"/>
            <w:vMerge w:val="continue"/>
            <w:tcBorders>
              <w:top w:val="nil"/>
              <w:left w:val="single" w:color="auto" w:sz="4" w:space="0"/>
              <w:bottom w:val="single" w:color="auto" w:sz="4" w:space="0"/>
              <w:right w:val="single" w:color="auto" w:sz="4" w:space="0"/>
            </w:tcBorders>
            <w:vAlign w:val="center"/>
          </w:tcPr>
          <w:p>
            <w:pPr>
              <w:spacing w:line="240" w:lineRule="exact"/>
              <w:jc w:val="left"/>
              <w:rPr>
                <w:rFonts w:ascii="宋体" w:hAnsi="宋体"/>
                <w:color w:val="auto"/>
                <w:kern w:val="0"/>
                <w:szCs w:val="21"/>
              </w:rPr>
            </w:pPr>
          </w:p>
        </w:tc>
        <w:tc>
          <w:tcPr>
            <w:tcW w:w="548"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2.4</w:t>
            </w:r>
          </w:p>
        </w:tc>
        <w:tc>
          <w:tcPr>
            <w:tcW w:w="3429"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分部分项及单价措施项目特征</w:t>
            </w:r>
          </w:p>
        </w:tc>
        <w:tc>
          <w:tcPr>
            <w:tcW w:w="4442"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不得修改招标人清单</w:t>
            </w:r>
          </w:p>
        </w:tc>
        <w:tc>
          <w:tcPr>
            <w:tcW w:w="781"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c>
          <w:tcPr>
            <w:tcW w:w="759"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r>
      <w:tr>
        <w:tblPrEx>
          <w:tblCellMar>
            <w:top w:w="0" w:type="dxa"/>
            <w:left w:w="108" w:type="dxa"/>
            <w:bottom w:w="0" w:type="dxa"/>
            <w:right w:w="108" w:type="dxa"/>
          </w:tblCellMar>
        </w:tblPrEx>
        <w:trPr>
          <w:trHeight w:val="454" w:hRule="exact"/>
          <w:jc w:val="center"/>
        </w:trPr>
        <w:tc>
          <w:tcPr>
            <w:tcW w:w="405" w:type="dxa"/>
            <w:vMerge w:val="continue"/>
            <w:tcBorders>
              <w:top w:val="nil"/>
              <w:left w:val="single" w:color="auto" w:sz="4" w:space="0"/>
              <w:bottom w:val="single" w:color="auto" w:sz="4" w:space="0"/>
              <w:right w:val="single" w:color="auto" w:sz="4" w:space="0"/>
            </w:tcBorders>
            <w:vAlign w:val="center"/>
          </w:tcPr>
          <w:p>
            <w:pPr>
              <w:spacing w:line="240" w:lineRule="exact"/>
              <w:jc w:val="left"/>
              <w:rPr>
                <w:rFonts w:ascii="宋体" w:hAnsi="宋体"/>
                <w:color w:val="auto"/>
                <w:kern w:val="0"/>
                <w:szCs w:val="21"/>
              </w:rPr>
            </w:pPr>
          </w:p>
        </w:tc>
        <w:tc>
          <w:tcPr>
            <w:tcW w:w="548"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2.5</w:t>
            </w:r>
          </w:p>
        </w:tc>
        <w:tc>
          <w:tcPr>
            <w:tcW w:w="3429"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分部分项及单价措施项目计量单位</w:t>
            </w:r>
          </w:p>
        </w:tc>
        <w:tc>
          <w:tcPr>
            <w:tcW w:w="4442"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不得修改招标人清单</w:t>
            </w:r>
          </w:p>
        </w:tc>
        <w:tc>
          <w:tcPr>
            <w:tcW w:w="781"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c>
          <w:tcPr>
            <w:tcW w:w="759"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r>
      <w:tr>
        <w:tblPrEx>
          <w:tblCellMar>
            <w:top w:w="0" w:type="dxa"/>
            <w:left w:w="108" w:type="dxa"/>
            <w:bottom w:w="0" w:type="dxa"/>
            <w:right w:w="108" w:type="dxa"/>
          </w:tblCellMar>
        </w:tblPrEx>
        <w:trPr>
          <w:trHeight w:val="454" w:hRule="exact"/>
          <w:jc w:val="center"/>
        </w:trPr>
        <w:tc>
          <w:tcPr>
            <w:tcW w:w="405" w:type="dxa"/>
            <w:vMerge w:val="continue"/>
            <w:tcBorders>
              <w:top w:val="nil"/>
              <w:left w:val="single" w:color="auto" w:sz="4" w:space="0"/>
              <w:bottom w:val="single" w:color="auto" w:sz="4" w:space="0"/>
              <w:right w:val="single" w:color="auto" w:sz="4" w:space="0"/>
            </w:tcBorders>
            <w:vAlign w:val="center"/>
          </w:tcPr>
          <w:p>
            <w:pPr>
              <w:spacing w:line="240" w:lineRule="exact"/>
              <w:jc w:val="left"/>
              <w:rPr>
                <w:rFonts w:ascii="宋体" w:hAnsi="宋体"/>
                <w:color w:val="auto"/>
                <w:kern w:val="0"/>
                <w:szCs w:val="21"/>
              </w:rPr>
            </w:pPr>
          </w:p>
        </w:tc>
        <w:tc>
          <w:tcPr>
            <w:tcW w:w="548"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2.6</w:t>
            </w:r>
          </w:p>
        </w:tc>
        <w:tc>
          <w:tcPr>
            <w:tcW w:w="3429"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分部分项及单价措施项目工程量</w:t>
            </w:r>
          </w:p>
        </w:tc>
        <w:tc>
          <w:tcPr>
            <w:tcW w:w="4442"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不得修改招标人清单</w:t>
            </w:r>
          </w:p>
        </w:tc>
        <w:tc>
          <w:tcPr>
            <w:tcW w:w="781"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c>
          <w:tcPr>
            <w:tcW w:w="759"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r>
      <w:tr>
        <w:tblPrEx>
          <w:tblCellMar>
            <w:top w:w="0" w:type="dxa"/>
            <w:left w:w="108" w:type="dxa"/>
            <w:bottom w:w="0" w:type="dxa"/>
            <w:right w:w="108" w:type="dxa"/>
          </w:tblCellMar>
        </w:tblPrEx>
        <w:trPr>
          <w:trHeight w:val="539" w:hRule="atLeast"/>
          <w:jc w:val="center"/>
        </w:trPr>
        <w:tc>
          <w:tcPr>
            <w:tcW w:w="405" w:type="dxa"/>
            <w:vMerge w:val="continue"/>
            <w:tcBorders>
              <w:top w:val="nil"/>
              <w:left w:val="single" w:color="auto" w:sz="4" w:space="0"/>
              <w:bottom w:val="single" w:color="auto" w:sz="4" w:space="0"/>
              <w:right w:val="single" w:color="auto" w:sz="4" w:space="0"/>
            </w:tcBorders>
            <w:vAlign w:val="center"/>
          </w:tcPr>
          <w:p>
            <w:pPr>
              <w:spacing w:line="240" w:lineRule="exact"/>
              <w:jc w:val="left"/>
              <w:rPr>
                <w:rFonts w:ascii="宋体" w:hAnsi="宋体"/>
                <w:color w:val="auto"/>
                <w:kern w:val="0"/>
                <w:szCs w:val="21"/>
              </w:rPr>
            </w:pPr>
          </w:p>
        </w:tc>
        <w:tc>
          <w:tcPr>
            <w:tcW w:w="548"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2.7</w:t>
            </w:r>
          </w:p>
        </w:tc>
        <w:tc>
          <w:tcPr>
            <w:tcW w:w="3429"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spacing w:val="-4"/>
                <w:kern w:val="0"/>
                <w:szCs w:val="21"/>
              </w:rPr>
            </w:pPr>
            <w:r>
              <w:rPr>
                <w:rFonts w:hint="eastAsia" w:ascii="宋体" w:hAnsi="宋体"/>
                <w:color w:val="auto"/>
                <w:spacing w:val="-4"/>
                <w:kern w:val="0"/>
                <w:szCs w:val="21"/>
              </w:rPr>
              <w:t>分部分项工程费及单价措施费清单综合单价</w:t>
            </w:r>
          </w:p>
        </w:tc>
        <w:tc>
          <w:tcPr>
            <w:tcW w:w="4442"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综合单价＝人工费</w:t>
            </w:r>
            <w:r>
              <w:rPr>
                <w:rFonts w:ascii="宋体" w:hAnsi="宋体"/>
                <w:color w:val="auto"/>
                <w:kern w:val="0"/>
                <w:szCs w:val="21"/>
              </w:rPr>
              <w:t>+</w:t>
            </w:r>
            <w:r>
              <w:rPr>
                <w:rFonts w:hint="eastAsia" w:ascii="宋体" w:hAnsi="宋体"/>
                <w:color w:val="auto"/>
                <w:kern w:val="0"/>
                <w:szCs w:val="21"/>
              </w:rPr>
              <w:t>材料费</w:t>
            </w:r>
            <w:r>
              <w:rPr>
                <w:rFonts w:ascii="宋体" w:hAnsi="宋体"/>
                <w:color w:val="auto"/>
                <w:kern w:val="0"/>
                <w:szCs w:val="21"/>
              </w:rPr>
              <w:t>+</w:t>
            </w:r>
            <w:r>
              <w:rPr>
                <w:rFonts w:hint="eastAsia" w:ascii="宋体" w:hAnsi="宋体"/>
                <w:color w:val="auto"/>
                <w:kern w:val="0"/>
                <w:szCs w:val="21"/>
              </w:rPr>
              <w:t>机械费</w:t>
            </w:r>
            <w:r>
              <w:rPr>
                <w:rFonts w:ascii="宋体" w:hAnsi="宋体"/>
                <w:color w:val="auto"/>
                <w:kern w:val="0"/>
                <w:szCs w:val="21"/>
              </w:rPr>
              <w:t>+</w:t>
            </w:r>
            <w:r>
              <w:rPr>
                <w:rFonts w:hint="eastAsia" w:ascii="宋体" w:hAnsi="宋体"/>
                <w:color w:val="auto"/>
                <w:kern w:val="0"/>
                <w:szCs w:val="21"/>
              </w:rPr>
              <w:t>管理费</w:t>
            </w:r>
            <w:r>
              <w:rPr>
                <w:rFonts w:ascii="宋体" w:hAnsi="宋体"/>
                <w:color w:val="auto"/>
                <w:kern w:val="0"/>
                <w:szCs w:val="21"/>
              </w:rPr>
              <w:t>+</w:t>
            </w:r>
            <w:r>
              <w:rPr>
                <w:rFonts w:hint="eastAsia" w:ascii="宋体" w:hAnsi="宋体"/>
                <w:color w:val="auto"/>
                <w:kern w:val="0"/>
                <w:szCs w:val="21"/>
              </w:rPr>
              <w:t>利润之和</w:t>
            </w:r>
          </w:p>
        </w:tc>
        <w:tc>
          <w:tcPr>
            <w:tcW w:w="781"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c>
          <w:tcPr>
            <w:tcW w:w="759"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r>
      <w:tr>
        <w:tblPrEx>
          <w:tblCellMar>
            <w:top w:w="0" w:type="dxa"/>
            <w:left w:w="108" w:type="dxa"/>
            <w:bottom w:w="0" w:type="dxa"/>
            <w:right w:w="108" w:type="dxa"/>
          </w:tblCellMar>
        </w:tblPrEx>
        <w:trPr>
          <w:trHeight w:val="539" w:hRule="atLeast"/>
          <w:jc w:val="center"/>
        </w:trPr>
        <w:tc>
          <w:tcPr>
            <w:tcW w:w="405" w:type="dxa"/>
            <w:vMerge w:val="continue"/>
            <w:tcBorders>
              <w:top w:val="nil"/>
              <w:left w:val="single" w:color="auto" w:sz="4" w:space="0"/>
              <w:bottom w:val="single" w:color="auto" w:sz="4" w:space="0"/>
              <w:right w:val="single" w:color="auto" w:sz="4" w:space="0"/>
            </w:tcBorders>
            <w:vAlign w:val="center"/>
          </w:tcPr>
          <w:p>
            <w:pPr>
              <w:spacing w:line="240" w:lineRule="exact"/>
              <w:jc w:val="left"/>
              <w:rPr>
                <w:rFonts w:ascii="宋体" w:hAnsi="宋体"/>
                <w:color w:val="auto"/>
                <w:kern w:val="0"/>
                <w:szCs w:val="21"/>
              </w:rPr>
            </w:pPr>
          </w:p>
        </w:tc>
        <w:tc>
          <w:tcPr>
            <w:tcW w:w="548"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2.8</w:t>
            </w:r>
          </w:p>
        </w:tc>
        <w:tc>
          <w:tcPr>
            <w:tcW w:w="3429"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材料单价</w:t>
            </w:r>
          </w:p>
        </w:tc>
        <w:tc>
          <w:tcPr>
            <w:tcW w:w="4442"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spacing w:val="-12"/>
                <w:kern w:val="0"/>
                <w:szCs w:val="21"/>
              </w:rPr>
            </w:pPr>
            <w:r>
              <w:rPr>
                <w:rFonts w:hint="eastAsia" w:ascii="宋体" w:hAnsi="宋体"/>
                <w:color w:val="auto"/>
                <w:spacing w:val="-12"/>
                <w:kern w:val="0"/>
                <w:szCs w:val="21"/>
              </w:rPr>
              <w:t>主要材料价格表中的单价与组成清单单价中的综合单价必须一致</w:t>
            </w:r>
          </w:p>
        </w:tc>
        <w:tc>
          <w:tcPr>
            <w:tcW w:w="781"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c>
          <w:tcPr>
            <w:tcW w:w="759"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r>
      <w:tr>
        <w:tblPrEx>
          <w:tblCellMar>
            <w:top w:w="0" w:type="dxa"/>
            <w:left w:w="108" w:type="dxa"/>
            <w:bottom w:w="0" w:type="dxa"/>
            <w:right w:w="108" w:type="dxa"/>
          </w:tblCellMar>
        </w:tblPrEx>
        <w:trPr>
          <w:trHeight w:val="509" w:hRule="atLeast"/>
          <w:jc w:val="center"/>
        </w:trPr>
        <w:tc>
          <w:tcPr>
            <w:tcW w:w="405" w:type="dxa"/>
            <w:vMerge w:val="restart"/>
            <w:tcBorders>
              <w:top w:val="nil"/>
              <w:left w:val="single" w:color="auto" w:sz="4" w:space="0"/>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3</w:t>
            </w:r>
          </w:p>
        </w:tc>
        <w:tc>
          <w:tcPr>
            <w:tcW w:w="548"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3.1</w:t>
            </w:r>
          </w:p>
        </w:tc>
        <w:tc>
          <w:tcPr>
            <w:tcW w:w="3429"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安全文明施工费</w:t>
            </w:r>
          </w:p>
        </w:tc>
        <w:tc>
          <w:tcPr>
            <w:tcW w:w="4442"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根据河南省计价依据规定计算</w:t>
            </w:r>
          </w:p>
        </w:tc>
        <w:tc>
          <w:tcPr>
            <w:tcW w:w="781"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c>
          <w:tcPr>
            <w:tcW w:w="759"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r>
      <w:tr>
        <w:tblPrEx>
          <w:tblCellMar>
            <w:top w:w="0" w:type="dxa"/>
            <w:left w:w="108" w:type="dxa"/>
            <w:bottom w:w="0" w:type="dxa"/>
            <w:right w:w="108" w:type="dxa"/>
          </w:tblCellMar>
        </w:tblPrEx>
        <w:trPr>
          <w:trHeight w:val="539" w:hRule="atLeast"/>
          <w:jc w:val="center"/>
        </w:trPr>
        <w:tc>
          <w:tcPr>
            <w:tcW w:w="405" w:type="dxa"/>
            <w:vMerge w:val="continue"/>
            <w:tcBorders>
              <w:top w:val="nil"/>
              <w:left w:val="single" w:color="auto" w:sz="4" w:space="0"/>
              <w:bottom w:val="single" w:color="auto" w:sz="4" w:space="0"/>
              <w:right w:val="single" w:color="auto" w:sz="4" w:space="0"/>
            </w:tcBorders>
            <w:vAlign w:val="center"/>
          </w:tcPr>
          <w:p>
            <w:pPr>
              <w:spacing w:line="240" w:lineRule="exact"/>
              <w:jc w:val="left"/>
              <w:rPr>
                <w:rFonts w:ascii="宋体" w:hAnsi="宋体"/>
                <w:color w:val="auto"/>
                <w:kern w:val="0"/>
                <w:szCs w:val="21"/>
              </w:rPr>
            </w:pPr>
          </w:p>
        </w:tc>
        <w:tc>
          <w:tcPr>
            <w:tcW w:w="548"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3.2</w:t>
            </w:r>
          </w:p>
        </w:tc>
        <w:tc>
          <w:tcPr>
            <w:tcW w:w="3429"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其他措施费（费率类）项目</w:t>
            </w:r>
          </w:p>
        </w:tc>
        <w:tc>
          <w:tcPr>
            <w:tcW w:w="4442"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根据招标文件要求自主报价</w:t>
            </w:r>
          </w:p>
        </w:tc>
        <w:tc>
          <w:tcPr>
            <w:tcW w:w="781"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c>
          <w:tcPr>
            <w:tcW w:w="759"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r>
      <w:tr>
        <w:tblPrEx>
          <w:tblCellMar>
            <w:top w:w="0" w:type="dxa"/>
            <w:left w:w="108" w:type="dxa"/>
            <w:bottom w:w="0" w:type="dxa"/>
            <w:right w:w="108" w:type="dxa"/>
          </w:tblCellMar>
        </w:tblPrEx>
        <w:trPr>
          <w:trHeight w:val="539" w:hRule="atLeast"/>
          <w:jc w:val="center"/>
        </w:trPr>
        <w:tc>
          <w:tcPr>
            <w:tcW w:w="405" w:type="dxa"/>
            <w:vMerge w:val="restart"/>
            <w:tcBorders>
              <w:top w:val="nil"/>
              <w:left w:val="single" w:color="auto" w:sz="4" w:space="0"/>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4</w:t>
            </w:r>
          </w:p>
        </w:tc>
        <w:tc>
          <w:tcPr>
            <w:tcW w:w="548"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4.1</w:t>
            </w:r>
          </w:p>
        </w:tc>
        <w:tc>
          <w:tcPr>
            <w:tcW w:w="3429"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其它项目费</w:t>
            </w:r>
          </w:p>
        </w:tc>
        <w:tc>
          <w:tcPr>
            <w:tcW w:w="4442"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各组成部分之和（暂列金额</w:t>
            </w:r>
            <w:r>
              <w:rPr>
                <w:rFonts w:ascii="宋体" w:hAnsi="宋体"/>
                <w:color w:val="auto"/>
                <w:kern w:val="0"/>
                <w:szCs w:val="21"/>
              </w:rPr>
              <w:t>+</w:t>
            </w:r>
            <w:r>
              <w:rPr>
                <w:rFonts w:hint="eastAsia" w:ascii="宋体" w:hAnsi="宋体"/>
                <w:color w:val="auto"/>
                <w:kern w:val="0"/>
                <w:szCs w:val="21"/>
              </w:rPr>
              <w:t>专业暂估价</w:t>
            </w:r>
            <w:r>
              <w:rPr>
                <w:rFonts w:ascii="宋体" w:hAnsi="宋体"/>
                <w:color w:val="auto"/>
                <w:kern w:val="0"/>
                <w:szCs w:val="21"/>
              </w:rPr>
              <w:t>+</w:t>
            </w:r>
            <w:r>
              <w:rPr>
                <w:rFonts w:hint="eastAsia" w:ascii="宋体" w:hAnsi="宋体"/>
                <w:color w:val="auto"/>
                <w:kern w:val="0"/>
                <w:szCs w:val="21"/>
              </w:rPr>
              <w:t>计日工费</w:t>
            </w:r>
            <w:r>
              <w:rPr>
                <w:rFonts w:ascii="宋体" w:hAnsi="宋体"/>
                <w:color w:val="auto"/>
                <w:kern w:val="0"/>
                <w:szCs w:val="21"/>
              </w:rPr>
              <w:t>+</w:t>
            </w:r>
            <w:r>
              <w:rPr>
                <w:rFonts w:hint="eastAsia" w:ascii="宋体" w:hAnsi="宋体"/>
                <w:color w:val="auto"/>
                <w:kern w:val="0"/>
                <w:szCs w:val="21"/>
              </w:rPr>
              <w:t>总承包服务费）</w:t>
            </w:r>
          </w:p>
        </w:tc>
        <w:tc>
          <w:tcPr>
            <w:tcW w:w="781"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c>
          <w:tcPr>
            <w:tcW w:w="759"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r>
      <w:tr>
        <w:tblPrEx>
          <w:tblCellMar>
            <w:top w:w="0" w:type="dxa"/>
            <w:left w:w="108" w:type="dxa"/>
            <w:bottom w:w="0" w:type="dxa"/>
            <w:right w:w="108" w:type="dxa"/>
          </w:tblCellMar>
        </w:tblPrEx>
        <w:trPr>
          <w:trHeight w:val="454" w:hRule="exact"/>
          <w:jc w:val="center"/>
        </w:trPr>
        <w:tc>
          <w:tcPr>
            <w:tcW w:w="405" w:type="dxa"/>
            <w:vMerge w:val="continue"/>
            <w:tcBorders>
              <w:top w:val="nil"/>
              <w:left w:val="single" w:color="auto" w:sz="4" w:space="0"/>
              <w:bottom w:val="single" w:color="auto" w:sz="4" w:space="0"/>
              <w:right w:val="single" w:color="auto" w:sz="4" w:space="0"/>
            </w:tcBorders>
            <w:vAlign w:val="center"/>
          </w:tcPr>
          <w:p>
            <w:pPr>
              <w:spacing w:line="240" w:lineRule="exact"/>
              <w:jc w:val="left"/>
              <w:rPr>
                <w:rFonts w:ascii="宋体" w:hAnsi="宋体"/>
                <w:color w:val="auto"/>
                <w:kern w:val="0"/>
                <w:szCs w:val="21"/>
              </w:rPr>
            </w:pPr>
          </w:p>
        </w:tc>
        <w:tc>
          <w:tcPr>
            <w:tcW w:w="548"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4.2</w:t>
            </w:r>
          </w:p>
        </w:tc>
        <w:tc>
          <w:tcPr>
            <w:tcW w:w="3429"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暂列金额</w:t>
            </w:r>
          </w:p>
        </w:tc>
        <w:tc>
          <w:tcPr>
            <w:tcW w:w="4442"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应与招标人价格一致</w:t>
            </w:r>
          </w:p>
        </w:tc>
        <w:tc>
          <w:tcPr>
            <w:tcW w:w="781"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c>
          <w:tcPr>
            <w:tcW w:w="759"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r>
      <w:tr>
        <w:tblPrEx>
          <w:tblCellMar>
            <w:top w:w="0" w:type="dxa"/>
            <w:left w:w="108" w:type="dxa"/>
            <w:bottom w:w="0" w:type="dxa"/>
            <w:right w:w="108" w:type="dxa"/>
          </w:tblCellMar>
        </w:tblPrEx>
        <w:trPr>
          <w:trHeight w:val="454" w:hRule="exact"/>
          <w:jc w:val="center"/>
        </w:trPr>
        <w:tc>
          <w:tcPr>
            <w:tcW w:w="405" w:type="dxa"/>
            <w:vMerge w:val="continue"/>
            <w:tcBorders>
              <w:top w:val="nil"/>
              <w:left w:val="single" w:color="auto" w:sz="4" w:space="0"/>
              <w:bottom w:val="single" w:color="auto" w:sz="4" w:space="0"/>
              <w:right w:val="single" w:color="auto" w:sz="4" w:space="0"/>
            </w:tcBorders>
            <w:vAlign w:val="center"/>
          </w:tcPr>
          <w:p>
            <w:pPr>
              <w:spacing w:line="240" w:lineRule="exact"/>
              <w:jc w:val="left"/>
              <w:rPr>
                <w:rFonts w:ascii="宋体" w:hAnsi="宋体"/>
                <w:color w:val="auto"/>
                <w:kern w:val="0"/>
                <w:szCs w:val="21"/>
              </w:rPr>
            </w:pPr>
          </w:p>
        </w:tc>
        <w:tc>
          <w:tcPr>
            <w:tcW w:w="548"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4.3</w:t>
            </w:r>
          </w:p>
        </w:tc>
        <w:tc>
          <w:tcPr>
            <w:tcW w:w="3429"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专业工程暂估价</w:t>
            </w:r>
          </w:p>
        </w:tc>
        <w:tc>
          <w:tcPr>
            <w:tcW w:w="4442"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应与招标人价格一致</w:t>
            </w:r>
          </w:p>
        </w:tc>
        <w:tc>
          <w:tcPr>
            <w:tcW w:w="781"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c>
          <w:tcPr>
            <w:tcW w:w="759"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r>
      <w:tr>
        <w:tblPrEx>
          <w:tblCellMar>
            <w:top w:w="0" w:type="dxa"/>
            <w:left w:w="108" w:type="dxa"/>
            <w:bottom w:w="0" w:type="dxa"/>
            <w:right w:w="108" w:type="dxa"/>
          </w:tblCellMar>
        </w:tblPrEx>
        <w:trPr>
          <w:trHeight w:val="454" w:hRule="exact"/>
          <w:jc w:val="center"/>
        </w:trPr>
        <w:tc>
          <w:tcPr>
            <w:tcW w:w="405" w:type="dxa"/>
            <w:vMerge w:val="continue"/>
            <w:tcBorders>
              <w:top w:val="nil"/>
              <w:left w:val="single" w:color="auto" w:sz="4" w:space="0"/>
              <w:bottom w:val="single" w:color="auto" w:sz="4" w:space="0"/>
              <w:right w:val="single" w:color="auto" w:sz="4" w:space="0"/>
            </w:tcBorders>
            <w:vAlign w:val="center"/>
          </w:tcPr>
          <w:p>
            <w:pPr>
              <w:spacing w:line="240" w:lineRule="exact"/>
              <w:jc w:val="left"/>
              <w:rPr>
                <w:rFonts w:ascii="宋体" w:hAnsi="宋体"/>
                <w:color w:val="auto"/>
                <w:kern w:val="0"/>
                <w:szCs w:val="21"/>
              </w:rPr>
            </w:pPr>
          </w:p>
        </w:tc>
        <w:tc>
          <w:tcPr>
            <w:tcW w:w="548"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4.4</w:t>
            </w:r>
          </w:p>
        </w:tc>
        <w:tc>
          <w:tcPr>
            <w:tcW w:w="3429"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计日工</w:t>
            </w:r>
          </w:p>
        </w:tc>
        <w:tc>
          <w:tcPr>
            <w:tcW w:w="4442"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应与招标人数量一致</w:t>
            </w:r>
          </w:p>
        </w:tc>
        <w:tc>
          <w:tcPr>
            <w:tcW w:w="781"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c>
          <w:tcPr>
            <w:tcW w:w="759"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r>
      <w:tr>
        <w:tblPrEx>
          <w:tblCellMar>
            <w:top w:w="0" w:type="dxa"/>
            <w:left w:w="108" w:type="dxa"/>
            <w:bottom w:w="0" w:type="dxa"/>
            <w:right w:w="108" w:type="dxa"/>
          </w:tblCellMar>
        </w:tblPrEx>
        <w:trPr>
          <w:trHeight w:val="454" w:hRule="exact"/>
          <w:jc w:val="center"/>
        </w:trPr>
        <w:tc>
          <w:tcPr>
            <w:tcW w:w="405" w:type="dxa"/>
            <w:vMerge w:val="continue"/>
            <w:tcBorders>
              <w:top w:val="nil"/>
              <w:left w:val="single" w:color="auto" w:sz="4" w:space="0"/>
              <w:bottom w:val="single" w:color="auto" w:sz="4" w:space="0"/>
              <w:right w:val="single" w:color="auto" w:sz="4" w:space="0"/>
            </w:tcBorders>
            <w:vAlign w:val="center"/>
          </w:tcPr>
          <w:p>
            <w:pPr>
              <w:spacing w:line="240" w:lineRule="exact"/>
              <w:jc w:val="left"/>
              <w:rPr>
                <w:rFonts w:ascii="宋体" w:hAnsi="宋体"/>
                <w:color w:val="auto"/>
                <w:kern w:val="0"/>
                <w:szCs w:val="21"/>
              </w:rPr>
            </w:pPr>
          </w:p>
        </w:tc>
        <w:tc>
          <w:tcPr>
            <w:tcW w:w="548"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4.5</w:t>
            </w:r>
          </w:p>
        </w:tc>
        <w:tc>
          <w:tcPr>
            <w:tcW w:w="3429"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总承包服务费</w:t>
            </w:r>
          </w:p>
        </w:tc>
        <w:tc>
          <w:tcPr>
            <w:tcW w:w="4442"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是否按招标文件要求计算</w:t>
            </w:r>
          </w:p>
        </w:tc>
        <w:tc>
          <w:tcPr>
            <w:tcW w:w="781"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c>
          <w:tcPr>
            <w:tcW w:w="759"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r>
      <w:tr>
        <w:tblPrEx>
          <w:tblCellMar>
            <w:top w:w="0" w:type="dxa"/>
            <w:left w:w="108" w:type="dxa"/>
            <w:bottom w:w="0" w:type="dxa"/>
            <w:right w:w="108" w:type="dxa"/>
          </w:tblCellMar>
        </w:tblPrEx>
        <w:trPr>
          <w:trHeight w:val="454" w:hRule="exact"/>
          <w:jc w:val="center"/>
        </w:trPr>
        <w:tc>
          <w:tcPr>
            <w:tcW w:w="40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5</w:t>
            </w:r>
          </w:p>
        </w:tc>
        <w:tc>
          <w:tcPr>
            <w:tcW w:w="548"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c>
          <w:tcPr>
            <w:tcW w:w="3429"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规费</w:t>
            </w:r>
          </w:p>
        </w:tc>
        <w:tc>
          <w:tcPr>
            <w:tcW w:w="4442"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根据河南省计价依据规定计算</w:t>
            </w:r>
          </w:p>
        </w:tc>
        <w:tc>
          <w:tcPr>
            <w:tcW w:w="781"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c>
          <w:tcPr>
            <w:tcW w:w="759"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r>
      <w:tr>
        <w:tblPrEx>
          <w:tblCellMar>
            <w:top w:w="0" w:type="dxa"/>
            <w:left w:w="108" w:type="dxa"/>
            <w:bottom w:w="0" w:type="dxa"/>
            <w:right w:w="108" w:type="dxa"/>
          </w:tblCellMar>
        </w:tblPrEx>
        <w:trPr>
          <w:trHeight w:val="454" w:hRule="exact"/>
          <w:jc w:val="center"/>
        </w:trPr>
        <w:tc>
          <w:tcPr>
            <w:tcW w:w="40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6</w:t>
            </w:r>
          </w:p>
        </w:tc>
        <w:tc>
          <w:tcPr>
            <w:tcW w:w="548"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c>
          <w:tcPr>
            <w:tcW w:w="3429"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增值税（税金）</w:t>
            </w:r>
          </w:p>
        </w:tc>
        <w:tc>
          <w:tcPr>
            <w:tcW w:w="4442"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根据河南省计价依据规定计算</w:t>
            </w:r>
          </w:p>
        </w:tc>
        <w:tc>
          <w:tcPr>
            <w:tcW w:w="781"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c>
          <w:tcPr>
            <w:tcW w:w="759"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r>
      <w:tr>
        <w:tblPrEx>
          <w:tblCellMar>
            <w:top w:w="0" w:type="dxa"/>
            <w:left w:w="108" w:type="dxa"/>
            <w:bottom w:w="0" w:type="dxa"/>
            <w:right w:w="108" w:type="dxa"/>
          </w:tblCellMar>
        </w:tblPrEx>
        <w:trPr>
          <w:trHeight w:val="471" w:hRule="exact"/>
          <w:jc w:val="center"/>
        </w:trPr>
        <w:tc>
          <w:tcPr>
            <w:tcW w:w="40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7</w:t>
            </w:r>
          </w:p>
        </w:tc>
        <w:tc>
          <w:tcPr>
            <w:tcW w:w="548"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c>
          <w:tcPr>
            <w:tcW w:w="7871"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hint="eastAsia" w:ascii="宋体" w:hAnsi="宋体"/>
                <w:color w:val="auto"/>
                <w:kern w:val="0"/>
                <w:szCs w:val="21"/>
              </w:rPr>
              <w:t>不违反法律、法规、规章、规范性文件规定的其它情况</w:t>
            </w:r>
          </w:p>
        </w:tc>
        <w:tc>
          <w:tcPr>
            <w:tcW w:w="781"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c>
          <w:tcPr>
            <w:tcW w:w="759"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r>
    </w:tbl>
    <w:p>
      <w:pPr>
        <w:spacing w:line="400" w:lineRule="exact"/>
        <w:ind w:firstLine="406" w:firstLineChars="200"/>
        <w:rPr>
          <w:rFonts w:ascii="宋体" w:hAnsi="宋体"/>
          <w:color w:val="auto"/>
          <w:kern w:val="0"/>
          <w:szCs w:val="21"/>
        </w:rPr>
      </w:pPr>
    </w:p>
    <w:p>
      <w:pPr>
        <w:spacing w:line="400" w:lineRule="exact"/>
        <w:ind w:firstLine="406" w:firstLineChars="200"/>
        <w:rPr>
          <w:rFonts w:ascii="宋体" w:hAnsi="宋体"/>
          <w:color w:val="auto"/>
        </w:rPr>
      </w:pPr>
      <w:r>
        <w:rPr>
          <w:rFonts w:hint="eastAsia" w:ascii="宋体" w:hAnsi="宋体"/>
          <w:color w:val="auto"/>
          <w:kern w:val="0"/>
          <w:szCs w:val="21"/>
        </w:rPr>
        <w:t>注：不在上述范围内且不具有实质性影响的内容，均不作为清标的依据或理由。</w:t>
      </w:r>
    </w:p>
    <w:p>
      <w:pPr>
        <w:rPr>
          <w:color w:val="auto"/>
        </w:rPr>
      </w:pPr>
      <w:r>
        <w:rPr>
          <w:color w:val="auto"/>
        </w:rPr>
        <w:br w:type="page"/>
      </w:r>
    </w:p>
    <w:p>
      <w:pPr>
        <w:pStyle w:val="6"/>
        <w:spacing w:after="0"/>
        <w:rPr>
          <w:rFonts w:hint="eastAsia" w:ascii="宋体" w:hAnsi="宋体" w:eastAsia="宋体" w:cs="宋体"/>
          <w:color w:val="auto"/>
          <w:lang w:eastAsia="zh-CN"/>
        </w:rPr>
      </w:pPr>
      <w:r>
        <w:rPr>
          <w:rFonts w:hint="eastAsia" w:ascii="宋体" w:hAnsi="宋体" w:cs="宋体"/>
          <w:color w:val="auto"/>
        </w:rPr>
        <w:t>附件</w:t>
      </w:r>
      <w:r>
        <w:rPr>
          <w:rFonts w:hint="eastAsia" w:ascii="宋体" w:hAnsi="宋体" w:cs="宋体"/>
          <w:color w:val="auto"/>
          <w:lang w:val="en-US" w:eastAsia="zh-CN"/>
        </w:rPr>
        <w:t>2</w:t>
      </w:r>
    </w:p>
    <w:p>
      <w:pPr>
        <w:autoSpaceDN w:val="0"/>
        <w:spacing w:line="360" w:lineRule="auto"/>
        <w:jc w:val="center"/>
        <w:rPr>
          <w:rFonts w:ascii="宋体" w:hAnsi="宋体" w:cs="宋体"/>
          <w:b/>
          <w:color w:val="auto"/>
          <w:sz w:val="32"/>
          <w:szCs w:val="32"/>
        </w:rPr>
      </w:pPr>
      <w:r>
        <w:rPr>
          <w:rFonts w:hint="eastAsia" w:ascii="宋体" w:hAnsi="宋体" w:cs="宋体"/>
          <w:b/>
          <w:color w:val="auto"/>
          <w:sz w:val="32"/>
          <w:szCs w:val="32"/>
        </w:rPr>
        <w:t>建设工程危险性较大的分部分项工程清单</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b/>
          <w:bCs/>
          <w:color w:val="auto"/>
          <w:szCs w:val="21"/>
        </w:rPr>
      </w:pPr>
      <w:r>
        <w:rPr>
          <w:rFonts w:hint="eastAsia" w:ascii="宋体" w:hAnsi="宋体" w:cs="仿宋"/>
          <w:b/>
          <w:bCs/>
          <w:color w:val="auto"/>
          <w:szCs w:val="21"/>
        </w:rPr>
        <w:t>一、基坑支护降水工程和土方开挖</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（一）普通</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开挖深度超过3米（含3米）或虽未超过3米但地质条件和周围环境复杂的基坑（槽）支护、降水工程。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（二）超过一定规模</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开挖深度超过5米（含5米）或虽未超过5米但地质条件和周围环境复杂的基坑（槽）支护、降水工程。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b/>
          <w:bCs/>
          <w:color w:val="auto"/>
          <w:szCs w:val="21"/>
        </w:rPr>
      </w:pPr>
      <w:r>
        <w:rPr>
          <w:rFonts w:hint="eastAsia" w:ascii="宋体" w:hAnsi="宋体" w:cs="仿宋"/>
          <w:b/>
          <w:bCs/>
          <w:color w:val="auto"/>
          <w:szCs w:val="21"/>
        </w:rPr>
        <w:t>二、模板工程及支撑体系</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（一）普通</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1、工具式模板工程（大模板）。</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2、搭设高度5米及以上，跨度10米及以上，施工总荷载10KN/㎡及以上，集中线荷载15KN/㎡及以上，高度大于支撑水平投影宽度且相对独立无联系构件的混凝土模板支撑工程。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3、用于钢结构安装等满堂支撑体系。</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（二）超过一定规模</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1、工具式模板工程（滑模、爬模、飞模等）；</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2、搭设高度8米及以上，跨度18米及以上，施工总荷载15KN/㎡及以上，集中线荷载20KN/㎡及以上。</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3、用于钢结构安装等满堂支撑体系，承受单点集中荷载700KG以上。</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b/>
          <w:bCs/>
          <w:color w:val="auto"/>
          <w:szCs w:val="21"/>
        </w:rPr>
      </w:pPr>
      <w:r>
        <w:rPr>
          <w:rFonts w:hint="eastAsia" w:ascii="宋体" w:hAnsi="宋体" w:cs="仿宋"/>
          <w:b/>
          <w:bCs/>
          <w:color w:val="auto"/>
          <w:szCs w:val="21"/>
        </w:rPr>
        <w:t>三、起重吊装及安装拆卸工程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（一）普通</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1、采用非常规起重设备、方法，且单件起吊重量在10KN及以上的起重吊装工程。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2、采用起重机械进行安装的工程。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3、起重机械设备自身的安装、拆卸。</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（二）超过一定规模</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1、采用非常规起重设备、方法，且单件起吊重量在100KN及以上的起重吊装工程。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2、起重量300KN及以上的起重设备安装工程。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3、高度200M及以上内爬起重设备的拆除工程。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b/>
          <w:bCs/>
          <w:color w:val="auto"/>
          <w:szCs w:val="21"/>
        </w:rPr>
      </w:pPr>
      <w:r>
        <w:rPr>
          <w:rFonts w:hint="eastAsia" w:ascii="宋体" w:hAnsi="宋体" w:cs="仿宋"/>
          <w:b/>
          <w:bCs/>
          <w:color w:val="auto"/>
          <w:szCs w:val="21"/>
        </w:rPr>
        <w:t>四、脚手架工程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（一）普通</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1、搭设高度24M及以上的落地式钢管脚手架工程。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2、附着式整体和分片提升脚手架工程。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3、悬挑式脚手架工程。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4、吊篮脚手架工程。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5、自制卸料平台、移动操作平台工程。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6、新型及异型脚手架工程。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（二）超过一定规模</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1、搭设高度50M及以上的落地式钢管脚手架工程。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2、提升高度150M及以上附着式整体和分片提升脚手架工程。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3、架体高度20M及以上悬挑式脚手架工程。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b/>
          <w:bCs/>
          <w:color w:val="auto"/>
          <w:szCs w:val="21"/>
        </w:rPr>
      </w:pPr>
      <w:r>
        <w:rPr>
          <w:rFonts w:hint="eastAsia" w:ascii="宋体" w:hAnsi="宋体" w:cs="仿宋"/>
          <w:b/>
          <w:bCs/>
          <w:color w:val="auto"/>
          <w:szCs w:val="21"/>
        </w:rPr>
        <w:t>五、拆除、爆破工程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（一）普通</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建筑物、构筑物拆除工程。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（二）超过一定规模</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1、拆用爆破拆除的工程。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2、码头、桥梁、高架、烟囱、水塔或拆除中容易引起有毒有害气（液）体或粉尘扩散、易燃易爆事故发生的特殊建、构筑物的拆除工程。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3、可能影响行人、交通、电力设施、通讯设施或其他建、构筑物安全的拆除工程。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4、文物保护建筑、优秀历史建筑或历史文化风貌区控制范围的拆除工程。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b/>
          <w:bCs/>
          <w:color w:val="auto"/>
          <w:szCs w:val="21"/>
        </w:rPr>
      </w:pPr>
      <w:r>
        <w:rPr>
          <w:rFonts w:hint="eastAsia" w:ascii="宋体" w:hAnsi="宋体" w:cs="仿宋"/>
          <w:b/>
          <w:bCs/>
          <w:color w:val="auto"/>
          <w:szCs w:val="21"/>
        </w:rPr>
        <w:t>六、其他</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（一）普通</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1、建筑幕墙安装工程。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2、钢结构、网架安装工程。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3、人工挖孔桩工程。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4、预应力工程。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5、采用新技术、新工艺、新材料、新设备及尚无相关技术标准的危险性较大的分部分项工程。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（二）超过一定规模</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1、施工高度50M及以上的建筑幕墙安装工程。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2、跨度大于36M及以上的钢结构安装工程；跨度大于60M及以上的网架和索膜结构安装工程。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3、开挖深度超过16M的人工挖孔桩工程。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4、地下暗挖工程、顶管工程、水下作业工程。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包括但不限于以上内容，请根据本项目实际情况及相关法律法规自行判定填报。</w:t>
      </w:r>
    </w:p>
    <w:p>
      <w:pPr>
        <w:spacing w:line="360" w:lineRule="auto"/>
        <w:ind w:firstLine="406" w:firstLineChars="200"/>
        <w:rPr>
          <w:color w:val="auto"/>
        </w:rPr>
      </w:pPr>
      <w:r>
        <w:rPr>
          <w:color w:val="auto"/>
        </w:rPr>
        <w:br w:type="page"/>
      </w:r>
    </w:p>
    <w:p>
      <w:pPr>
        <w:rPr>
          <w:color w:val="auto"/>
        </w:rPr>
      </w:pPr>
    </w:p>
    <w:p>
      <w:pPr>
        <w:pStyle w:val="4"/>
        <w:keepNext w:val="0"/>
        <w:keepLines w:val="0"/>
        <w:spacing w:before="120" w:after="120" w:line="400" w:lineRule="exact"/>
        <w:jc w:val="center"/>
        <w:rPr>
          <w:rFonts w:ascii="黑体" w:hAnsi="黑体" w:eastAsia="黑体"/>
          <w:b w:val="0"/>
          <w:bCs w:val="0"/>
          <w:color w:val="auto"/>
          <w:sz w:val="32"/>
        </w:rPr>
      </w:pPr>
      <w:bookmarkStart w:id="208" w:name="_Toc3102"/>
      <w:r>
        <w:rPr>
          <w:rFonts w:hint="eastAsia" w:ascii="黑体" w:hAnsi="黑体" w:eastAsia="黑体"/>
          <w:b w:val="0"/>
          <w:bCs w:val="0"/>
          <w:color w:val="auto"/>
          <w:sz w:val="32"/>
        </w:rPr>
        <w:t xml:space="preserve">第四章 </w:t>
      </w:r>
      <w:r>
        <w:rPr>
          <w:rFonts w:hint="eastAsia" w:ascii="黑体" w:hAnsi="黑体" w:eastAsia="黑体"/>
          <w:b w:val="0"/>
          <w:bCs w:val="0"/>
          <w:color w:val="auto"/>
          <w:sz w:val="32"/>
          <w:lang w:val="en-US" w:eastAsia="zh-CN"/>
        </w:rPr>
        <w:t xml:space="preserve"> </w:t>
      </w:r>
      <w:r>
        <w:rPr>
          <w:rFonts w:hint="eastAsia" w:ascii="黑体" w:hAnsi="黑体" w:eastAsia="黑体"/>
          <w:b w:val="0"/>
          <w:bCs w:val="0"/>
          <w:color w:val="auto"/>
          <w:sz w:val="32"/>
        </w:rPr>
        <w:t>合同条款及格式</w:t>
      </w:r>
      <w:bookmarkEnd w:id="208"/>
    </w:p>
    <w:p>
      <w:pPr>
        <w:ind w:firstLine="406" w:firstLineChars="200"/>
        <w:rPr>
          <w:color w:val="auto"/>
        </w:rPr>
      </w:pPr>
      <w:r>
        <w:rPr>
          <w:color w:val="auto"/>
        </w:rPr>
        <w:t>本项目使用《建设工程施工合同（示范文本）》（GF-2017-0201），具体由招标人与中标人协商签订合同。</w:t>
      </w:r>
    </w:p>
    <w:p>
      <w:pPr>
        <w:ind w:firstLine="406" w:firstLineChars="200"/>
        <w:rPr>
          <w:color w:val="auto"/>
        </w:rPr>
      </w:pPr>
      <w:r>
        <w:rPr>
          <w:color w:val="auto"/>
        </w:rPr>
        <w:t>示范文本下载地址：中华人民共和国城乡建设部网站（http://www.mohurd.gov.cn）“办事大厅”下载中心栏。</w:t>
      </w: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rFonts w:ascii="黑体" w:hAnsi="黑体" w:eastAsia="黑体"/>
          <w:color w:val="auto"/>
          <w:sz w:val="32"/>
        </w:rPr>
      </w:pPr>
    </w:p>
    <w:p>
      <w:pPr>
        <w:pStyle w:val="4"/>
        <w:spacing w:before="120" w:after="120" w:line="400" w:lineRule="exact"/>
        <w:jc w:val="center"/>
        <w:rPr>
          <w:rFonts w:ascii="黑体" w:hAnsi="黑体" w:eastAsia="黑体"/>
          <w:b w:val="0"/>
          <w:bCs w:val="0"/>
          <w:color w:val="auto"/>
          <w:sz w:val="32"/>
        </w:rPr>
      </w:pPr>
      <w:bookmarkStart w:id="209" w:name="_Toc16146"/>
      <w:r>
        <w:rPr>
          <w:rFonts w:hint="eastAsia" w:ascii="黑体" w:hAnsi="黑体" w:eastAsia="黑体"/>
          <w:b w:val="0"/>
          <w:bCs w:val="0"/>
          <w:color w:val="auto"/>
          <w:sz w:val="32"/>
        </w:rPr>
        <w:t>第五章  工程量清单</w:t>
      </w:r>
      <w:bookmarkEnd w:id="209"/>
    </w:p>
    <w:p>
      <w:pPr>
        <w:spacing w:line="400" w:lineRule="exact"/>
        <w:rPr>
          <w:color w:val="auto"/>
        </w:rPr>
      </w:pPr>
    </w:p>
    <w:p>
      <w:pPr>
        <w:spacing w:line="360" w:lineRule="auto"/>
        <w:ind w:firstLine="406" w:firstLineChars="200"/>
        <w:rPr>
          <w:rFonts w:ascii="宋体" w:hAnsi="宋体" w:cs="仿宋"/>
          <w:color w:val="auto"/>
          <w:szCs w:val="21"/>
        </w:rPr>
      </w:pPr>
      <w:r>
        <w:rPr>
          <w:rFonts w:hint="eastAsia" w:ascii="宋体" w:hAnsi="宋体" w:cs="仿宋"/>
          <w:color w:val="auto"/>
          <w:szCs w:val="21"/>
        </w:rPr>
        <w:t>本项目清单为电子版（另附），请投标单位登录洛阳市公共资源交易网-洛阳市电子招投标交易平台入口在线下载。</w:t>
      </w:r>
    </w:p>
    <w:p>
      <w:pPr>
        <w:spacing w:line="360" w:lineRule="auto"/>
        <w:rPr>
          <w:color w:val="auto"/>
        </w:rPr>
      </w:pPr>
    </w:p>
    <w:p>
      <w:pPr>
        <w:topLinePunct/>
        <w:spacing w:line="440" w:lineRule="exact"/>
        <w:jc w:val="center"/>
        <w:rPr>
          <w:color w:val="auto"/>
        </w:rPr>
      </w:pPr>
    </w:p>
    <w:p>
      <w:pPr>
        <w:topLinePunct/>
        <w:spacing w:line="440" w:lineRule="exact"/>
        <w:jc w:val="center"/>
        <w:rPr>
          <w:color w:val="auto"/>
        </w:rPr>
      </w:pPr>
    </w:p>
    <w:p>
      <w:pPr>
        <w:topLinePunct/>
        <w:spacing w:line="440" w:lineRule="exact"/>
        <w:jc w:val="center"/>
        <w:rPr>
          <w:color w:val="auto"/>
        </w:rPr>
      </w:pPr>
    </w:p>
    <w:p>
      <w:pPr>
        <w:topLinePunct/>
        <w:spacing w:line="440" w:lineRule="exact"/>
        <w:jc w:val="center"/>
        <w:rPr>
          <w:color w:val="auto"/>
        </w:rPr>
      </w:pPr>
    </w:p>
    <w:p>
      <w:pPr>
        <w:topLinePunct/>
        <w:spacing w:line="440" w:lineRule="exact"/>
        <w:jc w:val="center"/>
        <w:rPr>
          <w:color w:val="auto"/>
        </w:rPr>
      </w:pPr>
    </w:p>
    <w:p>
      <w:pPr>
        <w:topLinePunct/>
        <w:spacing w:line="440" w:lineRule="exact"/>
        <w:jc w:val="center"/>
        <w:rPr>
          <w:color w:val="auto"/>
        </w:rPr>
      </w:pPr>
    </w:p>
    <w:p>
      <w:pPr>
        <w:topLinePunct/>
        <w:spacing w:line="440" w:lineRule="exact"/>
        <w:jc w:val="center"/>
        <w:rPr>
          <w:color w:val="auto"/>
        </w:rPr>
      </w:pPr>
    </w:p>
    <w:p>
      <w:pPr>
        <w:topLinePunct/>
        <w:spacing w:line="440" w:lineRule="exact"/>
        <w:jc w:val="center"/>
        <w:rPr>
          <w:color w:val="auto"/>
        </w:rPr>
      </w:pPr>
    </w:p>
    <w:p>
      <w:pPr>
        <w:topLinePunct/>
        <w:spacing w:line="440" w:lineRule="exact"/>
        <w:jc w:val="center"/>
        <w:rPr>
          <w:color w:val="auto"/>
        </w:rPr>
      </w:pPr>
    </w:p>
    <w:p>
      <w:pPr>
        <w:topLinePunct/>
        <w:spacing w:line="440" w:lineRule="exact"/>
        <w:jc w:val="center"/>
        <w:rPr>
          <w:color w:val="auto"/>
        </w:rPr>
      </w:pPr>
    </w:p>
    <w:p>
      <w:pPr>
        <w:topLinePunct/>
        <w:spacing w:line="440" w:lineRule="exact"/>
        <w:jc w:val="center"/>
        <w:rPr>
          <w:color w:val="auto"/>
        </w:rPr>
      </w:pPr>
    </w:p>
    <w:p>
      <w:pPr>
        <w:topLinePunct/>
        <w:spacing w:line="440" w:lineRule="exact"/>
        <w:jc w:val="center"/>
        <w:rPr>
          <w:color w:val="auto"/>
        </w:rPr>
      </w:pPr>
    </w:p>
    <w:p>
      <w:pPr>
        <w:topLinePunct/>
        <w:spacing w:line="440" w:lineRule="exact"/>
        <w:jc w:val="center"/>
        <w:rPr>
          <w:color w:val="auto"/>
        </w:rPr>
      </w:pPr>
    </w:p>
    <w:p>
      <w:pPr>
        <w:topLinePunct/>
        <w:spacing w:line="440" w:lineRule="exact"/>
        <w:jc w:val="center"/>
        <w:rPr>
          <w:color w:val="auto"/>
        </w:rPr>
      </w:pPr>
    </w:p>
    <w:p>
      <w:pPr>
        <w:topLinePunct/>
        <w:spacing w:line="440" w:lineRule="exact"/>
        <w:jc w:val="center"/>
        <w:rPr>
          <w:color w:val="auto"/>
        </w:rPr>
      </w:pPr>
    </w:p>
    <w:p>
      <w:pPr>
        <w:topLinePunct/>
        <w:spacing w:line="440" w:lineRule="exact"/>
        <w:jc w:val="center"/>
        <w:rPr>
          <w:color w:val="auto"/>
        </w:rPr>
      </w:pPr>
    </w:p>
    <w:p>
      <w:pPr>
        <w:jc w:val="center"/>
        <w:rPr>
          <w:rFonts w:ascii="黑体" w:hAnsi="黑体" w:eastAsia="黑体"/>
          <w:color w:val="auto"/>
          <w:kern w:val="44"/>
          <w:sz w:val="32"/>
          <w:szCs w:val="44"/>
        </w:rPr>
      </w:pPr>
    </w:p>
    <w:p>
      <w:pPr>
        <w:jc w:val="center"/>
        <w:rPr>
          <w:rFonts w:ascii="黑体" w:hAnsi="黑体" w:eastAsia="黑体"/>
          <w:color w:val="auto"/>
          <w:kern w:val="44"/>
          <w:sz w:val="32"/>
          <w:szCs w:val="44"/>
        </w:rPr>
      </w:pPr>
    </w:p>
    <w:p>
      <w:pPr>
        <w:jc w:val="center"/>
        <w:rPr>
          <w:rFonts w:ascii="黑体" w:hAnsi="黑体" w:eastAsia="黑体"/>
          <w:color w:val="auto"/>
          <w:kern w:val="44"/>
          <w:sz w:val="32"/>
          <w:szCs w:val="44"/>
        </w:rPr>
      </w:pPr>
    </w:p>
    <w:p>
      <w:pPr>
        <w:jc w:val="center"/>
        <w:rPr>
          <w:rFonts w:ascii="黑体" w:hAnsi="黑体" w:eastAsia="黑体"/>
          <w:color w:val="auto"/>
          <w:kern w:val="44"/>
          <w:sz w:val="32"/>
          <w:szCs w:val="44"/>
        </w:rPr>
      </w:pPr>
    </w:p>
    <w:p>
      <w:pPr>
        <w:jc w:val="center"/>
        <w:rPr>
          <w:rFonts w:ascii="黑体" w:hAnsi="黑体" w:eastAsia="黑体"/>
          <w:color w:val="auto"/>
          <w:kern w:val="44"/>
          <w:sz w:val="32"/>
          <w:szCs w:val="44"/>
        </w:rPr>
      </w:pPr>
    </w:p>
    <w:p>
      <w:pPr>
        <w:jc w:val="center"/>
        <w:rPr>
          <w:rFonts w:ascii="黑体" w:hAnsi="黑体" w:eastAsia="黑体"/>
          <w:color w:val="auto"/>
          <w:kern w:val="44"/>
          <w:sz w:val="32"/>
          <w:szCs w:val="44"/>
        </w:rPr>
      </w:pPr>
    </w:p>
    <w:p>
      <w:pPr>
        <w:rPr>
          <w:color w:val="auto"/>
        </w:rPr>
      </w:pPr>
    </w:p>
    <w:p>
      <w:pPr>
        <w:pStyle w:val="4"/>
        <w:spacing w:before="120" w:after="120" w:line="400" w:lineRule="exact"/>
        <w:jc w:val="center"/>
        <w:rPr>
          <w:rFonts w:ascii="黑体" w:hAnsi="黑体" w:eastAsia="黑体"/>
          <w:b w:val="0"/>
          <w:bCs w:val="0"/>
          <w:color w:val="auto"/>
          <w:sz w:val="32"/>
        </w:rPr>
      </w:pPr>
      <w:bookmarkStart w:id="210" w:name="_Toc12364"/>
      <w:r>
        <w:rPr>
          <w:rFonts w:hint="eastAsia" w:ascii="黑体" w:hAnsi="黑体" w:eastAsia="黑体"/>
          <w:b w:val="0"/>
          <w:bCs w:val="0"/>
          <w:color w:val="auto"/>
          <w:sz w:val="32"/>
        </w:rPr>
        <w:t>第六章  图  纸</w:t>
      </w:r>
      <w:bookmarkEnd w:id="210"/>
    </w:p>
    <w:p>
      <w:pPr>
        <w:spacing w:line="360" w:lineRule="auto"/>
        <w:ind w:firstLine="406" w:firstLineChars="200"/>
        <w:rPr>
          <w:rFonts w:ascii="宋体" w:hAnsi="宋体" w:cs="仿宋"/>
          <w:color w:val="auto"/>
          <w:szCs w:val="21"/>
        </w:rPr>
      </w:pPr>
      <w:r>
        <w:rPr>
          <w:rFonts w:hint="eastAsia" w:ascii="宋体" w:hAnsi="宋体" w:cs="仿宋"/>
          <w:color w:val="auto"/>
          <w:szCs w:val="21"/>
        </w:rPr>
        <w:t>本项目图纸为电子版（另附），投标单位登录洛阳市公共资源交易网-洛阳市电子招投标交易平台入口在线下载电子版图纸。</w:t>
      </w:r>
    </w:p>
    <w:p>
      <w:pPr>
        <w:spacing w:line="400" w:lineRule="exact"/>
        <w:rPr>
          <w:color w:val="auto"/>
        </w:rPr>
      </w:pPr>
    </w:p>
    <w:p>
      <w:pPr>
        <w:spacing w:line="400" w:lineRule="exact"/>
        <w:rPr>
          <w:color w:val="auto"/>
        </w:rPr>
      </w:pPr>
      <w:r>
        <w:rPr>
          <w:color w:val="auto"/>
        </w:rPr>
        <w:br w:type="page"/>
      </w:r>
    </w:p>
    <w:p>
      <w:pPr>
        <w:spacing w:line="400" w:lineRule="exact"/>
        <w:rPr>
          <w:color w:val="auto"/>
        </w:rPr>
      </w:pPr>
    </w:p>
    <w:p>
      <w:pPr>
        <w:pStyle w:val="4"/>
        <w:spacing w:before="120" w:after="120" w:line="400" w:lineRule="exact"/>
        <w:jc w:val="center"/>
        <w:rPr>
          <w:rFonts w:ascii="黑体" w:hAnsi="黑体" w:eastAsia="黑体"/>
          <w:b w:val="0"/>
          <w:bCs w:val="0"/>
          <w:color w:val="auto"/>
          <w:sz w:val="32"/>
        </w:rPr>
      </w:pPr>
      <w:bookmarkStart w:id="211" w:name="_Toc17798"/>
      <w:r>
        <w:rPr>
          <w:rFonts w:hint="eastAsia" w:ascii="黑体" w:hAnsi="黑体" w:eastAsia="黑体"/>
          <w:b w:val="0"/>
          <w:bCs w:val="0"/>
          <w:color w:val="auto"/>
          <w:sz w:val="32"/>
        </w:rPr>
        <w:t>第七章  技术标准和要求</w:t>
      </w:r>
      <w:bookmarkEnd w:id="211"/>
    </w:p>
    <w:p>
      <w:pPr>
        <w:spacing w:line="360" w:lineRule="auto"/>
        <w:ind w:firstLine="406" w:firstLineChars="200"/>
        <w:rPr>
          <w:color w:val="auto"/>
        </w:rPr>
      </w:pPr>
      <w:r>
        <w:rPr>
          <w:rFonts w:hint="eastAsia"/>
          <w:color w:val="auto"/>
        </w:rPr>
        <w:t>1、本工程所采用的材料、设备和施工工艺，在实施过程中均应符合或遵循本施工图纸中引用的技</w:t>
      </w:r>
    </w:p>
    <w:p>
      <w:pPr>
        <w:spacing w:line="360" w:lineRule="auto"/>
        <w:rPr>
          <w:color w:val="auto"/>
        </w:rPr>
      </w:pPr>
      <w:r>
        <w:rPr>
          <w:rFonts w:hint="eastAsia"/>
          <w:color w:val="auto"/>
        </w:rPr>
        <w:t>术规范和标准。所采用的规范或标准如出现不一致时，以标准高的为准，本施工图纸中没有的，以</w:t>
      </w:r>
    </w:p>
    <w:p>
      <w:pPr>
        <w:spacing w:line="360" w:lineRule="auto"/>
        <w:rPr>
          <w:color w:val="auto"/>
        </w:rPr>
      </w:pPr>
      <w:r>
        <w:rPr>
          <w:rFonts w:hint="eastAsia"/>
          <w:color w:val="auto"/>
        </w:rPr>
        <w:t>国家现行规范为准。</w:t>
      </w:r>
    </w:p>
    <w:p>
      <w:pPr>
        <w:spacing w:line="360" w:lineRule="auto"/>
        <w:ind w:firstLine="406" w:firstLineChars="200"/>
        <w:rPr>
          <w:color w:val="auto"/>
        </w:rPr>
      </w:pPr>
      <w:r>
        <w:rPr>
          <w:rFonts w:hint="eastAsia"/>
          <w:color w:val="auto"/>
        </w:rPr>
        <w:t>技术要求及规范与新规范、新技术、新标准不一致时，以新技术规范标准和施工图纸要求为准。</w:t>
      </w:r>
    </w:p>
    <w:p>
      <w:pPr>
        <w:spacing w:line="360" w:lineRule="auto"/>
        <w:ind w:firstLine="406" w:firstLineChars="200"/>
        <w:rPr>
          <w:color w:val="auto"/>
          <w:highlight w:val="yellow"/>
        </w:rPr>
      </w:pPr>
    </w:p>
    <w:p>
      <w:pPr>
        <w:spacing w:line="360" w:lineRule="auto"/>
        <w:ind w:firstLine="406" w:firstLineChars="200"/>
        <w:rPr>
          <w:color w:val="auto"/>
          <w:highlight w:val="yellow"/>
        </w:rPr>
      </w:pPr>
    </w:p>
    <w:p>
      <w:pPr>
        <w:spacing w:line="360" w:lineRule="auto"/>
        <w:rPr>
          <w:color w:val="auto"/>
        </w:rPr>
      </w:pPr>
      <w:r>
        <w:rPr>
          <w:color w:val="auto"/>
        </w:rPr>
        <w:br w:type="page"/>
      </w:r>
    </w:p>
    <w:p>
      <w:pPr>
        <w:spacing w:line="400" w:lineRule="exact"/>
        <w:rPr>
          <w:rFonts w:ascii="黑体" w:hAnsi="黑体" w:eastAsia="黑体"/>
          <w:b/>
          <w:bCs/>
          <w:color w:val="auto"/>
          <w:sz w:val="32"/>
        </w:rPr>
      </w:pPr>
    </w:p>
    <w:p>
      <w:pPr>
        <w:pStyle w:val="4"/>
        <w:spacing w:before="120" w:after="120" w:line="400" w:lineRule="exact"/>
        <w:jc w:val="center"/>
        <w:rPr>
          <w:rFonts w:ascii="黑体" w:hAnsi="黑体" w:eastAsia="黑体"/>
          <w:b w:val="0"/>
          <w:bCs w:val="0"/>
          <w:color w:val="auto"/>
          <w:sz w:val="32"/>
        </w:rPr>
      </w:pPr>
      <w:bookmarkStart w:id="212" w:name="_Toc30097"/>
      <w:r>
        <w:rPr>
          <w:rFonts w:hint="eastAsia" w:ascii="黑体" w:hAnsi="黑体" w:eastAsia="黑体"/>
          <w:b w:val="0"/>
          <w:bCs w:val="0"/>
          <w:color w:val="auto"/>
          <w:sz w:val="32"/>
        </w:rPr>
        <w:t>第八章  投标文件格式</w:t>
      </w:r>
      <w:bookmarkEnd w:id="212"/>
    </w:p>
    <w:p>
      <w:pPr>
        <w:spacing w:line="400" w:lineRule="exact"/>
        <w:jc w:val="right"/>
        <w:rPr>
          <w:rFonts w:eastAsia="黑体"/>
          <w:color w:val="auto"/>
          <w:sz w:val="20"/>
          <w:szCs w:val="20"/>
        </w:rPr>
      </w:pPr>
    </w:p>
    <w:p>
      <w:pPr>
        <w:spacing w:line="440" w:lineRule="exact"/>
        <w:rPr>
          <w:rFonts w:eastAsia="黑体"/>
          <w:color w:val="auto"/>
          <w:sz w:val="20"/>
          <w:szCs w:val="20"/>
        </w:rPr>
      </w:pPr>
    </w:p>
    <w:p>
      <w:pPr>
        <w:jc w:val="center"/>
        <w:rPr>
          <w:rFonts w:eastAsia="黑体"/>
          <w:color w:val="auto"/>
          <w:sz w:val="28"/>
          <w:szCs w:val="28"/>
        </w:rPr>
      </w:pPr>
      <w:r>
        <w:rPr>
          <w:rFonts w:hint="eastAsia" w:eastAsia="黑体"/>
          <w:color w:val="auto"/>
          <w:sz w:val="28"/>
          <w:szCs w:val="28"/>
          <w:u w:val="single"/>
        </w:rPr>
        <w:t xml:space="preserve">                   </w:t>
      </w:r>
      <w:bookmarkStart w:id="213" w:name="_Toc25756_WPSOffice_Level1"/>
      <w:r>
        <w:rPr>
          <w:rFonts w:eastAsia="黑体"/>
          <w:color w:val="auto"/>
          <w:sz w:val="28"/>
          <w:szCs w:val="28"/>
          <w:u w:val="single"/>
        </w:rPr>
        <w:t>（项目名称）</w:t>
      </w:r>
      <w:bookmarkEnd w:id="213"/>
      <w:r>
        <w:rPr>
          <w:rFonts w:hint="eastAsia" w:eastAsia="黑体"/>
          <w:color w:val="auto"/>
          <w:sz w:val="28"/>
          <w:szCs w:val="28"/>
        </w:rPr>
        <w:t xml:space="preserve"> </w:t>
      </w:r>
    </w:p>
    <w:p>
      <w:pPr>
        <w:jc w:val="left"/>
        <w:rPr>
          <w:rFonts w:eastAsia="黑体"/>
          <w:color w:val="auto"/>
          <w:sz w:val="28"/>
          <w:szCs w:val="28"/>
        </w:rPr>
      </w:pPr>
      <w:r>
        <w:rPr>
          <w:rFonts w:hint="eastAsia" w:eastAsia="黑体"/>
          <w:color w:val="auto"/>
          <w:sz w:val="28"/>
          <w:szCs w:val="28"/>
        </w:rPr>
        <w:t xml:space="preserve">      </w:t>
      </w:r>
    </w:p>
    <w:p>
      <w:pPr>
        <w:rPr>
          <w:rFonts w:eastAsia="黑体"/>
          <w:color w:val="auto"/>
          <w:sz w:val="20"/>
          <w:szCs w:val="20"/>
        </w:rPr>
      </w:pPr>
    </w:p>
    <w:p>
      <w:pPr>
        <w:rPr>
          <w:rFonts w:eastAsia="黑体"/>
          <w:color w:val="auto"/>
          <w:sz w:val="20"/>
          <w:szCs w:val="20"/>
        </w:rPr>
      </w:pPr>
    </w:p>
    <w:p>
      <w:pPr>
        <w:rPr>
          <w:rFonts w:eastAsia="黑体"/>
          <w:color w:val="auto"/>
          <w:sz w:val="20"/>
          <w:szCs w:val="20"/>
        </w:rPr>
      </w:pPr>
    </w:p>
    <w:p>
      <w:pPr>
        <w:rPr>
          <w:rFonts w:eastAsia="黑体"/>
          <w:color w:val="auto"/>
          <w:sz w:val="20"/>
          <w:szCs w:val="20"/>
        </w:rPr>
      </w:pPr>
    </w:p>
    <w:p>
      <w:pPr>
        <w:rPr>
          <w:rFonts w:eastAsia="黑体"/>
          <w:color w:val="auto"/>
          <w:sz w:val="20"/>
          <w:szCs w:val="20"/>
        </w:rPr>
      </w:pPr>
    </w:p>
    <w:p>
      <w:pPr>
        <w:jc w:val="center"/>
        <w:rPr>
          <w:rFonts w:eastAsia="黑体"/>
          <w:color w:val="auto"/>
          <w:sz w:val="72"/>
          <w:szCs w:val="44"/>
        </w:rPr>
      </w:pPr>
      <w:r>
        <w:rPr>
          <w:rFonts w:eastAsia="黑体"/>
          <w:color w:val="auto"/>
          <w:sz w:val="72"/>
          <w:szCs w:val="44"/>
        </w:rPr>
        <w:t>投  标  文  件</w:t>
      </w:r>
    </w:p>
    <w:p>
      <w:pPr>
        <w:ind w:firstLine="2730" w:firstLineChars="1000"/>
        <w:rPr>
          <w:rFonts w:eastAsia="黑体"/>
          <w:color w:val="auto"/>
          <w:sz w:val="28"/>
          <w:szCs w:val="28"/>
        </w:rPr>
      </w:pPr>
      <w:r>
        <w:rPr>
          <w:rFonts w:hint="eastAsia" w:eastAsia="黑体"/>
          <w:color w:val="auto"/>
          <w:sz w:val="28"/>
          <w:szCs w:val="28"/>
        </w:rPr>
        <w:t>招标编号</w:t>
      </w:r>
      <w:r>
        <w:rPr>
          <w:rFonts w:eastAsia="黑体"/>
          <w:color w:val="auto"/>
          <w:sz w:val="28"/>
          <w:szCs w:val="28"/>
        </w:rPr>
        <w:t>：</w:t>
      </w:r>
      <w:r>
        <w:rPr>
          <w:rFonts w:eastAsia="黑体"/>
          <w:color w:val="auto"/>
          <w:sz w:val="28"/>
          <w:szCs w:val="28"/>
          <w:u w:val="single"/>
        </w:rPr>
        <w:t xml:space="preserve">                  </w:t>
      </w: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jc w:val="center"/>
        <w:rPr>
          <w:rFonts w:eastAsia="黑体"/>
          <w:color w:val="auto"/>
          <w:sz w:val="28"/>
          <w:szCs w:val="28"/>
          <w:u w:val="single"/>
        </w:rPr>
      </w:pPr>
      <w:bookmarkStart w:id="214" w:name="_Toc23873_WPSOffice_Level1"/>
      <w:r>
        <w:rPr>
          <w:rFonts w:eastAsia="黑体"/>
          <w:color w:val="auto"/>
          <w:sz w:val="28"/>
          <w:szCs w:val="28"/>
        </w:rPr>
        <w:t>投</w:t>
      </w:r>
      <w:r>
        <w:rPr>
          <w:rFonts w:hint="eastAsia" w:eastAsia="黑体"/>
          <w:color w:val="auto"/>
          <w:sz w:val="28"/>
          <w:szCs w:val="28"/>
        </w:rPr>
        <w:t xml:space="preserve"> </w:t>
      </w:r>
      <w:r>
        <w:rPr>
          <w:rFonts w:eastAsia="黑体"/>
          <w:color w:val="auto"/>
          <w:sz w:val="28"/>
          <w:szCs w:val="28"/>
        </w:rPr>
        <w:t>标</w:t>
      </w:r>
      <w:r>
        <w:rPr>
          <w:rFonts w:hint="eastAsia" w:eastAsia="黑体"/>
          <w:color w:val="auto"/>
          <w:sz w:val="28"/>
          <w:szCs w:val="28"/>
        </w:rPr>
        <w:t xml:space="preserve"> </w:t>
      </w:r>
      <w:r>
        <w:rPr>
          <w:rFonts w:eastAsia="黑体"/>
          <w:color w:val="auto"/>
          <w:sz w:val="28"/>
          <w:szCs w:val="28"/>
        </w:rPr>
        <w:t>人：</w:t>
      </w:r>
      <w:r>
        <w:rPr>
          <w:rFonts w:eastAsia="黑体"/>
          <w:color w:val="auto"/>
          <w:sz w:val="28"/>
          <w:szCs w:val="28"/>
          <w:u w:val="single"/>
        </w:rPr>
        <w:t xml:space="preserve">                     </w:t>
      </w:r>
      <w:r>
        <w:rPr>
          <w:rFonts w:hint="eastAsia" w:eastAsia="黑体"/>
          <w:color w:val="auto"/>
          <w:sz w:val="28"/>
          <w:szCs w:val="28"/>
          <w:u w:val="single"/>
        </w:rPr>
        <w:t xml:space="preserve">  </w:t>
      </w:r>
      <w:r>
        <w:rPr>
          <w:rFonts w:eastAsia="黑体"/>
          <w:color w:val="auto"/>
          <w:sz w:val="28"/>
          <w:szCs w:val="28"/>
          <w:u w:val="single"/>
        </w:rPr>
        <w:t xml:space="preserve">       </w:t>
      </w:r>
      <w:r>
        <w:rPr>
          <w:rFonts w:eastAsia="黑体"/>
          <w:color w:val="auto"/>
          <w:sz w:val="28"/>
          <w:szCs w:val="28"/>
        </w:rPr>
        <w:t>（</w:t>
      </w:r>
      <w:r>
        <w:rPr>
          <w:rFonts w:hint="eastAsia" w:eastAsia="黑体"/>
          <w:color w:val="auto"/>
          <w:sz w:val="28"/>
          <w:szCs w:val="28"/>
        </w:rPr>
        <w:t>企业电子章</w:t>
      </w:r>
      <w:r>
        <w:rPr>
          <w:rFonts w:eastAsia="黑体"/>
          <w:color w:val="auto"/>
          <w:sz w:val="28"/>
          <w:szCs w:val="28"/>
        </w:rPr>
        <w:t>）</w:t>
      </w:r>
      <w:bookmarkEnd w:id="214"/>
    </w:p>
    <w:p>
      <w:pPr>
        <w:jc w:val="center"/>
        <w:rPr>
          <w:rFonts w:eastAsia="黑体"/>
          <w:color w:val="auto"/>
          <w:sz w:val="28"/>
          <w:szCs w:val="28"/>
        </w:rPr>
      </w:pPr>
      <w:bookmarkStart w:id="215" w:name="_Toc14409_WPSOffice_Level1"/>
      <w:r>
        <w:rPr>
          <w:rFonts w:eastAsia="黑体"/>
          <w:color w:val="auto"/>
          <w:sz w:val="28"/>
          <w:szCs w:val="28"/>
        </w:rPr>
        <w:t>法定代表人或其委托代理人：</w:t>
      </w:r>
      <w:r>
        <w:rPr>
          <w:rFonts w:eastAsia="黑体"/>
          <w:color w:val="auto"/>
          <w:sz w:val="28"/>
          <w:szCs w:val="28"/>
          <w:u w:val="single"/>
        </w:rPr>
        <w:t xml:space="preserve">                </w:t>
      </w:r>
      <w:r>
        <w:rPr>
          <w:rFonts w:eastAsia="黑体"/>
          <w:color w:val="auto"/>
          <w:sz w:val="28"/>
          <w:szCs w:val="28"/>
        </w:rPr>
        <w:t>（</w:t>
      </w:r>
      <w:r>
        <w:rPr>
          <w:rFonts w:hint="eastAsia" w:eastAsia="黑体"/>
          <w:color w:val="auto"/>
          <w:sz w:val="28"/>
          <w:szCs w:val="28"/>
        </w:rPr>
        <w:t>签字或个人电子章</w:t>
      </w:r>
      <w:r>
        <w:rPr>
          <w:rFonts w:eastAsia="黑体"/>
          <w:color w:val="auto"/>
          <w:sz w:val="28"/>
          <w:szCs w:val="28"/>
        </w:rPr>
        <w:t>）</w:t>
      </w:r>
      <w:bookmarkEnd w:id="215"/>
    </w:p>
    <w:p>
      <w:pPr>
        <w:jc w:val="center"/>
        <w:rPr>
          <w:rFonts w:eastAsia="黑体"/>
          <w:color w:val="auto"/>
          <w:sz w:val="28"/>
          <w:szCs w:val="28"/>
        </w:rPr>
      </w:pPr>
      <w:r>
        <w:rPr>
          <w:rFonts w:eastAsia="黑体"/>
          <w:color w:val="auto"/>
          <w:sz w:val="28"/>
          <w:szCs w:val="28"/>
          <w:u w:val="single"/>
        </w:rPr>
        <w:t xml:space="preserve">        </w:t>
      </w:r>
      <w:bookmarkStart w:id="216" w:name="_Toc31101_WPSOffice_Level1"/>
      <w:r>
        <w:rPr>
          <w:rFonts w:eastAsia="黑体"/>
          <w:color w:val="auto"/>
          <w:sz w:val="28"/>
          <w:szCs w:val="28"/>
        </w:rPr>
        <w:t>年</w:t>
      </w:r>
      <w:r>
        <w:rPr>
          <w:rFonts w:eastAsia="黑体"/>
          <w:color w:val="auto"/>
          <w:sz w:val="28"/>
          <w:szCs w:val="28"/>
          <w:u w:val="single"/>
        </w:rPr>
        <w:t xml:space="preserve">        </w:t>
      </w:r>
      <w:r>
        <w:rPr>
          <w:rFonts w:eastAsia="黑体"/>
          <w:color w:val="auto"/>
          <w:sz w:val="28"/>
          <w:szCs w:val="28"/>
        </w:rPr>
        <w:t>月</w:t>
      </w:r>
      <w:r>
        <w:rPr>
          <w:rFonts w:eastAsia="黑体"/>
          <w:color w:val="auto"/>
          <w:sz w:val="28"/>
          <w:szCs w:val="28"/>
          <w:u w:val="single"/>
        </w:rPr>
        <w:t xml:space="preserve">        </w:t>
      </w:r>
      <w:r>
        <w:rPr>
          <w:rFonts w:eastAsia="黑体"/>
          <w:color w:val="auto"/>
          <w:sz w:val="28"/>
          <w:szCs w:val="28"/>
        </w:rPr>
        <w:t>日</w:t>
      </w:r>
      <w:bookmarkEnd w:id="216"/>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cs="宋体"/>
          <w:b/>
          <w:color w:val="auto"/>
          <w:sz w:val="28"/>
          <w:szCs w:val="28"/>
        </w:rPr>
      </w:pPr>
      <w:r>
        <w:rPr>
          <w:color w:val="auto"/>
        </w:rPr>
        <w:br w:type="page"/>
      </w:r>
      <w:r>
        <w:rPr>
          <w:rFonts w:hint="eastAsia" w:ascii="宋体" w:hAnsi="宋体" w:cs="宋体"/>
          <w:b/>
          <w:color w:val="auto"/>
          <w:sz w:val="28"/>
          <w:szCs w:val="28"/>
        </w:rPr>
        <w:t>洛阳市建设工程廉洁自律承诺书</w:t>
      </w:r>
    </w:p>
    <w:p>
      <w:pPr>
        <w:keepNext w:val="0"/>
        <w:keepLines w:val="0"/>
        <w:pageBreakBefore w:val="0"/>
        <w:widowControl w:val="0"/>
        <w:kinsoku/>
        <w:wordWrap/>
        <w:overflowPunct/>
        <w:topLinePunct w:val="0"/>
        <w:autoSpaceDE/>
        <w:autoSpaceDN/>
        <w:bidi w:val="0"/>
        <w:adjustRightInd/>
        <w:snapToGrid/>
        <w:spacing w:line="240" w:lineRule="auto"/>
        <w:ind w:firstLine="406" w:firstLineChars="200"/>
        <w:textAlignment w:val="auto"/>
        <w:rPr>
          <w:rFonts w:ascii="宋体" w:hAnsi="宋体" w:cs="宋体"/>
          <w:color w:val="auto"/>
          <w:szCs w:val="21"/>
        </w:rPr>
      </w:pPr>
      <w:r>
        <w:rPr>
          <w:rFonts w:hint="eastAsia" w:ascii="宋体" w:hAnsi="宋体" w:cs="宋体"/>
          <w:color w:val="auto"/>
          <w:szCs w:val="21"/>
        </w:rPr>
        <w:t>为切实加强工程建设领域的党风廉政建设，严格遵守廉洁从业的有关规定，有效预防和制止各种违</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cs="宋体"/>
          <w:color w:val="auto"/>
          <w:szCs w:val="21"/>
        </w:rPr>
      </w:pPr>
      <w:r>
        <w:rPr>
          <w:rFonts w:hint="eastAsia" w:ascii="宋体" w:hAnsi="宋体" w:cs="宋体"/>
          <w:color w:val="auto"/>
          <w:szCs w:val="21"/>
        </w:rPr>
        <w:t>法违纪行为和腐败问题的发生，确保把工程项目建设成为廉洁工程，促进经济社会又好又快地发展，作</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cs="宋体"/>
          <w:color w:val="auto"/>
          <w:szCs w:val="21"/>
        </w:rPr>
      </w:pPr>
      <w:r>
        <w:rPr>
          <w:rFonts w:hint="eastAsia" w:ascii="宋体" w:hAnsi="宋体" w:cs="宋体"/>
          <w:color w:val="auto"/>
          <w:szCs w:val="21"/>
        </w:rPr>
        <w:t>为</w:t>
      </w:r>
      <w:r>
        <w:rPr>
          <w:rFonts w:hint="eastAsia" w:ascii="宋体" w:hAnsi="宋体" w:cs="宋体"/>
          <w:color w:val="auto"/>
          <w:szCs w:val="21"/>
          <w:u w:val="single"/>
        </w:rPr>
        <w:t xml:space="preserve">                   </w:t>
      </w:r>
      <w:r>
        <w:rPr>
          <w:rFonts w:hint="eastAsia" w:ascii="宋体" w:hAnsi="宋体" w:cs="宋体"/>
          <w:color w:val="auto"/>
          <w:szCs w:val="21"/>
        </w:rPr>
        <w:t>工程建设的相关单位，特向市委、市政府做出如下庄严承诺：</w:t>
      </w:r>
    </w:p>
    <w:p>
      <w:pPr>
        <w:keepNext w:val="0"/>
        <w:keepLines w:val="0"/>
        <w:pageBreakBefore w:val="0"/>
        <w:widowControl w:val="0"/>
        <w:kinsoku/>
        <w:wordWrap/>
        <w:overflowPunct/>
        <w:topLinePunct w:val="0"/>
        <w:autoSpaceDE/>
        <w:autoSpaceDN/>
        <w:bidi w:val="0"/>
        <w:adjustRightInd/>
        <w:snapToGrid/>
        <w:spacing w:line="240" w:lineRule="auto"/>
        <w:ind w:firstLine="406" w:firstLineChars="200"/>
        <w:textAlignment w:val="auto"/>
        <w:rPr>
          <w:rFonts w:ascii="宋体" w:hAnsi="宋体" w:cs="宋体"/>
          <w:color w:val="auto"/>
          <w:szCs w:val="21"/>
        </w:rPr>
      </w:pPr>
      <w:r>
        <w:rPr>
          <w:rFonts w:hint="eastAsia" w:ascii="宋体" w:hAnsi="宋体" w:cs="宋体"/>
          <w:color w:val="auto"/>
          <w:szCs w:val="21"/>
        </w:rPr>
        <w:t>一、严格遵守党纪国法和各项政策规定，将廉政建设和廉洁从业的各项要求贯彻始终，廉洁自律，加强监督，保证将工程建设成廉洁工程。</w:t>
      </w: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r>
        <w:rPr>
          <w:rFonts w:hint="eastAsia" w:ascii="宋体" w:hAnsi="宋体" w:cs="宋体"/>
          <w:color w:val="auto"/>
          <w:szCs w:val="21"/>
        </w:rPr>
        <w:t>二、严格遵守职业道德，坚持公开、公正、公平的原则，依法合规参与竞争，努力推进诚信建设，决不从事任何不正当竞争和任何违法违纪行为。</w:t>
      </w: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r>
        <w:rPr>
          <w:rFonts w:hint="eastAsia" w:ascii="宋体" w:hAnsi="宋体" w:cs="宋体"/>
          <w:color w:val="auto"/>
          <w:szCs w:val="21"/>
        </w:rPr>
        <w:t>三、建立并落实党风廉政建设和廉洁从业责任制，健全行之有效的规章制度，在工程报批立项、招标投标、资金运用、物资采购、设计变更、预算决算、质量认证、工程验收和设计、施工、监理过程中不以任何形式以权谋私、以工程谋私、索贿受贿，直接或变相行贿搞商业贿赂。</w:t>
      </w: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r>
        <w:rPr>
          <w:rFonts w:hint="eastAsia" w:ascii="宋体" w:hAnsi="宋体" w:cs="宋体"/>
          <w:color w:val="auto"/>
          <w:szCs w:val="21"/>
        </w:rPr>
        <w:t>四、建立工程质量监管保证体系。严格按照国家各项相关法规和技术规范从事设计、施工、监理，确保工程设计、施工组织、质量监理全部依法合规，争创优质工程。</w:t>
      </w: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r>
        <w:rPr>
          <w:rFonts w:hint="eastAsia" w:ascii="宋体" w:hAnsi="宋体" w:cs="宋体"/>
          <w:color w:val="auto"/>
          <w:szCs w:val="21"/>
        </w:rPr>
        <w:t>五、建立安全生产监管保证体系。按照国家各项相关法律和技术规范，在工程建设中落实安全生产“三同时”要求，确保施工人员和其他相关人员生命及人身安全，严防各类安全事故的发生。</w:t>
      </w: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r>
        <w:rPr>
          <w:rFonts w:hint="eastAsia" w:ascii="宋体" w:hAnsi="宋体" w:cs="宋体"/>
          <w:color w:val="auto"/>
          <w:szCs w:val="21"/>
        </w:rPr>
        <w:t>六、遵守财经法规，厉行勤俭节约，杜绝铺张浪费，严格控制开支，最大限度地压缩工程费用，节约资金。</w:t>
      </w: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r>
        <w:rPr>
          <w:rFonts w:hint="eastAsia" w:ascii="宋体" w:hAnsi="宋体" w:cs="宋体"/>
          <w:color w:val="auto"/>
          <w:szCs w:val="21"/>
        </w:rPr>
        <w:t>七、定期不定期地对工程建设中的廉政建设和廉洁从业情况进行内部监督检查，同时主动接受外部有关部门依法依纪的监督检查，及时发现和整改存在的各种问题。</w:t>
      </w: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r>
        <w:rPr>
          <w:rFonts w:hint="eastAsia" w:ascii="宋体" w:hAnsi="宋体" w:cs="宋体"/>
          <w:color w:val="auto"/>
          <w:szCs w:val="21"/>
        </w:rPr>
        <w:t>八、如在工程建设中发生违法违纪行为和腐败问题，自愿接受党纪、政纪处理直至追究法律责任。</w:t>
      </w: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r>
        <w:rPr>
          <w:rFonts w:hint="eastAsia" w:ascii="宋体" w:hAnsi="宋体" w:cs="宋体"/>
          <w:color w:val="auto"/>
          <w:szCs w:val="21"/>
        </w:rPr>
        <w:t xml:space="preserve"> </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Cs w:val="21"/>
          <w:lang w:eastAsia="zh-CN"/>
        </w:rPr>
      </w:pPr>
      <w:r>
        <w:rPr>
          <w:rFonts w:hint="eastAsia" w:ascii="宋体" w:hAnsi="宋体" w:cs="宋体"/>
          <w:color w:val="auto"/>
          <w:szCs w:val="21"/>
        </w:rPr>
        <w:t>承诺单位（单位电子章）</w:t>
      </w:r>
      <w:r>
        <w:rPr>
          <w:rFonts w:hint="eastAsia" w:ascii="宋体" w:hAnsi="宋体" w:cs="宋体"/>
          <w:color w:val="auto"/>
          <w:szCs w:val="21"/>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Cs w:val="21"/>
          <w:lang w:eastAsia="zh-CN"/>
        </w:rPr>
      </w:pPr>
      <w:r>
        <w:rPr>
          <w:rFonts w:hint="eastAsia" w:ascii="宋体" w:hAnsi="宋体" w:cs="宋体"/>
          <w:color w:val="auto"/>
          <w:szCs w:val="21"/>
        </w:rPr>
        <w:t>法定代表人（签字或盖电子章）</w:t>
      </w:r>
      <w:r>
        <w:rPr>
          <w:rFonts w:hint="eastAsia" w:ascii="宋体" w:hAnsi="宋体" w:cs="宋体"/>
          <w:color w:val="auto"/>
          <w:szCs w:val="21"/>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cs="宋体"/>
          <w:color w:val="auto"/>
          <w:szCs w:val="21"/>
        </w:rPr>
      </w:pPr>
      <w:r>
        <w:rPr>
          <w:rFonts w:hint="eastAsia" w:ascii="宋体" w:hAnsi="宋体" w:cs="宋体"/>
          <w:color w:val="auto"/>
          <w:szCs w:val="21"/>
        </w:rPr>
        <w:t>日期：         年     月     日</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
          <w:bCs/>
          <w:color w:val="auto"/>
          <w:sz w:val="28"/>
          <w:szCs w:val="28"/>
        </w:rPr>
      </w:pPr>
      <w:r>
        <w:rPr>
          <w:rFonts w:ascii="宋体" w:hAnsi="宋体" w:cs="宋体"/>
          <w:color w:val="auto"/>
          <w:szCs w:val="21"/>
        </w:rPr>
        <w:br w:type="page"/>
      </w:r>
      <w:r>
        <w:rPr>
          <w:rFonts w:hint="eastAsia"/>
          <w:b/>
          <w:bCs/>
          <w:color w:val="auto"/>
          <w:sz w:val="28"/>
          <w:szCs w:val="28"/>
        </w:rPr>
        <w:t>廉洁自律告知书</w:t>
      </w: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r>
        <w:rPr>
          <w:rFonts w:hint="eastAsia" w:ascii="宋体" w:hAnsi="宋体" w:cs="宋体"/>
          <w:color w:val="auto"/>
          <w:szCs w:val="21"/>
        </w:rPr>
        <w:t>为维护公平竞争的市场秩序,从源头上有效预防和制止违法违纪行为和腐败问题的发生,促进工程项目建设廉洁优质高效，现就有关事项告知如下：</w:t>
      </w: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r>
        <w:rPr>
          <w:rFonts w:hint="eastAsia" w:ascii="宋体" w:hAnsi="宋体" w:cs="宋体"/>
          <w:color w:val="auto"/>
          <w:szCs w:val="21"/>
        </w:rPr>
        <w:t>1、严格遵守工程建设项目的法律、法规及规章制度。</w:t>
      </w: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r>
        <w:rPr>
          <w:rFonts w:hint="eastAsia" w:ascii="宋体" w:hAnsi="宋体" w:cs="宋体"/>
          <w:color w:val="auto"/>
          <w:szCs w:val="21"/>
        </w:rPr>
        <w:t>2、严格遵守职业道德，坚持公开、公正、公平、诚信的原则；</w:t>
      </w: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r>
        <w:rPr>
          <w:rFonts w:hint="eastAsia" w:ascii="宋体" w:hAnsi="宋体" w:cs="宋体"/>
          <w:color w:val="auto"/>
          <w:szCs w:val="21"/>
        </w:rPr>
        <w:t>3、严格执行工程建设项目合同文件，自觉按合同办事；</w:t>
      </w: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r>
        <w:rPr>
          <w:rFonts w:hint="eastAsia" w:ascii="宋体" w:hAnsi="宋体" w:cs="宋体"/>
          <w:color w:val="auto"/>
          <w:szCs w:val="21"/>
        </w:rPr>
        <w:t>4、严格执行工程建设项目招标投标、物资采购、设计变更、质量认证、安全生产等各项规定；</w:t>
      </w: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r>
        <w:rPr>
          <w:rFonts w:hint="eastAsia" w:ascii="宋体" w:hAnsi="宋体" w:cs="宋体"/>
          <w:color w:val="auto"/>
          <w:szCs w:val="21"/>
        </w:rPr>
        <w:t>5、严禁为了获取不正当的利益而损害国家利益、社会公共利益或者他人合法权益；</w:t>
      </w: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r>
        <w:rPr>
          <w:rFonts w:hint="eastAsia" w:ascii="宋体" w:hAnsi="宋体" w:cs="宋体"/>
          <w:color w:val="auto"/>
          <w:szCs w:val="21"/>
        </w:rPr>
        <w:t>6、严禁向项目建设单位和相关职能部门及有关人员赠送礼金、有价证券、贵重物品或回扣、好处费、感谢费等，不直接或变相行贿搞商业贿赂；</w:t>
      </w: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r>
        <w:rPr>
          <w:rFonts w:hint="eastAsia" w:ascii="宋体" w:hAnsi="宋体" w:cs="宋体"/>
          <w:color w:val="auto"/>
          <w:szCs w:val="21"/>
        </w:rPr>
        <w:t>7、加强内部监督，并自觉接受有关职能部门对工程建设情况的监督检查；</w:t>
      </w: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r>
        <w:rPr>
          <w:rFonts w:hint="eastAsia" w:ascii="宋体" w:hAnsi="宋体" w:cs="宋体"/>
          <w:color w:val="auto"/>
          <w:szCs w:val="21"/>
        </w:rPr>
        <w:t>8、严格执行廉洁从业各项规定，并向市委、市政府作出廉洁自律承诺。</w:t>
      </w: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r>
        <w:rPr>
          <w:rFonts w:hint="eastAsia" w:ascii="宋体" w:hAnsi="宋体" w:cs="宋体"/>
          <w:color w:val="auto"/>
          <w:szCs w:val="21"/>
        </w:rPr>
        <w:t>违反上述告知事项造成不良影响或严重后果的，按照国家有关法律法规予以处理；涉嫌犯罪的，移送司法机关依法追究刑事责任。</w:t>
      </w: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r>
        <w:rPr>
          <w:rFonts w:hint="eastAsia" w:ascii="宋体" w:hAnsi="宋体" w:cs="宋体"/>
          <w:color w:val="auto"/>
          <w:szCs w:val="21"/>
        </w:rPr>
        <w:t>本人已认真阅读并充分理解以上条款，并代表所属单位严格遵守。</w:t>
      </w: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r>
        <w:rPr>
          <w:rFonts w:hint="eastAsia" w:ascii="宋体" w:hAnsi="宋体" w:cs="宋体"/>
          <w:color w:val="auto"/>
          <w:szCs w:val="21"/>
        </w:rPr>
        <w:t>投标单位（单位电子章）：</w:t>
      </w: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r>
        <w:rPr>
          <w:rFonts w:hint="eastAsia" w:ascii="宋体" w:hAnsi="宋体" w:cs="宋体"/>
          <w:color w:val="auto"/>
          <w:szCs w:val="21"/>
        </w:rPr>
        <w:t>法定代表人（签字或盖电子章）：</w:t>
      </w: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p>
    <w:p>
      <w:pPr>
        <w:keepNext w:val="0"/>
        <w:keepLines w:val="0"/>
        <w:pageBreakBefore w:val="0"/>
        <w:widowControl w:val="0"/>
        <w:kinsoku/>
        <w:wordWrap/>
        <w:overflowPunct/>
        <w:topLinePunct w:val="0"/>
        <w:autoSpaceDE/>
        <w:autoSpaceDN/>
        <w:bidi w:val="0"/>
        <w:adjustRightInd/>
        <w:snapToGrid/>
        <w:spacing w:line="240" w:lineRule="auto"/>
        <w:ind w:firstLine="406" w:firstLineChars="200"/>
        <w:textAlignment w:val="auto"/>
        <w:rPr>
          <w:color w:val="auto"/>
        </w:rPr>
      </w:pPr>
      <w:r>
        <w:rPr>
          <w:rFonts w:hint="eastAsia" w:ascii="宋体" w:hAnsi="宋体" w:cs="宋体"/>
          <w:color w:val="auto"/>
          <w:szCs w:val="21"/>
        </w:rPr>
        <w:t>日期：         年     月     日</w:t>
      </w:r>
    </w:p>
    <w:p>
      <w:pPr>
        <w:spacing w:line="400" w:lineRule="exact"/>
        <w:rPr>
          <w:color w:val="auto"/>
        </w:rPr>
      </w:pPr>
    </w:p>
    <w:p>
      <w:pPr>
        <w:spacing w:line="400" w:lineRule="exact"/>
        <w:rPr>
          <w:color w:val="auto"/>
        </w:rPr>
      </w:pPr>
    </w:p>
    <w:p>
      <w:pPr>
        <w:spacing w:line="400" w:lineRule="exact"/>
        <w:rPr>
          <w:color w:val="auto"/>
        </w:rPr>
      </w:pPr>
    </w:p>
    <w:p>
      <w:pPr>
        <w:spacing w:line="400" w:lineRule="exact"/>
        <w:rPr>
          <w:color w:val="auto"/>
        </w:rPr>
      </w:pPr>
    </w:p>
    <w:p>
      <w:pPr>
        <w:spacing w:line="400" w:lineRule="exact"/>
        <w:rPr>
          <w:color w:val="auto"/>
        </w:rPr>
      </w:pPr>
    </w:p>
    <w:p>
      <w:pPr>
        <w:spacing w:line="400" w:lineRule="exact"/>
        <w:rPr>
          <w:color w:val="auto"/>
        </w:rPr>
      </w:pPr>
    </w:p>
    <w:p>
      <w:pPr>
        <w:spacing w:line="400" w:lineRule="exact"/>
        <w:rPr>
          <w:color w:val="auto"/>
        </w:rPr>
      </w:pPr>
    </w:p>
    <w:p>
      <w:pPr>
        <w:spacing w:line="400" w:lineRule="exact"/>
        <w:rPr>
          <w:color w:val="auto"/>
        </w:rPr>
      </w:pPr>
    </w:p>
    <w:p>
      <w:pPr>
        <w:spacing w:line="540" w:lineRule="exact"/>
        <w:ind w:firstLine="1015" w:firstLineChars="500"/>
        <w:rPr>
          <w:color w:val="auto"/>
        </w:rPr>
      </w:pPr>
    </w:p>
    <w:p>
      <w:pPr>
        <w:spacing w:line="540" w:lineRule="exact"/>
        <w:ind w:firstLine="1015" w:firstLineChars="500"/>
        <w:rPr>
          <w:color w:val="auto"/>
        </w:rPr>
      </w:pPr>
    </w:p>
    <w:p>
      <w:pPr>
        <w:spacing w:line="540" w:lineRule="exact"/>
        <w:ind w:firstLine="1015" w:firstLineChars="500"/>
        <w:rPr>
          <w:color w:val="auto"/>
        </w:rPr>
      </w:pPr>
    </w:p>
    <w:p>
      <w:pPr>
        <w:pStyle w:val="66"/>
        <w:jc w:val="center"/>
        <w:rPr>
          <w:color w:val="auto"/>
        </w:rPr>
      </w:pPr>
      <w:bookmarkStart w:id="217" w:name="_Toc7019_WPSOffice_Level1"/>
      <w:r>
        <w:rPr>
          <w:rFonts w:hint="eastAsia"/>
          <w:color w:val="auto"/>
        </w:rPr>
        <w:t>目    录</w:t>
      </w:r>
      <w:bookmarkEnd w:id="217"/>
    </w:p>
    <w:p>
      <w:pPr>
        <w:spacing w:line="540" w:lineRule="exact"/>
        <w:ind w:firstLine="1015" w:firstLineChars="500"/>
        <w:rPr>
          <w:color w:val="auto"/>
        </w:rPr>
      </w:pPr>
    </w:p>
    <w:p>
      <w:pPr>
        <w:spacing w:line="540" w:lineRule="exact"/>
        <w:ind w:firstLine="617" w:firstLineChars="304"/>
        <w:rPr>
          <w:color w:val="auto"/>
        </w:rPr>
      </w:pPr>
      <w:bookmarkStart w:id="218" w:name="_Toc12207_WPSOffice_Level1"/>
      <w:r>
        <w:rPr>
          <w:rFonts w:hint="eastAsia"/>
          <w:color w:val="auto"/>
        </w:rPr>
        <w:t>一、投标函及投标函附录</w:t>
      </w:r>
      <w:bookmarkEnd w:id="218"/>
    </w:p>
    <w:p>
      <w:pPr>
        <w:spacing w:line="540" w:lineRule="exact"/>
        <w:ind w:firstLine="617" w:firstLineChars="304"/>
        <w:rPr>
          <w:color w:val="auto"/>
        </w:rPr>
      </w:pPr>
      <w:bookmarkStart w:id="219" w:name="_Toc17573_WPSOffice_Level1"/>
      <w:r>
        <w:rPr>
          <w:rFonts w:hint="eastAsia"/>
          <w:color w:val="auto"/>
        </w:rPr>
        <w:t>二、法定代表人身份证明及授权委托书</w:t>
      </w:r>
      <w:bookmarkEnd w:id="219"/>
    </w:p>
    <w:p>
      <w:pPr>
        <w:spacing w:line="540" w:lineRule="exact"/>
        <w:ind w:firstLine="617" w:firstLineChars="304"/>
        <w:rPr>
          <w:color w:val="auto"/>
        </w:rPr>
      </w:pPr>
      <w:bookmarkStart w:id="220" w:name="_Toc4268_WPSOffice_Level1"/>
      <w:r>
        <w:rPr>
          <w:rFonts w:hint="eastAsia"/>
          <w:color w:val="auto"/>
        </w:rPr>
        <w:t>三、投标保证金</w:t>
      </w:r>
      <w:bookmarkEnd w:id="220"/>
    </w:p>
    <w:p>
      <w:pPr>
        <w:spacing w:line="540" w:lineRule="exact"/>
        <w:ind w:firstLine="617" w:firstLineChars="304"/>
        <w:rPr>
          <w:color w:val="auto"/>
        </w:rPr>
      </w:pPr>
      <w:bookmarkStart w:id="221" w:name="_Toc19276_WPSOffice_Level1"/>
      <w:r>
        <w:rPr>
          <w:rFonts w:hint="eastAsia"/>
          <w:color w:val="auto"/>
        </w:rPr>
        <w:t>四、已标价工程量清单</w:t>
      </w:r>
      <w:bookmarkEnd w:id="221"/>
    </w:p>
    <w:p>
      <w:pPr>
        <w:spacing w:line="540" w:lineRule="exact"/>
        <w:ind w:firstLine="617" w:firstLineChars="304"/>
        <w:rPr>
          <w:color w:val="auto"/>
        </w:rPr>
      </w:pPr>
      <w:bookmarkStart w:id="222" w:name="_Toc16639_WPSOffice_Level1"/>
      <w:r>
        <w:rPr>
          <w:rFonts w:hint="eastAsia"/>
          <w:color w:val="auto"/>
        </w:rPr>
        <w:t>五、施工组织设计</w:t>
      </w:r>
      <w:bookmarkEnd w:id="222"/>
    </w:p>
    <w:p>
      <w:pPr>
        <w:spacing w:line="540" w:lineRule="exact"/>
        <w:ind w:firstLine="617" w:firstLineChars="304"/>
        <w:rPr>
          <w:color w:val="auto"/>
        </w:rPr>
      </w:pPr>
      <w:bookmarkStart w:id="223" w:name="_Toc10786_WPSOffice_Level1"/>
      <w:r>
        <w:rPr>
          <w:rFonts w:hint="eastAsia"/>
          <w:color w:val="auto"/>
        </w:rPr>
        <w:t>六、项目管理机构</w:t>
      </w:r>
      <w:bookmarkEnd w:id="223"/>
    </w:p>
    <w:p>
      <w:pPr>
        <w:spacing w:line="540" w:lineRule="exact"/>
        <w:ind w:firstLine="617" w:firstLineChars="304"/>
        <w:rPr>
          <w:color w:val="auto"/>
        </w:rPr>
      </w:pPr>
      <w:bookmarkStart w:id="224" w:name="_Toc7994_WPSOffice_Level1"/>
      <w:r>
        <w:rPr>
          <w:rFonts w:hint="eastAsia"/>
          <w:color w:val="auto"/>
        </w:rPr>
        <w:t>七、资格审查资料</w:t>
      </w:r>
      <w:bookmarkEnd w:id="224"/>
    </w:p>
    <w:p>
      <w:pPr>
        <w:spacing w:line="540" w:lineRule="exact"/>
        <w:ind w:firstLine="617" w:firstLineChars="304"/>
        <w:rPr>
          <w:color w:val="auto"/>
        </w:rPr>
      </w:pPr>
      <w:bookmarkStart w:id="225" w:name="_Toc16603_WPSOffice_Level1"/>
      <w:r>
        <w:rPr>
          <w:rFonts w:hint="eastAsia"/>
          <w:color w:val="auto"/>
        </w:rPr>
        <w:t>八、其他资料</w:t>
      </w:r>
      <w:bookmarkEnd w:id="225"/>
    </w:p>
    <w:p>
      <w:pPr>
        <w:pStyle w:val="5"/>
        <w:outlineLvl w:val="9"/>
        <w:rPr>
          <w:color w:val="auto"/>
        </w:rPr>
      </w:pPr>
    </w:p>
    <w:p>
      <w:pPr>
        <w:spacing w:line="360" w:lineRule="auto"/>
        <w:ind w:firstLine="406" w:firstLineChars="200"/>
        <w:rPr>
          <w:rFonts w:ascii="宋体" w:hAnsi="宋体"/>
          <w:color w:val="auto"/>
          <w:szCs w:val="21"/>
        </w:rPr>
      </w:pPr>
      <w:r>
        <w:rPr>
          <w:color w:val="auto"/>
        </w:rPr>
        <w:t xml:space="preserve"> </w:t>
      </w:r>
      <w:r>
        <w:rPr>
          <w:rFonts w:hint="eastAsia" w:ascii="宋体" w:hAnsi="宋体"/>
          <w:color w:val="auto"/>
          <w:szCs w:val="22"/>
        </w:rPr>
        <w:t>注：</w:t>
      </w:r>
      <w:r>
        <w:rPr>
          <w:rFonts w:hint="eastAsia" w:ascii="宋体" w:hAnsi="宋体"/>
          <w:color w:val="auto"/>
          <w:szCs w:val="21"/>
        </w:rPr>
        <w:t>为便于评标委员会评审，投标人在编制电子投标文件时，尽量将投标文件目录细化，并在电子投标文件中编制详细的跳转目录。否则，投标人自行承担因投标文件编制混乱导致评标委员会做出不利于投标人的评审结果。</w:t>
      </w:r>
    </w:p>
    <w:p>
      <w:pPr>
        <w:spacing w:line="540" w:lineRule="exact"/>
        <w:rPr>
          <w:color w:val="auto"/>
        </w:rPr>
      </w:pPr>
    </w:p>
    <w:p>
      <w:pPr>
        <w:rPr>
          <w:color w:val="auto"/>
        </w:rPr>
      </w:pPr>
      <w:r>
        <w:rPr>
          <w:color w:val="auto"/>
        </w:rPr>
        <w:br w:type="page"/>
      </w:r>
    </w:p>
    <w:p>
      <w:pPr>
        <w:pStyle w:val="66"/>
        <w:spacing w:line="360" w:lineRule="auto"/>
        <w:jc w:val="center"/>
        <w:rPr>
          <w:color w:val="auto"/>
        </w:rPr>
      </w:pPr>
      <w:bookmarkStart w:id="226" w:name="_Toc25065_WPSOffice_Level1"/>
      <w:r>
        <w:rPr>
          <w:color w:val="auto"/>
        </w:rPr>
        <w:t>一、投标函及投标函附录</w:t>
      </w:r>
      <w:bookmarkEnd w:id="226"/>
    </w:p>
    <w:p>
      <w:pPr>
        <w:pStyle w:val="69"/>
        <w:spacing w:line="360" w:lineRule="auto"/>
        <w:jc w:val="center"/>
        <w:rPr>
          <w:color w:val="auto"/>
          <w:szCs w:val="23"/>
        </w:rPr>
      </w:pPr>
      <w:r>
        <w:rPr>
          <w:color w:val="auto"/>
          <w:szCs w:val="23"/>
        </w:rPr>
        <w:t>（一）投标函</w:t>
      </w:r>
    </w:p>
    <w:p>
      <w:pPr>
        <w:spacing w:line="440" w:lineRule="exact"/>
        <w:rPr>
          <w:color w:val="auto"/>
          <w:szCs w:val="21"/>
        </w:rPr>
      </w:pPr>
      <w:r>
        <w:rPr>
          <w:color w:val="auto"/>
          <w:szCs w:val="21"/>
          <w:u w:val="single"/>
        </w:rPr>
        <w:t xml:space="preserve">                        </w:t>
      </w:r>
      <w:r>
        <w:rPr>
          <w:color w:val="auto"/>
          <w:szCs w:val="21"/>
        </w:rPr>
        <w:t>（招标人名称）：</w:t>
      </w:r>
    </w:p>
    <w:p>
      <w:pPr>
        <w:spacing w:line="440" w:lineRule="exact"/>
        <w:rPr>
          <w:color w:val="auto"/>
          <w:szCs w:val="21"/>
        </w:rPr>
      </w:pPr>
    </w:p>
    <w:p>
      <w:pPr>
        <w:spacing w:line="440" w:lineRule="exact"/>
        <w:ind w:firstLine="406" w:firstLineChars="200"/>
        <w:rPr>
          <w:color w:val="auto"/>
          <w:szCs w:val="21"/>
        </w:rPr>
      </w:pPr>
      <w:r>
        <w:rPr>
          <w:color w:val="auto"/>
          <w:szCs w:val="21"/>
        </w:rPr>
        <w:t>1</w:t>
      </w:r>
      <w:r>
        <w:rPr>
          <w:rFonts w:hint="eastAsia"/>
          <w:color w:val="auto"/>
          <w:szCs w:val="21"/>
        </w:rPr>
        <w:t>、</w:t>
      </w:r>
      <w:r>
        <w:rPr>
          <w:color w:val="auto"/>
          <w:szCs w:val="21"/>
        </w:rPr>
        <w:t>我方已仔细研究了</w:t>
      </w:r>
      <w:r>
        <w:rPr>
          <w:color w:val="auto"/>
          <w:szCs w:val="21"/>
          <w:u w:val="single"/>
        </w:rPr>
        <w:t xml:space="preserve">      </w:t>
      </w:r>
      <w:r>
        <w:rPr>
          <w:rFonts w:hint="eastAsia"/>
          <w:color w:val="auto"/>
          <w:szCs w:val="21"/>
          <w:u w:val="single"/>
        </w:rPr>
        <w:t xml:space="preserve">        </w:t>
      </w:r>
      <w:r>
        <w:rPr>
          <w:color w:val="auto"/>
          <w:szCs w:val="21"/>
          <w:u w:val="single"/>
        </w:rPr>
        <w:t xml:space="preserve">    </w:t>
      </w:r>
      <w:r>
        <w:rPr>
          <w:color w:val="auto"/>
          <w:szCs w:val="21"/>
        </w:rPr>
        <w:t>（项目名称）招标文件的全部内容，愿意以人民币（大写）</w:t>
      </w:r>
      <w:r>
        <w:rPr>
          <w:color w:val="auto"/>
          <w:szCs w:val="21"/>
          <w:u w:val="single"/>
        </w:rPr>
        <w:t xml:space="preserve">         </w:t>
      </w:r>
      <w:r>
        <w:rPr>
          <w:color w:val="auto"/>
          <w:szCs w:val="21"/>
        </w:rPr>
        <w:t>（¥</w:t>
      </w:r>
      <w:r>
        <w:rPr>
          <w:color w:val="auto"/>
          <w:szCs w:val="21"/>
          <w:u w:val="single"/>
        </w:rPr>
        <w:t xml:space="preserve">           </w:t>
      </w:r>
      <w:r>
        <w:rPr>
          <w:color w:val="auto"/>
          <w:szCs w:val="21"/>
        </w:rPr>
        <w:t>）的投标总报价，</w:t>
      </w:r>
      <w:r>
        <w:rPr>
          <w:rFonts w:hint="eastAsia"/>
          <w:color w:val="auto"/>
          <w:szCs w:val="21"/>
        </w:rPr>
        <w:t>变更签证</w:t>
      </w:r>
      <w:r>
        <w:rPr>
          <w:rFonts w:hint="eastAsia"/>
          <w:color w:val="auto"/>
          <w:szCs w:val="21"/>
          <w:lang w:val="en-US" w:eastAsia="zh-CN"/>
        </w:rPr>
        <w:t>优惠</w:t>
      </w:r>
      <w:r>
        <w:rPr>
          <w:rFonts w:hint="eastAsia"/>
          <w:color w:val="auto"/>
          <w:szCs w:val="21"/>
        </w:rPr>
        <w:t>率</w:t>
      </w:r>
      <w:r>
        <w:rPr>
          <w:rFonts w:hint="eastAsia"/>
          <w:color w:val="auto"/>
          <w:szCs w:val="21"/>
          <w:u w:val="single"/>
        </w:rPr>
        <w:t xml:space="preserve">     </w:t>
      </w:r>
      <w:r>
        <w:rPr>
          <w:rFonts w:hint="eastAsia"/>
          <w:color w:val="auto"/>
          <w:szCs w:val="21"/>
        </w:rPr>
        <w:t>%，工期</w:t>
      </w:r>
      <w:r>
        <w:rPr>
          <w:rFonts w:hint="eastAsia"/>
          <w:color w:val="auto"/>
          <w:szCs w:val="21"/>
          <w:u w:val="single"/>
        </w:rPr>
        <w:t xml:space="preserve">          </w:t>
      </w:r>
      <w:r>
        <w:rPr>
          <w:rFonts w:hint="eastAsia"/>
          <w:color w:val="auto"/>
          <w:szCs w:val="21"/>
          <w:u w:val="none"/>
          <w:lang w:val="en-US" w:eastAsia="zh-CN"/>
        </w:rPr>
        <w:t>日历天</w:t>
      </w:r>
      <w:r>
        <w:rPr>
          <w:rFonts w:hint="eastAsia"/>
          <w:color w:val="auto"/>
          <w:szCs w:val="21"/>
        </w:rPr>
        <w:t>，</w:t>
      </w:r>
      <w:r>
        <w:rPr>
          <w:color w:val="auto"/>
          <w:szCs w:val="21"/>
        </w:rPr>
        <w:t>按合同约定实施和完成承包工程，修补工程中的任何缺陷，</w:t>
      </w:r>
      <w:r>
        <w:rPr>
          <w:rFonts w:hint="eastAsia"/>
          <w:color w:val="auto"/>
          <w:szCs w:val="21"/>
        </w:rPr>
        <w:t>缺陷责任期</w:t>
      </w:r>
      <w:r>
        <w:rPr>
          <w:color w:val="auto"/>
          <w:szCs w:val="21"/>
          <w:u w:val="single"/>
        </w:rPr>
        <w:t xml:space="preserve">           </w:t>
      </w:r>
      <w:r>
        <w:rPr>
          <w:color w:val="auto"/>
          <w:szCs w:val="21"/>
        </w:rPr>
        <w:t>。</w:t>
      </w:r>
      <w:r>
        <w:rPr>
          <w:color w:val="auto"/>
          <w:sz w:val="21"/>
          <w:szCs w:val="21"/>
        </w:rPr>
        <w:t>工程质量达到</w:t>
      </w:r>
      <w:r>
        <w:rPr>
          <w:color w:val="auto"/>
          <w:sz w:val="21"/>
          <w:szCs w:val="21"/>
          <w:u w:val="single"/>
        </w:rPr>
        <w:t xml:space="preserve">           </w:t>
      </w:r>
      <w:r>
        <w:rPr>
          <w:rFonts w:hint="eastAsia" w:ascii="宋体" w:hAnsi="宋体" w:cs="宋体"/>
          <w:color w:val="auto"/>
          <w:kern w:val="0"/>
          <w:sz w:val="21"/>
          <w:szCs w:val="21"/>
        </w:rPr>
        <w:t>，安全目标</w:t>
      </w:r>
      <w:r>
        <w:rPr>
          <w:rFonts w:hint="eastAsia" w:ascii="宋体" w:hAnsi="宋体" w:cs="宋体"/>
          <w:color w:val="auto"/>
          <w:kern w:val="0"/>
          <w:sz w:val="21"/>
          <w:szCs w:val="21"/>
          <w:u w:val="single"/>
        </w:rPr>
        <w:t xml:space="preserve">     </w:t>
      </w:r>
      <w:r>
        <w:rPr>
          <w:rFonts w:hint="eastAsia" w:ascii="宋体" w:hAnsi="宋体" w:cs="宋体"/>
          <w:color w:val="auto"/>
          <w:kern w:val="0"/>
          <w:sz w:val="21"/>
          <w:szCs w:val="21"/>
        </w:rPr>
        <w:t>，文明工地目标</w:t>
      </w:r>
      <w:r>
        <w:rPr>
          <w:rFonts w:hint="eastAsia" w:ascii="宋体" w:hAnsi="宋体" w:cs="宋体"/>
          <w:color w:val="auto"/>
          <w:kern w:val="0"/>
          <w:sz w:val="21"/>
          <w:szCs w:val="21"/>
          <w:u w:val="single"/>
        </w:rPr>
        <w:t xml:space="preserve">     </w:t>
      </w:r>
      <w:r>
        <w:rPr>
          <w:rFonts w:hint="eastAsia" w:ascii="宋体" w:hAnsi="宋体" w:cs="宋体"/>
          <w:color w:val="auto"/>
          <w:kern w:val="0"/>
          <w:sz w:val="21"/>
          <w:szCs w:val="21"/>
        </w:rPr>
        <w:t>，</w:t>
      </w:r>
      <w:r>
        <w:rPr>
          <w:rFonts w:hint="eastAsia" w:ascii="宋体" w:hAnsi="宋体"/>
          <w:color w:val="auto"/>
          <w:szCs w:val="21"/>
        </w:rPr>
        <w:t>扬尘治理目标</w:t>
      </w:r>
      <w:r>
        <w:rPr>
          <w:rFonts w:hint="eastAsia" w:ascii="宋体" w:hAnsi="宋体" w:cs="宋体"/>
          <w:color w:val="auto"/>
          <w:kern w:val="0"/>
          <w:sz w:val="21"/>
          <w:szCs w:val="21"/>
          <w:u w:val="single"/>
        </w:rPr>
        <w:t xml:space="preserve">      </w:t>
      </w:r>
      <w:r>
        <w:rPr>
          <w:color w:val="auto"/>
          <w:sz w:val="21"/>
          <w:szCs w:val="21"/>
        </w:rPr>
        <w:t>。</w:t>
      </w:r>
    </w:p>
    <w:p>
      <w:pPr>
        <w:spacing w:line="440" w:lineRule="exact"/>
        <w:ind w:firstLine="406" w:firstLineChars="200"/>
        <w:rPr>
          <w:color w:val="auto"/>
          <w:szCs w:val="21"/>
        </w:rPr>
      </w:pPr>
      <w:r>
        <w:rPr>
          <w:color w:val="auto"/>
          <w:szCs w:val="21"/>
        </w:rPr>
        <w:t>2</w:t>
      </w:r>
      <w:r>
        <w:rPr>
          <w:rFonts w:hint="eastAsia"/>
          <w:color w:val="auto"/>
          <w:szCs w:val="21"/>
        </w:rPr>
        <w:t>、</w:t>
      </w:r>
      <w:r>
        <w:rPr>
          <w:color w:val="auto"/>
          <w:szCs w:val="21"/>
        </w:rPr>
        <w:t>我方承诺在投标有效期内不修改、撤销投标文件。</w:t>
      </w:r>
    </w:p>
    <w:p>
      <w:pPr>
        <w:spacing w:line="440" w:lineRule="exact"/>
        <w:ind w:firstLine="406" w:firstLineChars="200"/>
        <w:rPr>
          <w:color w:val="auto"/>
          <w:szCs w:val="21"/>
        </w:rPr>
      </w:pPr>
      <w:r>
        <w:rPr>
          <w:color w:val="auto"/>
          <w:szCs w:val="21"/>
        </w:rPr>
        <w:t>3</w:t>
      </w:r>
      <w:r>
        <w:rPr>
          <w:rFonts w:hint="eastAsia"/>
          <w:color w:val="auto"/>
          <w:szCs w:val="21"/>
        </w:rPr>
        <w:t>、</w:t>
      </w:r>
      <w:r>
        <w:rPr>
          <w:color w:val="auto"/>
          <w:szCs w:val="21"/>
        </w:rPr>
        <w:t>随同本投标函提交投标</w:t>
      </w:r>
      <w:r>
        <w:rPr>
          <w:rFonts w:hint="eastAsia"/>
          <w:color w:val="auto"/>
          <w:szCs w:val="21"/>
        </w:rPr>
        <w:t>担保</w:t>
      </w:r>
      <w:r>
        <w:rPr>
          <w:color w:val="auto"/>
          <w:szCs w:val="21"/>
        </w:rPr>
        <w:t>一份，金额为人民币（大写）</w:t>
      </w:r>
      <w:r>
        <w:rPr>
          <w:color w:val="auto"/>
          <w:szCs w:val="21"/>
          <w:u w:val="single"/>
        </w:rPr>
        <w:t xml:space="preserve">        </w:t>
      </w:r>
      <w:r>
        <w:rPr>
          <w:color w:val="auto"/>
          <w:szCs w:val="21"/>
        </w:rPr>
        <w:t>（¥</w:t>
      </w:r>
      <w:r>
        <w:rPr>
          <w:color w:val="auto"/>
          <w:szCs w:val="21"/>
          <w:u w:val="single"/>
        </w:rPr>
        <w:t xml:space="preserve">  </w:t>
      </w:r>
      <w:r>
        <w:rPr>
          <w:rFonts w:hint="eastAsia"/>
          <w:color w:val="auto"/>
          <w:szCs w:val="21"/>
          <w:u w:val="single"/>
        </w:rPr>
        <w:t xml:space="preserve">   </w:t>
      </w:r>
      <w:r>
        <w:rPr>
          <w:color w:val="auto"/>
          <w:szCs w:val="21"/>
          <w:u w:val="single"/>
        </w:rPr>
        <w:t xml:space="preserve"> </w:t>
      </w:r>
      <w:r>
        <w:rPr>
          <w:color w:val="auto"/>
          <w:szCs w:val="21"/>
        </w:rPr>
        <w:t xml:space="preserve"> ）。</w:t>
      </w:r>
    </w:p>
    <w:p>
      <w:pPr>
        <w:spacing w:line="440" w:lineRule="exact"/>
        <w:ind w:firstLine="406" w:firstLineChars="200"/>
        <w:rPr>
          <w:color w:val="auto"/>
          <w:szCs w:val="21"/>
        </w:rPr>
      </w:pPr>
      <w:r>
        <w:rPr>
          <w:color w:val="auto"/>
          <w:szCs w:val="21"/>
        </w:rPr>
        <w:t>4</w:t>
      </w:r>
      <w:r>
        <w:rPr>
          <w:rFonts w:hint="eastAsia"/>
          <w:color w:val="auto"/>
          <w:szCs w:val="21"/>
        </w:rPr>
        <w:t>、</w:t>
      </w:r>
      <w:r>
        <w:rPr>
          <w:color w:val="auto"/>
          <w:szCs w:val="21"/>
        </w:rPr>
        <w:t>如我方中标：</w:t>
      </w:r>
    </w:p>
    <w:p>
      <w:pPr>
        <w:spacing w:line="440" w:lineRule="exact"/>
        <w:ind w:firstLine="695" w:firstLineChars="342"/>
        <w:rPr>
          <w:color w:val="auto"/>
          <w:szCs w:val="21"/>
        </w:rPr>
      </w:pPr>
      <w:r>
        <w:rPr>
          <w:color w:val="auto"/>
          <w:szCs w:val="21"/>
        </w:rPr>
        <w:t>（1）我方承诺在收到中标通知书后，在中标通知书规定的期限内与你方签订合同。</w:t>
      </w:r>
    </w:p>
    <w:p>
      <w:pPr>
        <w:spacing w:line="440" w:lineRule="exact"/>
        <w:ind w:firstLine="695" w:firstLineChars="342"/>
        <w:rPr>
          <w:color w:val="auto"/>
          <w:szCs w:val="21"/>
        </w:rPr>
      </w:pPr>
      <w:r>
        <w:rPr>
          <w:color w:val="auto"/>
          <w:szCs w:val="21"/>
        </w:rPr>
        <w:t>（2）随同本投标函递交的投标函附录属于合同文件的组成部分。</w:t>
      </w:r>
    </w:p>
    <w:p>
      <w:pPr>
        <w:spacing w:line="440" w:lineRule="exact"/>
        <w:ind w:firstLine="695" w:firstLineChars="342"/>
        <w:rPr>
          <w:rFonts w:hint="eastAsia" w:eastAsia="宋体"/>
          <w:color w:val="auto"/>
          <w:szCs w:val="21"/>
          <w:lang w:val="en-US" w:eastAsia="zh-CN"/>
        </w:rPr>
      </w:pPr>
      <w:r>
        <w:rPr>
          <w:color w:val="auto"/>
          <w:szCs w:val="21"/>
        </w:rPr>
        <w:t>（</w:t>
      </w:r>
      <w:r>
        <w:rPr>
          <w:rFonts w:hint="eastAsia"/>
          <w:color w:val="auto"/>
          <w:szCs w:val="21"/>
          <w:lang w:val="en-US" w:eastAsia="zh-CN"/>
        </w:rPr>
        <w:t>3</w:t>
      </w:r>
      <w:r>
        <w:rPr>
          <w:color w:val="auto"/>
          <w:szCs w:val="21"/>
        </w:rPr>
        <w:t>）</w:t>
      </w:r>
      <w:r>
        <w:rPr>
          <w:rFonts w:hint="eastAsia"/>
          <w:color w:val="auto"/>
          <w:szCs w:val="21"/>
        </w:rPr>
        <w:t>在签订合同时不向你方提出附加条件</w:t>
      </w:r>
      <w:r>
        <w:rPr>
          <w:rFonts w:hint="eastAsia"/>
          <w:color w:val="auto"/>
          <w:szCs w:val="21"/>
          <w:lang w:eastAsia="zh-CN"/>
        </w:rPr>
        <w:t>。</w:t>
      </w:r>
    </w:p>
    <w:p>
      <w:pPr>
        <w:spacing w:line="440" w:lineRule="exact"/>
        <w:ind w:firstLine="695" w:firstLineChars="342"/>
        <w:rPr>
          <w:color w:val="auto"/>
          <w:szCs w:val="21"/>
        </w:rPr>
      </w:pPr>
      <w:r>
        <w:rPr>
          <w:color w:val="auto"/>
          <w:szCs w:val="21"/>
        </w:rPr>
        <w:t>（</w:t>
      </w:r>
      <w:r>
        <w:rPr>
          <w:rFonts w:hint="eastAsia"/>
          <w:color w:val="auto"/>
          <w:szCs w:val="21"/>
          <w:lang w:val="en-US" w:eastAsia="zh-CN"/>
        </w:rPr>
        <w:t>4</w:t>
      </w:r>
      <w:r>
        <w:rPr>
          <w:color w:val="auto"/>
          <w:szCs w:val="21"/>
        </w:rPr>
        <w:t>）我方承诺在合同约定的期限内完成并移交全部合同工程。</w:t>
      </w:r>
    </w:p>
    <w:p>
      <w:pPr>
        <w:spacing w:line="440" w:lineRule="exact"/>
        <w:ind w:firstLine="406" w:firstLineChars="200"/>
        <w:rPr>
          <w:color w:val="auto"/>
          <w:szCs w:val="21"/>
        </w:rPr>
      </w:pPr>
      <w:r>
        <w:rPr>
          <w:color w:val="auto"/>
          <w:szCs w:val="21"/>
        </w:rPr>
        <w:t>5</w:t>
      </w:r>
      <w:r>
        <w:rPr>
          <w:rFonts w:hint="eastAsia"/>
          <w:color w:val="auto"/>
          <w:szCs w:val="21"/>
        </w:rPr>
        <w:t>、</w:t>
      </w:r>
      <w:r>
        <w:rPr>
          <w:rFonts w:hint="eastAsia"/>
          <w:color w:val="auto"/>
        </w:rPr>
        <w:t>我方在此声明，所递交的投标文件及有关资料内容完整、真实和准确，且不存在第二章“投标人须知”第1.4.3项规定的任何一种情形。</w:t>
      </w:r>
    </w:p>
    <w:p>
      <w:pPr>
        <w:spacing w:line="440" w:lineRule="exact"/>
        <w:ind w:firstLine="406" w:firstLineChars="200"/>
        <w:rPr>
          <w:color w:val="auto"/>
          <w:szCs w:val="21"/>
        </w:rPr>
      </w:pPr>
      <w:r>
        <w:rPr>
          <w:rFonts w:hint="eastAsia"/>
          <w:color w:val="auto"/>
          <w:szCs w:val="21"/>
        </w:rPr>
        <w:t>6、</w:t>
      </w:r>
      <w:r>
        <w:rPr>
          <w:color w:val="auto"/>
          <w:szCs w:val="21"/>
          <w:u w:val="single"/>
        </w:rPr>
        <w:t xml:space="preserve">                                       </w:t>
      </w:r>
      <w:r>
        <w:rPr>
          <w:color w:val="auto"/>
          <w:szCs w:val="21"/>
        </w:rPr>
        <w:t>（</w:t>
      </w:r>
      <w:r>
        <w:rPr>
          <w:rFonts w:hint="eastAsia"/>
          <w:color w:val="auto"/>
          <w:szCs w:val="21"/>
        </w:rPr>
        <w:t>其他</w:t>
      </w:r>
      <w:r>
        <w:rPr>
          <w:color w:val="auto"/>
          <w:szCs w:val="21"/>
        </w:rPr>
        <w:t>补充说明）。</w:t>
      </w:r>
    </w:p>
    <w:p>
      <w:pPr>
        <w:spacing w:line="440" w:lineRule="exact"/>
        <w:rPr>
          <w:color w:val="auto"/>
          <w:szCs w:val="21"/>
        </w:rPr>
      </w:pPr>
    </w:p>
    <w:p>
      <w:pPr>
        <w:spacing w:line="440" w:lineRule="exact"/>
        <w:ind w:firstLine="3553" w:firstLineChars="1750"/>
        <w:rPr>
          <w:color w:val="auto"/>
          <w:szCs w:val="21"/>
        </w:rPr>
      </w:pPr>
      <w:r>
        <w:rPr>
          <w:color w:val="auto"/>
          <w:szCs w:val="21"/>
        </w:rPr>
        <w:t>投 标 人：</w:t>
      </w:r>
      <w:r>
        <w:rPr>
          <w:color w:val="auto"/>
          <w:szCs w:val="21"/>
          <w:u w:val="single"/>
        </w:rPr>
        <w:t xml:space="preserve">                      </w:t>
      </w:r>
      <w:r>
        <w:rPr>
          <w:color w:val="auto"/>
          <w:szCs w:val="21"/>
        </w:rPr>
        <w:t>（盖单位</w:t>
      </w:r>
      <w:r>
        <w:rPr>
          <w:rFonts w:hint="eastAsia"/>
          <w:color w:val="auto"/>
          <w:szCs w:val="21"/>
          <w:lang w:val="en-US" w:eastAsia="zh-CN"/>
        </w:rPr>
        <w:t>电子</w:t>
      </w:r>
      <w:r>
        <w:rPr>
          <w:color w:val="auto"/>
          <w:szCs w:val="21"/>
        </w:rPr>
        <w:t>章）</w:t>
      </w:r>
    </w:p>
    <w:p>
      <w:pPr>
        <w:spacing w:line="440" w:lineRule="exact"/>
        <w:ind w:firstLine="3553" w:firstLineChars="1750"/>
        <w:rPr>
          <w:color w:val="auto"/>
          <w:szCs w:val="21"/>
        </w:rPr>
      </w:pPr>
      <w:r>
        <w:rPr>
          <w:color w:val="auto"/>
          <w:szCs w:val="21"/>
        </w:rPr>
        <w:t>法定代表人或其委托代理人：</w:t>
      </w:r>
      <w:r>
        <w:rPr>
          <w:color w:val="auto"/>
          <w:szCs w:val="21"/>
          <w:u w:val="single"/>
        </w:rPr>
        <w:t xml:space="preserve">      </w:t>
      </w:r>
      <w:r>
        <w:rPr>
          <w:rFonts w:hint="eastAsia"/>
          <w:color w:val="auto"/>
          <w:szCs w:val="21"/>
          <w:u w:val="single"/>
        </w:rPr>
        <w:t xml:space="preserve">   </w:t>
      </w:r>
      <w:r>
        <w:rPr>
          <w:color w:val="auto"/>
          <w:szCs w:val="21"/>
          <w:u w:val="single"/>
        </w:rPr>
        <w:t xml:space="preserve"> </w:t>
      </w:r>
      <w:r>
        <w:rPr>
          <w:color w:val="auto"/>
          <w:szCs w:val="21"/>
        </w:rPr>
        <w:t>（</w:t>
      </w:r>
      <w:r>
        <w:rPr>
          <w:rFonts w:hint="eastAsia" w:ascii="宋体" w:hAnsi="宋体" w:cs="宋体"/>
          <w:color w:val="auto"/>
          <w:szCs w:val="21"/>
        </w:rPr>
        <w:t>签字或盖电子章</w:t>
      </w:r>
      <w:r>
        <w:rPr>
          <w:color w:val="auto"/>
          <w:szCs w:val="21"/>
        </w:rPr>
        <w:t>）</w:t>
      </w:r>
    </w:p>
    <w:p>
      <w:pPr>
        <w:spacing w:line="440" w:lineRule="exact"/>
        <w:ind w:firstLine="3553" w:firstLineChars="1750"/>
        <w:rPr>
          <w:color w:val="auto"/>
          <w:szCs w:val="21"/>
        </w:rPr>
      </w:pPr>
      <w:r>
        <w:rPr>
          <w:color w:val="auto"/>
          <w:szCs w:val="21"/>
        </w:rPr>
        <w:t>地址：</w:t>
      </w:r>
      <w:r>
        <w:rPr>
          <w:color w:val="auto"/>
          <w:szCs w:val="21"/>
          <w:u w:val="single"/>
        </w:rPr>
        <w:t xml:space="preserve">                                     </w:t>
      </w:r>
    </w:p>
    <w:p>
      <w:pPr>
        <w:spacing w:line="440" w:lineRule="exact"/>
        <w:ind w:firstLine="3553" w:firstLineChars="1750"/>
        <w:rPr>
          <w:color w:val="auto"/>
          <w:szCs w:val="21"/>
        </w:rPr>
      </w:pPr>
      <w:r>
        <w:rPr>
          <w:color w:val="auto"/>
          <w:szCs w:val="21"/>
        </w:rPr>
        <w:t>网址：</w:t>
      </w:r>
      <w:r>
        <w:rPr>
          <w:color w:val="auto"/>
          <w:szCs w:val="21"/>
          <w:u w:val="single"/>
        </w:rPr>
        <w:t xml:space="preserve">                                     </w:t>
      </w:r>
    </w:p>
    <w:p>
      <w:pPr>
        <w:spacing w:line="440" w:lineRule="exact"/>
        <w:ind w:firstLine="3553" w:firstLineChars="1750"/>
        <w:rPr>
          <w:color w:val="auto"/>
          <w:szCs w:val="21"/>
        </w:rPr>
      </w:pPr>
      <w:r>
        <w:rPr>
          <w:color w:val="auto"/>
          <w:szCs w:val="21"/>
        </w:rPr>
        <w:t>电话：</w:t>
      </w:r>
      <w:r>
        <w:rPr>
          <w:color w:val="auto"/>
          <w:szCs w:val="21"/>
          <w:u w:val="single"/>
        </w:rPr>
        <w:t xml:space="preserve">                                     </w:t>
      </w:r>
    </w:p>
    <w:p>
      <w:pPr>
        <w:spacing w:line="440" w:lineRule="exact"/>
        <w:ind w:firstLine="3553" w:firstLineChars="1750"/>
        <w:rPr>
          <w:color w:val="auto"/>
          <w:szCs w:val="21"/>
        </w:rPr>
      </w:pPr>
      <w:r>
        <w:rPr>
          <w:color w:val="auto"/>
          <w:szCs w:val="21"/>
        </w:rPr>
        <w:t>传真：</w:t>
      </w:r>
      <w:r>
        <w:rPr>
          <w:color w:val="auto"/>
          <w:szCs w:val="21"/>
          <w:u w:val="single"/>
        </w:rPr>
        <w:t xml:space="preserve">                                     </w:t>
      </w:r>
    </w:p>
    <w:p>
      <w:pPr>
        <w:spacing w:line="440" w:lineRule="exact"/>
        <w:ind w:firstLine="3553" w:firstLineChars="1750"/>
        <w:rPr>
          <w:color w:val="auto"/>
          <w:szCs w:val="21"/>
        </w:rPr>
      </w:pPr>
      <w:r>
        <w:rPr>
          <w:color w:val="auto"/>
          <w:szCs w:val="21"/>
        </w:rPr>
        <w:t>邮政编码：</w:t>
      </w:r>
      <w:r>
        <w:rPr>
          <w:color w:val="auto"/>
          <w:szCs w:val="21"/>
          <w:u w:val="single"/>
        </w:rPr>
        <w:t xml:space="preserve">                                 </w:t>
      </w:r>
    </w:p>
    <w:p>
      <w:pPr>
        <w:spacing w:line="440" w:lineRule="exact"/>
        <w:ind w:firstLine="3553" w:firstLineChars="1750"/>
        <w:rPr>
          <w:color w:val="auto"/>
          <w:szCs w:val="21"/>
        </w:rPr>
      </w:pPr>
    </w:p>
    <w:p>
      <w:pPr>
        <w:spacing w:line="440" w:lineRule="exact"/>
        <w:ind w:firstLine="4872" w:firstLineChars="2400"/>
        <w:rPr>
          <w:color w:val="auto"/>
          <w:szCs w:val="21"/>
        </w:rPr>
      </w:pPr>
      <w:r>
        <w:rPr>
          <w:rFonts w:hint="eastAsia"/>
          <w:color w:val="auto"/>
          <w:szCs w:val="21"/>
          <w:u w:val="single"/>
        </w:rPr>
        <w:t xml:space="preserve">        </w:t>
      </w:r>
      <w:r>
        <w:rPr>
          <w:color w:val="auto"/>
          <w:szCs w:val="21"/>
        </w:rPr>
        <w:t>年</w:t>
      </w:r>
      <w:r>
        <w:rPr>
          <w:rFonts w:hint="eastAsia"/>
          <w:color w:val="auto"/>
          <w:szCs w:val="21"/>
          <w:u w:val="single"/>
        </w:rPr>
        <w:t xml:space="preserve">        </w:t>
      </w:r>
      <w:r>
        <w:rPr>
          <w:color w:val="auto"/>
          <w:szCs w:val="21"/>
        </w:rPr>
        <w:t>月</w:t>
      </w:r>
      <w:r>
        <w:rPr>
          <w:rFonts w:hint="eastAsia"/>
          <w:color w:val="auto"/>
          <w:szCs w:val="21"/>
          <w:u w:val="single"/>
        </w:rPr>
        <w:t xml:space="preserve">        </w:t>
      </w:r>
      <w:r>
        <w:rPr>
          <w:color w:val="auto"/>
          <w:szCs w:val="21"/>
        </w:rPr>
        <w:t>日</w:t>
      </w:r>
    </w:p>
    <w:p>
      <w:pPr>
        <w:spacing w:line="440" w:lineRule="exact"/>
        <w:rPr>
          <w:rFonts w:eastAsia="黑体"/>
          <w:color w:val="auto"/>
          <w:sz w:val="20"/>
          <w:szCs w:val="20"/>
        </w:rPr>
      </w:pPr>
    </w:p>
    <w:p>
      <w:pPr>
        <w:pStyle w:val="69"/>
        <w:jc w:val="center"/>
        <w:rPr>
          <w:color w:val="auto"/>
          <w:szCs w:val="23"/>
        </w:rPr>
      </w:pPr>
      <w:r>
        <w:rPr>
          <w:color w:val="auto"/>
          <w:szCs w:val="23"/>
        </w:rPr>
        <w:br w:type="page"/>
      </w:r>
      <w:r>
        <w:rPr>
          <w:color w:val="auto"/>
          <w:szCs w:val="23"/>
        </w:rPr>
        <w:t>（二）投标函附录一</w:t>
      </w:r>
    </w:p>
    <w:p>
      <w:pPr>
        <w:rPr>
          <w:color w:val="auto"/>
        </w:rPr>
      </w:pPr>
    </w:p>
    <w:tbl>
      <w:tblPr>
        <w:tblStyle w:val="37"/>
        <w:tblW w:w="0" w:type="auto"/>
        <w:tblInd w:w="15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2265"/>
        <w:gridCol w:w="4685"/>
        <w:gridCol w:w="1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70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宋体" w:hAnsi="宋体" w:cs="宋体"/>
                <w:b/>
                <w:color w:val="auto"/>
                <w:sz w:val="21"/>
                <w:szCs w:val="21"/>
              </w:rPr>
            </w:pPr>
            <w:r>
              <w:rPr>
                <w:rFonts w:hint="eastAsia" w:ascii="宋体" w:hAnsi="宋体" w:cs="宋体"/>
                <w:b/>
                <w:color w:val="auto"/>
                <w:sz w:val="21"/>
                <w:szCs w:val="21"/>
              </w:rPr>
              <w:t>序号</w:t>
            </w:r>
          </w:p>
        </w:tc>
        <w:tc>
          <w:tcPr>
            <w:tcW w:w="226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宋体" w:hAnsi="宋体" w:cs="宋体"/>
                <w:b/>
                <w:color w:val="auto"/>
                <w:sz w:val="21"/>
                <w:szCs w:val="21"/>
              </w:rPr>
            </w:pPr>
            <w:r>
              <w:rPr>
                <w:rFonts w:hint="eastAsia" w:ascii="宋体" w:hAnsi="宋体" w:cs="宋体"/>
                <w:b/>
                <w:color w:val="auto"/>
                <w:sz w:val="21"/>
                <w:szCs w:val="21"/>
              </w:rPr>
              <w:t>条款名称</w:t>
            </w:r>
          </w:p>
        </w:tc>
        <w:tc>
          <w:tcPr>
            <w:tcW w:w="468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宋体" w:hAnsi="宋体" w:cs="宋体"/>
                <w:b/>
                <w:color w:val="auto"/>
                <w:sz w:val="21"/>
                <w:szCs w:val="21"/>
              </w:rPr>
            </w:pPr>
            <w:r>
              <w:rPr>
                <w:rFonts w:hint="eastAsia" w:ascii="宋体" w:hAnsi="宋体" w:cs="宋体"/>
                <w:b/>
                <w:color w:val="auto"/>
                <w:sz w:val="21"/>
                <w:szCs w:val="21"/>
              </w:rPr>
              <w:t>约定内容</w:t>
            </w:r>
          </w:p>
        </w:tc>
        <w:tc>
          <w:tcPr>
            <w:tcW w:w="113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宋体" w:hAnsi="宋体" w:cs="宋体"/>
                <w:b/>
                <w:color w:val="auto"/>
                <w:sz w:val="21"/>
                <w:szCs w:val="21"/>
              </w:rPr>
            </w:pPr>
            <w:r>
              <w:rPr>
                <w:rFonts w:hint="eastAsia" w:ascii="宋体" w:hAnsi="宋体" w:cs="宋体"/>
                <w:b/>
                <w:color w:val="auto"/>
                <w:sz w:val="21"/>
                <w:szCs w:val="21"/>
              </w:rPr>
              <w:t>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70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宋体" w:hAnsi="宋体" w:cs="宋体"/>
                <w:color w:val="auto"/>
                <w:sz w:val="21"/>
                <w:szCs w:val="21"/>
              </w:rPr>
            </w:pPr>
            <w:r>
              <w:rPr>
                <w:rFonts w:hint="eastAsia" w:ascii="宋体" w:hAnsi="宋体" w:cs="宋体"/>
                <w:color w:val="auto"/>
                <w:sz w:val="21"/>
                <w:szCs w:val="21"/>
              </w:rPr>
              <w:t>1</w:t>
            </w:r>
          </w:p>
        </w:tc>
        <w:tc>
          <w:tcPr>
            <w:tcW w:w="226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left"/>
              <w:textAlignment w:val="baseline"/>
              <w:rPr>
                <w:rFonts w:hint="eastAsia" w:ascii="宋体" w:hAnsi="宋体" w:cs="宋体"/>
                <w:color w:val="auto"/>
                <w:sz w:val="21"/>
                <w:szCs w:val="21"/>
              </w:rPr>
            </w:pPr>
            <w:r>
              <w:rPr>
                <w:rFonts w:hint="eastAsia" w:ascii="宋体" w:hAnsi="宋体" w:cs="宋体"/>
                <w:color w:val="auto"/>
                <w:sz w:val="21"/>
                <w:szCs w:val="21"/>
              </w:rPr>
              <w:t>项目经理</w:t>
            </w:r>
          </w:p>
        </w:tc>
        <w:tc>
          <w:tcPr>
            <w:tcW w:w="468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left"/>
              <w:textAlignment w:val="baseline"/>
              <w:rPr>
                <w:rFonts w:hint="eastAsia" w:ascii="宋体" w:hAnsi="宋体" w:cs="宋体"/>
                <w:color w:val="auto"/>
                <w:sz w:val="21"/>
                <w:szCs w:val="21"/>
              </w:rPr>
            </w:pPr>
            <w:r>
              <w:rPr>
                <w:rFonts w:hint="eastAsia" w:ascii="宋体" w:hAnsi="宋体" w:cs="宋体"/>
                <w:color w:val="auto"/>
                <w:sz w:val="21"/>
                <w:szCs w:val="21"/>
              </w:rPr>
              <w:t xml:space="preserve">姓名：           </w:t>
            </w:r>
          </w:p>
          <w:p>
            <w:pPr>
              <w:keepNext w:val="0"/>
              <w:keepLines w:val="0"/>
              <w:pageBreakBefore w:val="0"/>
              <w:widowControl w:val="0"/>
              <w:kinsoku/>
              <w:wordWrap/>
              <w:overflowPunct/>
              <w:topLinePunct w:val="0"/>
              <w:autoSpaceDE/>
              <w:autoSpaceDN/>
              <w:bidi w:val="0"/>
              <w:adjustRightInd w:val="0"/>
              <w:snapToGrid/>
              <w:spacing w:line="240" w:lineRule="auto"/>
              <w:jc w:val="left"/>
              <w:textAlignment w:val="baseline"/>
              <w:rPr>
                <w:rFonts w:hint="eastAsia" w:ascii="宋体" w:hAnsi="宋体" w:cs="宋体"/>
                <w:color w:val="auto"/>
                <w:sz w:val="21"/>
                <w:szCs w:val="21"/>
              </w:rPr>
            </w:pPr>
            <w:r>
              <w:rPr>
                <w:rFonts w:hint="eastAsia" w:ascii="宋体" w:hAnsi="宋体" w:cs="宋体"/>
                <w:color w:val="auto"/>
                <w:sz w:val="21"/>
                <w:szCs w:val="21"/>
              </w:rPr>
              <w:t xml:space="preserve">注册编号：           </w:t>
            </w:r>
          </w:p>
        </w:tc>
        <w:tc>
          <w:tcPr>
            <w:tcW w:w="113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宋体"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70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宋体" w:hAnsi="宋体" w:cs="宋体"/>
                <w:color w:val="auto"/>
                <w:sz w:val="21"/>
                <w:szCs w:val="21"/>
              </w:rPr>
            </w:pPr>
            <w:r>
              <w:rPr>
                <w:rFonts w:hint="eastAsia" w:ascii="宋体" w:hAnsi="宋体" w:cs="宋体"/>
                <w:color w:val="auto"/>
                <w:sz w:val="21"/>
                <w:szCs w:val="21"/>
              </w:rPr>
              <w:t>2</w:t>
            </w:r>
          </w:p>
        </w:tc>
        <w:tc>
          <w:tcPr>
            <w:tcW w:w="226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left"/>
              <w:textAlignment w:val="baseline"/>
              <w:rPr>
                <w:rFonts w:hint="eastAsia" w:ascii="宋体" w:hAnsi="宋体" w:cs="宋体"/>
                <w:color w:val="auto"/>
                <w:sz w:val="21"/>
                <w:szCs w:val="21"/>
              </w:rPr>
            </w:pPr>
            <w:r>
              <w:rPr>
                <w:rFonts w:hint="eastAsia" w:ascii="宋体" w:hAnsi="宋体" w:cs="宋体"/>
                <w:color w:val="auto"/>
                <w:sz w:val="21"/>
                <w:szCs w:val="21"/>
              </w:rPr>
              <w:t>工期</w:t>
            </w:r>
          </w:p>
        </w:tc>
        <w:tc>
          <w:tcPr>
            <w:tcW w:w="468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left"/>
              <w:textAlignment w:val="baseline"/>
              <w:rPr>
                <w:rFonts w:hint="eastAsia" w:ascii="宋体" w:hAnsi="宋体" w:cs="宋体"/>
                <w:color w:val="auto"/>
                <w:sz w:val="21"/>
                <w:szCs w:val="21"/>
              </w:rPr>
            </w:pPr>
            <w:r>
              <w:rPr>
                <w:rFonts w:hint="eastAsia" w:ascii="宋体" w:hAnsi="宋体" w:cs="宋体"/>
                <w:color w:val="auto"/>
                <w:sz w:val="21"/>
                <w:szCs w:val="21"/>
                <w:u w:val="single"/>
                <w:lang w:val="en-US" w:eastAsia="zh-CN"/>
              </w:rPr>
              <w:t xml:space="preserve">      </w:t>
            </w:r>
            <w:r>
              <w:rPr>
                <w:rFonts w:hint="eastAsia" w:ascii="宋体" w:hAnsi="宋体" w:cs="宋体"/>
                <w:color w:val="auto"/>
                <w:sz w:val="21"/>
                <w:szCs w:val="21"/>
                <w:lang w:eastAsia="zh-CN"/>
              </w:rPr>
              <w:t>日历天</w:t>
            </w:r>
          </w:p>
        </w:tc>
        <w:tc>
          <w:tcPr>
            <w:tcW w:w="113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宋体"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70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宋体" w:hAnsi="宋体" w:cs="宋体"/>
                <w:color w:val="auto"/>
                <w:sz w:val="21"/>
                <w:szCs w:val="21"/>
              </w:rPr>
            </w:pPr>
            <w:r>
              <w:rPr>
                <w:rFonts w:hint="eastAsia" w:ascii="宋体" w:hAnsi="宋体" w:cs="宋体"/>
                <w:color w:val="auto"/>
                <w:sz w:val="21"/>
                <w:szCs w:val="21"/>
              </w:rPr>
              <w:t>3</w:t>
            </w:r>
          </w:p>
        </w:tc>
        <w:tc>
          <w:tcPr>
            <w:tcW w:w="226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left"/>
              <w:textAlignment w:val="baseline"/>
              <w:rPr>
                <w:rFonts w:hint="eastAsia" w:ascii="宋体" w:hAnsi="宋体" w:cs="宋体"/>
                <w:color w:val="auto"/>
                <w:sz w:val="21"/>
                <w:szCs w:val="21"/>
              </w:rPr>
            </w:pPr>
            <w:r>
              <w:rPr>
                <w:rFonts w:hint="eastAsia" w:ascii="宋体" w:hAnsi="宋体" w:cs="宋体"/>
                <w:color w:val="auto"/>
                <w:sz w:val="21"/>
                <w:szCs w:val="21"/>
              </w:rPr>
              <w:t>缺陷责任期</w:t>
            </w:r>
          </w:p>
        </w:tc>
        <w:tc>
          <w:tcPr>
            <w:tcW w:w="468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left"/>
              <w:textAlignment w:val="baseline"/>
              <w:rPr>
                <w:rFonts w:hint="eastAsia" w:ascii="宋体" w:hAnsi="宋体" w:cs="宋体"/>
                <w:color w:val="auto"/>
                <w:sz w:val="21"/>
                <w:szCs w:val="21"/>
              </w:rPr>
            </w:pPr>
            <w:r>
              <w:rPr>
                <w:rFonts w:hint="eastAsia" w:ascii="宋体" w:hAnsi="宋体" w:cs="宋体"/>
                <w:color w:val="auto"/>
                <w:sz w:val="21"/>
                <w:szCs w:val="21"/>
                <w:u w:val="single"/>
                <w:lang w:val="en-US" w:eastAsia="zh-CN"/>
              </w:rPr>
              <w:t xml:space="preserve">     </w:t>
            </w:r>
            <w:r>
              <w:rPr>
                <w:rFonts w:hint="eastAsia" w:ascii="宋体" w:hAnsi="宋体"/>
                <w:color w:val="auto"/>
                <w:sz w:val="21"/>
                <w:szCs w:val="21"/>
              </w:rPr>
              <w:t>个月（自竣工验收合格之日起）</w:t>
            </w:r>
          </w:p>
        </w:tc>
        <w:tc>
          <w:tcPr>
            <w:tcW w:w="113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宋体"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0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宋体" w:hAnsi="宋体" w:cs="宋体"/>
                <w:color w:val="auto"/>
                <w:sz w:val="21"/>
                <w:szCs w:val="21"/>
              </w:rPr>
            </w:pPr>
            <w:r>
              <w:rPr>
                <w:rFonts w:hint="eastAsia" w:ascii="宋体" w:hAnsi="宋体" w:cs="宋体"/>
                <w:color w:val="auto"/>
                <w:sz w:val="21"/>
                <w:szCs w:val="21"/>
              </w:rPr>
              <w:t>4</w:t>
            </w:r>
          </w:p>
        </w:tc>
        <w:tc>
          <w:tcPr>
            <w:tcW w:w="226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left"/>
              <w:textAlignment w:val="baseline"/>
              <w:rPr>
                <w:rFonts w:hint="eastAsia" w:ascii="宋体" w:hAnsi="宋体" w:cs="宋体"/>
                <w:color w:val="auto"/>
                <w:sz w:val="21"/>
                <w:szCs w:val="21"/>
              </w:rPr>
            </w:pPr>
            <w:r>
              <w:rPr>
                <w:rFonts w:hint="eastAsia" w:ascii="宋体" w:hAnsi="宋体" w:cs="宋体"/>
                <w:color w:val="auto"/>
                <w:sz w:val="21"/>
                <w:szCs w:val="21"/>
              </w:rPr>
              <w:t>分包</w:t>
            </w:r>
          </w:p>
        </w:tc>
        <w:tc>
          <w:tcPr>
            <w:tcW w:w="468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left"/>
              <w:textAlignment w:val="baseline"/>
              <w:rPr>
                <w:rFonts w:hint="eastAsia" w:ascii="宋体" w:hAnsi="宋体" w:cs="宋体"/>
                <w:color w:val="auto"/>
                <w:sz w:val="21"/>
                <w:szCs w:val="21"/>
              </w:rPr>
            </w:pPr>
            <w:r>
              <w:rPr>
                <w:rFonts w:hint="eastAsia" w:ascii="宋体" w:hAnsi="宋体" w:cs="宋体"/>
                <w:color w:val="auto"/>
                <w:sz w:val="21"/>
                <w:szCs w:val="21"/>
              </w:rPr>
              <w:t>不允许</w:t>
            </w:r>
          </w:p>
        </w:tc>
        <w:tc>
          <w:tcPr>
            <w:tcW w:w="113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宋体"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70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宋体" w:hAnsi="宋体" w:cs="宋体"/>
                <w:color w:val="auto"/>
                <w:sz w:val="21"/>
                <w:szCs w:val="21"/>
              </w:rPr>
            </w:pPr>
            <w:r>
              <w:rPr>
                <w:rFonts w:hint="eastAsia" w:ascii="宋体" w:hAnsi="宋体" w:cs="宋体"/>
                <w:color w:val="auto"/>
                <w:sz w:val="21"/>
                <w:szCs w:val="21"/>
              </w:rPr>
              <w:t>5</w:t>
            </w:r>
          </w:p>
        </w:tc>
        <w:tc>
          <w:tcPr>
            <w:tcW w:w="226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left"/>
              <w:textAlignment w:val="baseline"/>
              <w:rPr>
                <w:rFonts w:hint="eastAsia" w:ascii="宋体" w:hAnsi="宋体" w:cs="宋体"/>
                <w:color w:val="auto"/>
                <w:sz w:val="21"/>
                <w:szCs w:val="21"/>
              </w:rPr>
            </w:pPr>
            <w:r>
              <w:rPr>
                <w:rFonts w:hint="eastAsia" w:ascii="宋体" w:hAnsi="宋体" w:cs="宋体"/>
                <w:color w:val="auto"/>
                <w:sz w:val="21"/>
                <w:szCs w:val="21"/>
              </w:rPr>
              <w:t>投标有效期</w:t>
            </w:r>
          </w:p>
        </w:tc>
        <w:tc>
          <w:tcPr>
            <w:tcW w:w="468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left"/>
              <w:textAlignment w:val="baseline"/>
              <w:rPr>
                <w:rFonts w:ascii="宋体" w:hAnsi="宋体" w:cs="宋体"/>
                <w:color w:val="auto"/>
                <w:sz w:val="21"/>
                <w:szCs w:val="21"/>
              </w:rPr>
            </w:pPr>
            <w:r>
              <w:rPr>
                <w:rFonts w:hint="eastAsia" w:ascii="宋体" w:hAnsi="宋体" w:cs="宋体"/>
                <w:color w:val="auto"/>
                <w:sz w:val="21"/>
                <w:szCs w:val="21"/>
              </w:rPr>
              <w:t>投标截止之日起90</w:t>
            </w:r>
            <w:r>
              <w:rPr>
                <w:rFonts w:hint="eastAsia" w:ascii="宋体" w:hAnsi="宋体" w:cs="宋体"/>
                <w:color w:val="auto"/>
                <w:sz w:val="21"/>
                <w:szCs w:val="21"/>
                <w:lang w:val="en-US" w:eastAsia="zh-CN"/>
              </w:rPr>
              <w:t>日历</w:t>
            </w:r>
            <w:r>
              <w:rPr>
                <w:rFonts w:hint="eastAsia" w:ascii="宋体" w:hAnsi="宋体" w:cs="宋体"/>
                <w:color w:val="auto"/>
                <w:sz w:val="21"/>
                <w:szCs w:val="21"/>
              </w:rPr>
              <w:t>天</w:t>
            </w:r>
          </w:p>
        </w:tc>
        <w:tc>
          <w:tcPr>
            <w:tcW w:w="113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宋体"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trPr>
        <w:tc>
          <w:tcPr>
            <w:tcW w:w="70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宋体" w:hAnsi="宋体" w:cs="宋体"/>
                <w:color w:val="auto"/>
                <w:sz w:val="21"/>
                <w:szCs w:val="21"/>
              </w:rPr>
            </w:pPr>
            <w:r>
              <w:rPr>
                <w:rFonts w:hint="eastAsia" w:ascii="宋体" w:hAnsi="宋体" w:cs="宋体"/>
                <w:color w:val="auto"/>
                <w:sz w:val="21"/>
                <w:szCs w:val="21"/>
              </w:rPr>
              <w:t>6</w:t>
            </w:r>
          </w:p>
        </w:tc>
        <w:tc>
          <w:tcPr>
            <w:tcW w:w="226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left"/>
              <w:textAlignment w:val="baseline"/>
              <w:rPr>
                <w:rFonts w:hint="eastAsia" w:ascii="宋体" w:hAnsi="宋体" w:cs="宋体"/>
                <w:color w:val="auto"/>
                <w:sz w:val="21"/>
                <w:szCs w:val="21"/>
              </w:rPr>
            </w:pPr>
            <w:r>
              <w:rPr>
                <w:rFonts w:hint="eastAsia" w:ascii="宋体" w:hAnsi="宋体" w:cs="宋体"/>
                <w:color w:val="auto"/>
                <w:sz w:val="21"/>
                <w:szCs w:val="21"/>
              </w:rPr>
              <w:t>商品砼和预拌砂浆承诺</w:t>
            </w:r>
          </w:p>
        </w:tc>
        <w:tc>
          <w:tcPr>
            <w:tcW w:w="468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left"/>
              <w:textAlignment w:val="baseline"/>
              <w:rPr>
                <w:rFonts w:hint="eastAsia" w:ascii="宋体" w:hAnsi="宋体" w:cs="宋体"/>
                <w:color w:val="auto"/>
                <w:sz w:val="21"/>
                <w:szCs w:val="21"/>
              </w:rPr>
            </w:pPr>
            <w:r>
              <w:rPr>
                <w:rFonts w:hint="eastAsia" w:ascii="宋体" w:hAnsi="宋体" w:cs="宋体"/>
                <w:color w:val="auto"/>
                <w:sz w:val="21"/>
                <w:szCs w:val="21"/>
              </w:rPr>
              <w:t>承诺使用商品砼和预拌砂浆，无此响应投标无效。</w:t>
            </w:r>
          </w:p>
        </w:tc>
        <w:tc>
          <w:tcPr>
            <w:tcW w:w="113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宋体"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6" w:hRule="atLeast"/>
        </w:trPr>
        <w:tc>
          <w:tcPr>
            <w:tcW w:w="70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宋体" w:hAnsi="宋体" w:cs="宋体"/>
                <w:color w:val="auto"/>
                <w:sz w:val="21"/>
                <w:szCs w:val="21"/>
              </w:rPr>
            </w:pPr>
            <w:r>
              <w:rPr>
                <w:rFonts w:hint="eastAsia" w:ascii="宋体" w:hAnsi="宋体" w:cs="宋体"/>
                <w:color w:val="auto"/>
                <w:sz w:val="21"/>
                <w:szCs w:val="21"/>
              </w:rPr>
              <w:t>7</w:t>
            </w:r>
          </w:p>
        </w:tc>
        <w:tc>
          <w:tcPr>
            <w:tcW w:w="226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eastAsia" w:ascii="宋体" w:hAnsi="宋体" w:cs="宋体"/>
                <w:color w:val="auto"/>
                <w:sz w:val="21"/>
                <w:szCs w:val="21"/>
              </w:rPr>
            </w:pPr>
            <w:r>
              <w:rPr>
                <w:rFonts w:hint="eastAsia" w:ascii="宋体" w:hAnsi="宋体" w:cs="宋体"/>
                <w:color w:val="auto"/>
                <w:sz w:val="21"/>
                <w:szCs w:val="21"/>
              </w:rPr>
              <w:t>劳务分包承诺</w:t>
            </w:r>
          </w:p>
        </w:tc>
        <w:tc>
          <w:tcPr>
            <w:tcW w:w="468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eastAsia" w:ascii="宋体" w:hAnsi="宋体" w:cs="宋体"/>
                <w:color w:val="auto"/>
                <w:sz w:val="21"/>
                <w:szCs w:val="21"/>
              </w:rPr>
            </w:pPr>
            <w:r>
              <w:rPr>
                <w:rFonts w:hint="eastAsia" w:ascii="宋体" w:hAnsi="宋体" w:cs="宋体"/>
                <w:color w:val="auto"/>
                <w:sz w:val="21"/>
                <w:szCs w:val="21"/>
              </w:rPr>
              <w:t>若投标人在中标后将劳务进行分包，必须承诺使用有资质的劳务分包企业，否则投标无效。</w:t>
            </w:r>
          </w:p>
        </w:tc>
        <w:tc>
          <w:tcPr>
            <w:tcW w:w="113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宋体"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trPr>
        <w:tc>
          <w:tcPr>
            <w:tcW w:w="705"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宋体" w:hAnsi="宋体" w:cs="宋体"/>
                <w:color w:val="auto"/>
                <w:sz w:val="21"/>
                <w:szCs w:val="21"/>
              </w:rPr>
            </w:pPr>
            <w:r>
              <w:rPr>
                <w:rFonts w:hint="eastAsia" w:ascii="宋体" w:hAnsi="宋体" w:cs="宋体"/>
                <w:color w:val="auto"/>
                <w:sz w:val="21"/>
                <w:szCs w:val="21"/>
              </w:rPr>
              <w:t>8</w:t>
            </w:r>
          </w:p>
        </w:tc>
        <w:tc>
          <w:tcPr>
            <w:tcW w:w="2265"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eastAsia" w:ascii="宋体" w:hAnsi="宋体" w:cs="宋体"/>
                <w:color w:val="auto"/>
                <w:sz w:val="21"/>
                <w:szCs w:val="21"/>
              </w:rPr>
            </w:pPr>
            <w:r>
              <w:rPr>
                <w:rFonts w:hint="eastAsia" w:ascii="宋体" w:hAnsi="宋体" w:cs="宋体"/>
                <w:color w:val="auto"/>
                <w:sz w:val="21"/>
                <w:szCs w:val="21"/>
              </w:rPr>
              <w:t>农民工工资保障金承诺</w:t>
            </w:r>
          </w:p>
        </w:tc>
        <w:tc>
          <w:tcPr>
            <w:tcW w:w="468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eastAsia" w:ascii="宋体" w:hAnsi="宋体" w:cs="宋体"/>
                <w:color w:val="auto"/>
                <w:sz w:val="21"/>
                <w:szCs w:val="21"/>
              </w:rPr>
            </w:pPr>
            <w:r>
              <w:rPr>
                <w:rFonts w:hint="eastAsia" w:ascii="宋体" w:hAnsi="宋体" w:cs="宋体"/>
                <w:color w:val="auto"/>
                <w:sz w:val="21"/>
                <w:szCs w:val="21"/>
              </w:rPr>
              <w:t>1.以前所承建工程工资支付情况，截止竞标之日，是否存在拖欠或克扣。</w:t>
            </w:r>
          </w:p>
        </w:tc>
        <w:tc>
          <w:tcPr>
            <w:tcW w:w="1135" w:type="dxa"/>
            <w:noWrap w:val="0"/>
            <w:vAlign w:val="top"/>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eastAsia" w:ascii="宋体" w:hAnsi="宋体" w:cs="宋体"/>
                <w:color w:val="auto"/>
                <w:sz w:val="21"/>
                <w:szCs w:val="21"/>
              </w:rPr>
            </w:pPr>
            <w:r>
              <w:rPr>
                <w:rFonts w:hint="eastAsia" w:ascii="宋体" w:hAnsi="宋体" w:cs="宋体"/>
                <w:color w:val="auto"/>
                <w:sz w:val="21"/>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70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宋体" w:hAnsi="宋体" w:cs="宋体"/>
                <w:color w:val="auto"/>
                <w:sz w:val="21"/>
                <w:szCs w:val="21"/>
              </w:rPr>
            </w:pPr>
          </w:p>
        </w:tc>
        <w:tc>
          <w:tcPr>
            <w:tcW w:w="226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eastAsia" w:ascii="宋体" w:hAnsi="宋体" w:cs="宋体"/>
                <w:color w:val="auto"/>
                <w:sz w:val="21"/>
                <w:szCs w:val="21"/>
              </w:rPr>
            </w:pPr>
          </w:p>
        </w:tc>
        <w:tc>
          <w:tcPr>
            <w:tcW w:w="468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eastAsia" w:ascii="宋体" w:hAnsi="宋体" w:cs="宋体"/>
                <w:color w:val="auto"/>
                <w:sz w:val="21"/>
                <w:szCs w:val="21"/>
              </w:rPr>
            </w:pPr>
            <w:r>
              <w:rPr>
                <w:rFonts w:hint="eastAsia" w:ascii="宋体" w:hAnsi="宋体" w:cs="宋体"/>
                <w:color w:val="auto"/>
                <w:sz w:val="21"/>
                <w:szCs w:val="21"/>
              </w:rPr>
              <w:t>2.中标后能否及时、足额存入农民工工资保障金。</w:t>
            </w:r>
          </w:p>
        </w:tc>
        <w:tc>
          <w:tcPr>
            <w:tcW w:w="1135" w:type="dxa"/>
            <w:noWrap w:val="0"/>
            <w:vAlign w:val="top"/>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eastAsia" w:ascii="宋体" w:hAnsi="宋体" w:cs="宋体"/>
                <w:color w:val="auto"/>
                <w:sz w:val="21"/>
                <w:szCs w:val="21"/>
              </w:rPr>
            </w:pPr>
            <w:r>
              <w:rPr>
                <w:rFonts w:hint="eastAsia" w:ascii="宋体" w:hAnsi="宋体" w:cs="宋体"/>
                <w:color w:val="auto"/>
                <w:sz w:val="21"/>
                <w:szCs w:val="21"/>
              </w:rPr>
              <w:t>能/不能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5" w:hRule="atLeast"/>
        </w:trPr>
        <w:tc>
          <w:tcPr>
            <w:tcW w:w="70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宋体" w:hAnsi="宋体" w:cs="宋体"/>
                <w:color w:val="auto"/>
                <w:sz w:val="21"/>
                <w:szCs w:val="21"/>
              </w:rPr>
            </w:pPr>
          </w:p>
        </w:tc>
        <w:tc>
          <w:tcPr>
            <w:tcW w:w="226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eastAsia" w:ascii="宋体" w:hAnsi="宋体" w:cs="宋体"/>
                <w:color w:val="auto"/>
                <w:sz w:val="21"/>
                <w:szCs w:val="21"/>
              </w:rPr>
            </w:pPr>
          </w:p>
        </w:tc>
        <w:tc>
          <w:tcPr>
            <w:tcW w:w="468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eastAsia" w:ascii="宋体" w:hAnsi="宋体" w:cs="宋体"/>
                <w:color w:val="auto"/>
                <w:sz w:val="21"/>
                <w:szCs w:val="21"/>
              </w:rPr>
            </w:pPr>
            <w:r>
              <w:rPr>
                <w:rFonts w:hint="eastAsia" w:ascii="宋体" w:hAnsi="宋体" w:cs="宋体"/>
                <w:color w:val="auto"/>
                <w:sz w:val="21"/>
                <w:szCs w:val="21"/>
              </w:rPr>
              <w:t>3.其承包的工程项目一旦出现拖欠职工工资，是否可由建设行政主管部门从工资保障金中先予划支。</w:t>
            </w:r>
          </w:p>
        </w:tc>
        <w:tc>
          <w:tcPr>
            <w:tcW w:w="113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eastAsia" w:ascii="宋体" w:hAnsi="宋体" w:cs="宋体"/>
                <w:color w:val="auto"/>
                <w:sz w:val="21"/>
                <w:szCs w:val="21"/>
              </w:rPr>
            </w:pPr>
            <w:r>
              <w:rPr>
                <w:rFonts w:hint="eastAsia" w:ascii="宋体" w:hAnsi="宋体" w:cs="宋体"/>
                <w:color w:val="auto"/>
                <w:sz w:val="21"/>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atLeast"/>
        </w:trPr>
        <w:tc>
          <w:tcPr>
            <w:tcW w:w="70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宋体" w:hAnsi="宋体" w:cs="宋体"/>
                <w:color w:val="auto"/>
                <w:sz w:val="21"/>
                <w:szCs w:val="21"/>
              </w:rPr>
            </w:pPr>
          </w:p>
        </w:tc>
        <w:tc>
          <w:tcPr>
            <w:tcW w:w="226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eastAsia" w:ascii="宋体" w:hAnsi="宋体" w:cs="宋体"/>
                <w:color w:val="auto"/>
                <w:sz w:val="21"/>
                <w:szCs w:val="21"/>
              </w:rPr>
            </w:pPr>
          </w:p>
        </w:tc>
        <w:tc>
          <w:tcPr>
            <w:tcW w:w="5820" w:type="dxa"/>
            <w:gridSpan w:val="2"/>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eastAsia" w:ascii="宋体" w:hAnsi="宋体" w:cs="宋体"/>
                <w:color w:val="auto"/>
                <w:sz w:val="21"/>
                <w:szCs w:val="21"/>
              </w:rPr>
            </w:pPr>
            <w:r>
              <w:rPr>
                <w:rFonts w:hint="eastAsia" w:ascii="宋体" w:hAnsi="宋体" w:cs="宋体"/>
                <w:color w:val="auto"/>
                <w:sz w:val="21"/>
                <w:szCs w:val="21"/>
              </w:rPr>
              <w:t>投标人须对以上三项内容进行如实承诺，投标人提交的投标文件不具备以上三项承诺的，在</w:t>
            </w:r>
            <w:r>
              <w:rPr>
                <w:rFonts w:hint="eastAsia" w:ascii="宋体" w:hAnsi="宋体" w:cs="宋体"/>
                <w:color w:val="auto"/>
                <w:sz w:val="21"/>
                <w:szCs w:val="21"/>
                <w:highlight w:val="none"/>
                <w:lang w:val="en-US" w:eastAsia="zh-CN"/>
              </w:rPr>
              <w:t>评标</w:t>
            </w:r>
            <w:r>
              <w:rPr>
                <w:rFonts w:hint="eastAsia" w:ascii="宋体" w:hAnsi="宋体" w:cs="宋体"/>
                <w:color w:val="auto"/>
                <w:sz w:val="21"/>
                <w:szCs w:val="21"/>
              </w:rPr>
              <w:t>对其实行“一票否决”。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atLeast"/>
        </w:trPr>
        <w:tc>
          <w:tcPr>
            <w:tcW w:w="70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宋体" w:hAnsi="宋体" w:eastAsia="宋体" w:cs="宋体"/>
                <w:color w:val="auto"/>
                <w:sz w:val="21"/>
                <w:szCs w:val="21"/>
                <w:lang w:val="en-US" w:eastAsia="zh-CN"/>
              </w:rPr>
            </w:pPr>
            <w:r>
              <w:rPr>
                <w:rFonts w:hint="eastAsia" w:ascii="宋体" w:hAnsi="宋体" w:cs="宋体"/>
                <w:color w:val="auto"/>
                <w:sz w:val="21"/>
                <w:szCs w:val="21"/>
                <w:lang w:val="en-US" w:eastAsia="zh-CN"/>
              </w:rPr>
              <w:t>9</w:t>
            </w:r>
          </w:p>
        </w:tc>
        <w:tc>
          <w:tcPr>
            <w:tcW w:w="226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eastAsia" w:ascii="宋体" w:hAnsi="宋体" w:cs="宋体"/>
                <w:color w:val="auto"/>
                <w:sz w:val="21"/>
                <w:szCs w:val="21"/>
              </w:rPr>
            </w:pPr>
            <w:r>
              <w:rPr>
                <w:rFonts w:hint="eastAsia"/>
                <w:color w:val="auto"/>
                <w:sz w:val="21"/>
                <w:szCs w:val="21"/>
                <w:highlight w:val="none"/>
              </w:rPr>
              <w:t>是否接受招标文件规定的付款方式</w:t>
            </w:r>
          </w:p>
        </w:tc>
        <w:tc>
          <w:tcPr>
            <w:tcW w:w="5820" w:type="dxa"/>
            <w:gridSpan w:val="2"/>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eastAsia" w:ascii="宋体" w:hAnsi="宋体" w:cs="宋体"/>
                <w:color w:val="auto"/>
                <w:sz w:val="21"/>
                <w:szCs w:val="21"/>
              </w:rPr>
            </w:pPr>
          </w:p>
        </w:tc>
      </w:tr>
    </w:tbl>
    <w:p>
      <w:pPr>
        <w:rPr>
          <w:color w:val="auto"/>
        </w:rPr>
      </w:pPr>
    </w:p>
    <w:p>
      <w:pPr>
        <w:rPr>
          <w:color w:val="auto"/>
        </w:rPr>
      </w:pPr>
    </w:p>
    <w:p>
      <w:pPr>
        <w:spacing w:line="440" w:lineRule="exact"/>
        <w:ind w:firstLine="4365" w:firstLineChars="2150"/>
        <w:rPr>
          <w:color w:val="auto"/>
          <w:szCs w:val="21"/>
        </w:rPr>
      </w:pPr>
      <w:r>
        <w:rPr>
          <w:color w:val="auto"/>
          <w:szCs w:val="21"/>
        </w:rPr>
        <w:t>投 标 人：</w:t>
      </w:r>
      <w:r>
        <w:rPr>
          <w:color w:val="auto"/>
          <w:szCs w:val="21"/>
          <w:u w:val="single"/>
        </w:rPr>
        <w:t xml:space="preserve">                      </w:t>
      </w:r>
      <w:r>
        <w:rPr>
          <w:color w:val="auto"/>
          <w:szCs w:val="21"/>
        </w:rPr>
        <w:t>（盖单位</w:t>
      </w:r>
      <w:r>
        <w:rPr>
          <w:rFonts w:hint="eastAsia"/>
          <w:color w:val="auto"/>
          <w:szCs w:val="21"/>
          <w:lang w:val="en-US" w:eastAsia="zh-CN"/>
        </w:rPr>
        <w:t>电子</w:t>
      </w:r>
      <w:r>
        <w:rPr>
          <w:color w:val="auto"/>
          <w:szCs w:val="21"/>
        </w:rPr>
        <w:t>章）</w:t>
      </w:r>
    </w:p>
    <w:p>
      <w:pPr>
        <w:spacing w:line="440" w:lineRule="exact"/>
        <w:ind w:firstLine="4263" w:firstLineChars="2100"/>
        <w:rPr>
          <w:rFonts w:eastAsia="黑体"/>
          <w:color w:val="auto"/>
          <w:sz w:val="20"/>
          <w:szCs w:val="20"/>
        </w:rPr>
      </w:pPr>
      <w:r>
        <w:rPr>
          <w:color w:val="auto"/>
          <w:szCs w:val="21"/>
        </w:rPr>
        <w:t>法定代表人或其委托代理人：</w:t>
      </w:r>
      <w:r>
        <w:rPr>
          <w:color w:val="auto"/>
          <w:szCs w:val="21"/>
          <w:u w:val="single"/>
        </w:rPr>
        <w:t xml:space="preserve">      </w:t>
      </w:r>
      <w:r>
        <w:rPr>
          <w:rFonts w:hint="eastAsia"/>
          <w:color w:val="auto"/>
          <w:szCs w:val="21"/>
          <w:u w:val="single"/>
        </w:rPr>
        <w:t xml:space="preserve"> </w:t>
      </w:r>
      <w:r>
        <w:rPr>
          <w:color w:val="auto"/>
          <w:szCs w:val="21"/>
          <w:u w:val="single"/>
        </w:rPr>
        <w:t xml:space="preserve"> </w:t>
      </w:r>
      <w:r>
        <w:rPr>
          <w:color w:val="auto"/>
          <w:szCs w:val="21"/>
        </w:rPr>
        <w:t>（</w:t>
      </w:r>
      <w:r>
        <w:rPr>
          <w:rFonts w:hint="eastAsia" w:ascii="宋体" w:hAnsi="宋体" w:cs="宋体"/>
          <w:color w:val="auto"/>
          <w:szCs w:val="21"/>
        </w:rPr>
        <w:t>签字或盖电子章</w:t>
      </w:r>
      <w:r>
        <w:rPr>
          <w:color w:val="auto"/>
          <w:szCs w:val="21"/>
        </w:rPr>
        <w:t>）</w:t>
      </w:r>
    </w:p>
    <w:p>
      <w:pPr>
        <w:spacing w:line="440" w:lineRule="exact"/>
        <w:ind w:left="812" w:leftChars="400" w:firstLine="4060" w:firstLineChars="2000"/>
        <w:rPr>
          <w:color w:val="auto"/>
        </w:rPr>
      </w:pPr>
      <w:r>
        <w:rPr>
          <w:rFonts w:hint="eastAsia"/>
          <w:color w:val="auto"/>
          <w:szCs w:val="21"/>
          <w:u w:val="single"/>
        </w:rPr>
        <w:t xml:space="preserve">        </w:t>
      </w:r>
      <w:r>
        <w:rPr>
          <w:color w:val="auto"/>
          <w:szCs w:val="21"/>
        </w:rPr>
        <w:t>年</w:t>
      </w:r>
      <w:r>
        <w:rPr>
          <w:rFonts w:hint="eastAsia"/>
          <w:color w:val="auto"/>
          <w:szCs w:val="21"/>
          <w:u w:val="single"/>
        </w:rPr>
        <w:t xml:space="preserve">        </w:t>
      </w:r>
      <w:r>
        <w:rPr>
          <w:color w:val="auto"/>
          <w:szCs w:val="21"/>
        </w:rPr>
        <w:t>月</w:t>
      </w:r>
      <w:r>
        <w:rPr>
          <w:rFonts w:hint="eastAsia"/>
          <w:color w:val="auto"/>
          <w:szCs w:val="21"/>
          <w:u w:val="single"/>
        </w:rPr>
        <w:t xml:space="preserve">        </w:t>
      </w:r>
      <w:r>
        <w:rPr>
          <w:color w:val="auto"/>
          <w:szCs w:val="21"/>
        </w:rPr>
        <w:t>日</w:t>
      </w:r>
      <w:r>
        <w:rPr>
          <w:rFonts w:hint="eastAsia"/>
          <w:color w:val="auto"/>
        </w:rPr>
        <w:t xml:space="preserve">      </w:t>
      </w:r>
    </w:p>
    <w:p>
      <w:pPr>
        <w:pStyle w:val="69"/>
        <w:spacing w:line="360" w:lineRule="auto"/>
        <w:jc w:val="center"/>
        <w:rPr>
          <w:color w:val="auto"/>
          <w:szCs w:val="23"/>
        </w:rPr>
      </w:pPr>
      <w:r>
        <w:rPr>
          <w:color w:val="auto"/>
        </w:rPr>
        <w:br w:type="page"/>
      </w:r>
      <w:r>
        <w:rPr>
          <w:rFonts w:hint="eastAsia"/>
          <w:color w:val="auto"/>
          <w:szCs w:val="23"/>
        </w:rPr>
        <w:t>（三）投标函附录二</w:t>
      </w:r>
    </w:p>
    <w:tbl>
      <w:tblPr>
        <w:tblStyle w:val="3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91"/>
        <w:gridCol w:w="853"/>
        <w:gridCol w:w="2130"/>
        <w:gridCol w:w="28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29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cs="宋体"/>
                <w:color w:val="auto"/>
                <w:sz w:val="21"/>
                <w:szCs w:val="21"/>
              </w:rPr>
            </w:pPr>
            <w:r>
              <w:rPr>
                <w:rFonts w:hint="eastAsia" w:ascii="宋体" w:hAnsi="宋体" w:cs="宋体"/>
                <w:color w:val="auto"/>
                <w:sz w:val="21"/>
                <w:szCs w:val="21"/>
              </w:rPr>
              <w:t>项目名称</w:t>
            </w:r>
          </w:p>
        </w:tc>
        <w:tc>
          <w:tcPr>
            <w:tcW w:w="585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29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jc w:val="center"/>
              <w:textAlignment w:val="auto"/>
              <w:rPr>
                <w:rFonts w:hint="eastAsia" w:ascii="宋体" w:hAnsi="宋体" w:cs="宋体"/>
                <w:color w:val="auto"/>
                <w:sz w:val="21"/>
                <w:szCs w:val="21"/>
              </w:rPr>
            </w:pPr>
            <w:r>
              <w:rPr>
                <w:rFonts w:hint="eastAsia" w:ascii="宋体" w:hAnsi="宋体" w:cs="宋体"/>
                <w:color w:val="auto"/>
                <w:sz w:val="21"/>
                <w:szCs w:val="21"/>
              </w:rPr>
              <w:t>投标人</w:t>
            </w:r>
          </w:p>
        </w:tc>
        <w:tc>
          <w:tcPr>
            <w:tcW w:w="585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jc w:val="center"/>
              <w:textAlignment w:val="auto"/>
              <w:rPr>
                <w:rFonts w:hint="eastAsia" w:ascii="宋体"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29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jc w:val="center"/>
              <w:textAlignment w:val="auto"/>
              <w:rPr>
                <w:rFonts w:hint="eastAsia" w:ascii="宋体" w:hAnsi="宋体" w:cs="宋体"/>
                <w:color w:val="auto"/>
                <w:sz w:val="21"/>
                <w:szCs w:val="21"/>
              </w:rPr>
            </w:pPr>
            <w:r>
              <w:rPr>
                <w:rFonts w:hint="eastAsia" w:ascii="宋体" w:hAnsi="宋体" w:cs="宋体"/>
                <w:color w:val="auto"/>
                <w:kern w:val="0"/>
                <w:sz w:val="21"/>
                <w:szCs w:val="21"/>
                <w:lang w:val="en-US" w:eastAsia="zh-CN"/>
              </w:rPr>
              <w:t>投标</w:t>
            </w:r>
            <w:r>
              <w:rPr>
                <w:rFonts w:hint="eastAsia" w:ascii="宋体" w:hAnsi="宋体" w:cs="宋体"/>
                <w:color w:val="auto"/>
                <w:kern w:val="0"/>
                <w:sz w:val="21"/>
                <w:szCs w:val="21"/>
              </w:rPr>
              <w:t>范围</w:t>
            </w:r>
          </w:p>
        </w:tc>
        <w:tc>
          <w:tcPr>
            <w:tcW w:w="585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jc w:val="center"/>
              <w:textAlignment w:val="auto"/>
              <w:rPr>
                <w:rFonts w:hint="eastAsia" w:ascii="宋体"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jc w:val="center"/>
        </w:trPr>
        <w:tc>
          <w:tcPr>
            <w:tcW w:w="299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jc w:val="center"/>
              <w:textAlignment w:val="auto"/>
              <w:rPr>
                <w:rFonts w:hint="eastAsia" w:ascii="宋体" w:hAnsi="宋体" w:cs="宋体"/>
                <w:color w:val="auto"/>
                <w:sz w:val="21"/>
                <w:szCs w:val="21"/>
              </w:rPr>
            </w:pPr>
            <w:r>
              <w:rPr>
                <w:rFonts w:hint="eastAsia" w:ascii="宋体" w:hAnsi="宋体" w:cs="宋体"/>
                <w:color w:val="auto"/>
                <w:sz w:val="21"/>
                <w:szCs w:val="21"/>
              </w:rPr>
              <w:t>投标总报价（元）</w:t>
            </w:r>
          </w:p>
        </w:tc>
        <w:tc>
          <w:tcPr>
            <w:tcW w:w="8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textAlignment w:val="auto"/>
              <w:rPr>
                <w:rFonts w:hint="eastAsia" w:ascii="宋体" w:hAnsi="宋体" w:cs="宋体"/>
                <w:color w:val="auto"/>
                <w:sz w:val="21"/>
                <w:szCs w:val="21"/>
              </w:rPr>
            </w:pPr>
            <w:r>
              <w:rPr>
                <w:rFonts w:hint="eastAsia" w:ascii="宋体" w:hAnsi="宋体" w:cs="宋体"/>
                <w:color w:val="auto"/>
                <w:sz w:val="21"/>
                <w:szCs w:val="21"/>
              </w:rPr>
              <w:t>合计</w:t>
            </w:r>
          </w:p>
        </w:tc>
        <w:tc>
          <w:tcPr>
            <w:tcW w:w="499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textAlignment w:val="auto"/>
              <w:rPr>
                <w:rFonts w:hint="eastAsia" w:ascii="宋体" w:hAnsi="宋体" w:cs="宋体"/>
                <w:color w:val="auto"/>
                <w:sz w:val="21"/>
                <w:szCs w:val="21"/>
              </w:rPr>
            </w:pPr>
            <w:r>
              <w:rPr>
                <w:rFonts w:hint="eastAsia" w:ascii="宋体" w:hAnsi="宋体" w:cs="宋体"/>
                <w:color w:val="auto"/>
                <w:sz w:val="21"/>
                <w:szCs w:val="21"/>
              </w:rPr>
              <w:t>大写：</w:t>
            </w:r>
          </w:p>
          <w:p>
            <w:pPr>
              <w:keepNext w:val="0"/>
              <w:keepLines w:val="0"/>
              <w:pageBreakBefore w:val="0"/>
              <w:tabs>
                <w:tab w:val="left" w:pos="2340"/>
              </w:tabs>
              <w:kinsoku/>
              <w:wordWrap/>
              <w:overflowPunct/>
              <w:topLinePunct w:val="0"/>
              <w:autoSpaceDE/>
              <w:autoSpaceDN/>
              <w:bidi w:val="0"/>
              <w:adjustRightInd/>
              <w:snapToGrid/>
              <w:spacing w:line="240" w:lineRule="auto"/>
              <w:textAlignment w:val="auto"/>
              <w:rPr>
                <w:rFonts w:hint="eastAsia" w:ascii="宋体" w:hAnsi="宋体" w:cs="宋体"/>
                <w:color w:val="auto"/>
                <w:sz w:val="21"/>
                <w:szCs w:val="21"/>
              </w:rPr>
            </w:pPr>
            <w:r>
              <w:rPr>
                <w:rFonts w:hint="eastAsia" w:ascii="宋体" w:hAnsi="宋体" w:cs="宋体"/>
                <w:color w:val="auto"/>
                <w:sz w:val="21"/>
                <w:szCs w:val="21"/>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2991" w:type="dxa"/>
            <w:vMerge w:val="continue"/>
            <w:tcBorders>
              <w:left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jc w:val="center"/>
              <w:textAlignment w:val="auto"/>
              <w:rPr>
                <w:rFonts w:hint="eastAsia" w:ascii="宋体" w:hAnsi="宋体" w:cs="宋体"/>
                <w:color w:val="auto"/>
                <w:sz w:val="21"/>
                <w:szCs w:val="21"/>
              </w:rPr>
            </w:pPr>
          </w:p>
        </w:tc>
        <w:tc>
          <w:tcPr>
            <w:tcW w:w="8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jc w:val="left"/>
              <w:textAlignment w:val="auto"/>
              <w:rPr>
                <w:rFonts w:hint="eastAsia" w:ascii="宋体" w:hAnsi="宋体" w:cs="宋体"/>
                <w:color w:val="auto"/>
                <w:sz w:val="21"/>
                <w:szCs w:val="21"/>
              </w:rPr>
            </w:pPr>
            <w:r>
              <w:rPr>
                <w:rFonts w:hint="eastAsia" w:ascii="宋体" w:hAnsi="宋体" w:cs="宋体"/>
                <w:color w:val="auto"/>
                <w:sz w:val="21"/>
                <w:szCs w:val="21"/>
              </w:rPr>
              <w:t>其中</w:t>
            </w:r>
          </w:p>
        </w:tc>
        <w:tc>
          <w:tcPr>
            <w:tcW w:w="2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textAlignment w:val="auto"/>
              <w:rPr>
                <w:rFonts w:hint="eastAsia" w:ascii="宋体" w:hAnsi="宋体" w:cs="宋体"/>
                <w:color w:val="auto"/>
                <w:sz w:val="21"/>
                <w:szCs w:val="21"/>
              </w:rPr>
            </w:pPr>
            <w:r>
              <w:rPr>
                <w:rFonts w:hint="eastAsia" w:ascii="宋体" w:hAnsi="宋体" w:cs="宋体"/>
                <w:color w:val="auto"/>
                <w:sz w:val="21"/>
                <w:szCs w:val="21"/>
              </w:rPr>
              <w:t>安全文明施工措</w:t>
            </w:r>
          </w:p>
          <w:p>
            <w:pPr>
              <w:keepNext w:val="0"/>
              <w:keepLines w:val="0"/>
              <w:pageBreakBefore w:val="0"/>
              <w:tabs>
                <w:tab w:val="left" w:pos="2340"/>
              </w:tabs>
              <w:kinsoku/>
              <w:wordWrap/>
              <w:overflowPunct/>
              <w:topLinePunct w:val="0"/>
              <w:autoSpaceDE/>
              <w:autoSpaceDN/>
              <w:bidi w:val="0"/>
              <w:adjustRightInd/>
              <w:snapToGrid/>
              <w:spacing w:line="240" w:lineRule="auto"/>
              <w:textAlignment w:val="auto"/>
              <w:rPr>
                <w:rFonts w:hint="eastAsia" w:ascii="宋体" w:hAnsi="宋体" w:cs="宋体"/>
                <w:color w:val="auto"/>
                <w:sz w:val="21"/>
                <w:szCs w:val="21"/>
              </w:rPr>
            </w:pPr>
            <w:r>
              <w:rPr>
                <w:rFonts w:hint="eastAsia" w:ascii="宋体" w:hAnsi="宋体" w:cs="宋体"/>
                <w:color w:val="auto"/>
                <w:sz w:val="21"/>
                <w:szCs w:val="21"/>
              </w:rPr>
              <w:t>施费（元）</w:t>
            </w:r>
          </w:p>
        </w:tc>
        <w:tc>
          <w:tcPr>
            <w:tcW w:w="28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jc w:val="left"/>
              <w:textAlignment w:val="auto"/>
              <w:rPr>
                <w:rFonts w:hint="eastAsia" w:ascii="宋体" w:hAnsi="宋体" w:cs="宋体"/>
                <w:color w:val="auto"/>
                <w:sz w:val="21"/>
                <w:szCs w:val="21"/>
              </w:rPr>
            </w:pPr>
            <w:r>
              <w:rPr>
                <w:rFonts w:hint="eastAsia" w:ascii="宋体" w:hAnsi="宋体" w:cs="宋体"/>
                <w:color w:val="auto"/>
                <w:sz w:val="21"/>
                <w:szCs w:val="21"/>
              </w:rPr>
              <w:t>大写：</w:t>
            </w:r>
          </w:p>
          <w:p>
            <w:pPr>
              <w:keepNext w:val="0"/>
              <w:keepLines w:val="0"/>
              <w:pageBreakBefore w:val="0"/>
              <w:tabs>
                <w:tab w:val="left" w:pos="2340"/>
              </w:tabs>
              <w:kinsoku/>
              <w:wordWrap/>
              <w:overflowPunct/>
              <w:topLinePunct w:val="0"/>
              <w:autoSpaceDE/>
              <w:autoSpaceDN/>
              <w:bidi w:val="0"/>
              <w:adjustRightInd/>
              <w:snapToGrid/>
              <w:spacing w:line="240" w:lineRule="auto"/>
              <w:jc w:val="left"/>
              <w:textAlignment w:val="auto"/>
              <w:rPr>
                <w:rFonts w:hint="eastAsia" w:ascii="宋体" w:hAnsi="宋体" w:cs="宋体"/>
                <w:color w:val="auto"/>
                <w:sz w:val="21"/>
                <w:szCs w:val="21"/>
              </w:rPr>
            </w:pPr>
            <w:r>
              <w:rPr>
                <w:rFonts w:hint="eastAsia" w:ascii="宋体" w:hAnsi="宋体" w:cs="宋体"/>
                <w:color w:val="auto"/>
                <w:sz w:val="21"/>
                <w:szCs w:val="21"/>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2991" w:type="dxa"/>
            <w:vMerge w:val="continue"/>
            <w:tcBorders>
              <w:left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jc w:val="center"/>
              <w:textAlignment w:val="auto"/>
              <w:rPr>
                <w:rFonts w:hint="eastAsia" w:ascii="宋体" w:hAnsi="宋体" w:cs="宋体"/>
                <w:color w:val="auto"/>
                <w:sz w:val="21"/>
                <w:szCs w:val="21"/>
              </w:rPr>
            </w:pPr>
          </w:p>
        </w:tc>
        <w:tc>
          <w:tcPr>
            <w:tcW w:w="853" w:type="dxa"/>
            <w:vMerge w:val="continue"/>
            <w:tcBorders>
              <w:left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jc w:val="left"/>
              <w:textAlignment w:val="auto"/>
              <w:rPr>
                <w:rFonts w:hint="eastAsia" w:ascii="宋体" w:hAnsi="宋体" w:cs="宋体"/>
                <w:color w:val="auto"/>
                <w:sz w:val="21"/>
                <w:szCs w:val="21"/>
              </w:rPr>
            </w:pPr>
          </w:p>
        </w:tc>
        <w:tc>
          <w:tcPr>
            <w:tcW w:w="2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textAlignment w:val="auto"/>
              <w:rPr>
                <w:rFonts w:hint="eastAsia" w:ascii="宋体" w:hAnsi="宋体" w:cs="宋体"/>
                <w:color w:val="auto"/>
                <w:sz w:val="21"/>
                <w:szCs w:val="21"/>
              </w:rPr>
            </w:pPr>
            <w:r>
              <w:rPr>
                <w:rFonts w:hint="eastAsia" w:ascii="宋体" w:hAnsi="宋体" w:cs="宋体"/>
                <w:color w:val="auto"/>
                <w:sz w:val="21"/>
                <w:szCs w:val="21"/>
              </w:rPr>
              <w:t>规费（元）</w:t>
            </w:r>
          </w:p>
        </w:tc>
        <w:tc>
          <w:tcPr>
            <w:tcW w:w="28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jc w:val="left"/>
              <w:textAlignment w:val="auto"/>
              <w:rPr>
                <w:rFonts w:hint="eastAsia" w:ascii="宋体" w:hAnsi="宋体" w:cs="宋体"/>
                <w:color w:val="auto"/>
                <w:sz w:val="21"/>
                <w:szCs w:val="21"/>
              </w:rPr>
            </w:pPr>
            <w:r>
              <w:rPr>
                <w:rFonts w:hint="eastAsia" w:ascii="宋体" w:hAnsi="宋体" w:cs="宋体"/>
                <w:color w:val="auto"/>
                <w:sz w:val="21"/>
                <w:szCs w:val="21"/>
              </w:rPr>
              <w:t>大写：</w:t>
            </w:r>
          </w:p>
          <w:p>
            <w:pPr>
              <w:keepNext w:val="0"/>
              <w:keepLines w:val="0"/>
              <w:pageBreakBefore w:val="0"/>
              <w:tabs>
                <w:tab w:val="left" w:pos="2340"/>
              </w:tabs>
              <w:kinsoku/>
              <w:wordWrap/>
              <w:overflowPunct/>
              <w:topLinePunct w:val="0"/>
              <w:autoSpaceDE/>
              <w:autoSpaceDN/>
              <w:bidi w:val="0"/>
              <w:adjustRightInd/>
              <w:snapToGrid/>
              <w:spacing w:line="240" w:lineRule="auto"/>
              <w:jc w:val="left"/>
              <w:textAlignment w:val="auto"/>
              <w:rPr>
                <w:rFonts w:hint="eastAsia" w:ascii="宋体" w:hAnsi="宋体" w:cs="宋体"/>
                <w:color w:val="auto"/>
                <w:sz w:val="21"/>
                <w:szCs w:val="21"/>
              </w:rPr>
            </w:pPr>
            <w:r>
              <w:rPr>
                <w:rFonts w:hint="eastAsia" w:ascii="宋体" w:hAnsi="宋体" w:cs="宋体"/>
                <w:color w:val="auto"/>
                <w:sz w:val="21"/>
                <w:szCs w:val="21"/>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2991" w:type="dxa"/>
            <w:vMerge w:val="continue"/>
            <w:tcBorders>
              <w:left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jc w:val="center"/>
              <w:textAlignment w:val="auto"/>
              <w:rPr>
                <w:rFonts w:hint="eastAsia" w:ascii="宋体" w:hAnsi="宋体" w:cs="宋体"/>
                <w:color w:val="auto"/>
                <w:sz w:val="21"/>
                <w:szCs w:val="21"/>
              </w:rPr>
            </w:pPr>
          </w:p>
        </w:tc>
        <w:tc>
          <w:tcPr>
            <w:tcW w:w="853" w:type="dxa"/>
            <w:vMerge w:val="continue"/>
            <w:tcBorders>
              <w:left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jc w:val="left"/>
              <w:textAlignment w:val="auto"/>
              <w:rPr>
                <w:rFonts w:hint="eastAsia" w:ascii="宋体" w:hAnsi="宋体" w:cs="宋体"/>
                <w:color w:val="auto"/>
                <w:sz w:val="21"/>
                <w:szCs w:val="21"/>
              </w:rPr>
            </w:pPr>
          </w:p>
        </w:tc>
        <w:tc>
          <w:tcPr>
            <w:tcW w:w="2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textAlignment w:val="auto"/>
              <w:rPr>
                <w:rFonts w:hint="eastAsia" w:ascii="宋体" w:hAnsi="宋体" w:cs="宋体"/>
                <w:color w:val="auto"/>
                <w:sz w:val="21"/>
                <w:szCs w:val="21"/>
              </w:rPr>
            </w:pPr>
            <w:r>
              <w:rPr>
                <w:rFonts w:hint="eastAsia" w:ascii="宋体" w:hAnsi="宋体" w:cs="宋体"/>
                <w:color w:val="auto"/>
                <w:sz w:val="21"/>
                <w:szCs w:val="21"/>
              </w:rPr>
              <w:t>税金（元）</w:t>
            </w:r>
          </w:p>
        </w:tc>
        <w:tc>
          <w:tcPr>
            <w:tcW w:w="28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jc w:val="left"/>
              <w:textAlignment w:val="auto"/>
              <w:rPr>
                <w:rFonts w:hint="eastAsia" w:ascii="宋体" w:hAnsi="宋体" w:cs="宋体"/>
                <w:color w:val="auto"/>
                <w:sz w:val="21"/>
                <w:szCs w:val="21"/>
              </w:rPr>
            </w:pPr>
            <w:r>
              <w:rPr>
                <w:rFonts w:hint="eastAsia" w:ascii="宋体" w:hAnsi="宋体" w:cs="宋体"/>
                <w:color w:val="auto"/>
                <w:sz w:val="21"/>
                <w:szCs w:val="21"/>
              </w:rPr>
              <w:t>大写：</w:t>
            </w:r>
          </w:p>
          <w:p>
            <w:pPr>
              <w:keepNext w:val="0"/>
              <w:keepLines w:val="0"/>
              <w:pageBreakBefore w:val="0"/>
              <w:tabs>
                <w:tab w:val="left" w:pos="2340"/>
              </w:tabs>
              <w:kinsoku/>
              <w:wordWrap/>
              <w:overflowPunct/>
              <w:topLinePunct w:val="0"/>
              <w:autoSpaceDE/>
              <w:autoSpaceDN/>
              <w:bidi w:val="0"/>
              <w:adjustRightInd/>
              <w:snapToGrid/>
              <w:spacing w:line="240" w:lineRule="auto"/>
              <w:jc w:val="left"/>
              <w:textAlignment w:val="auto"/>
              <w:rPr>
                <w:rFonts w:hint="eastAsia" w:ascii="宋体" w:hAnsi="宋体" w:cs="宋体"/>
                <w:color w:val="auto"/>
                <w:sz w:val="21"/>
                <w:szCs w:val="21"/>
              </w:rPr>
            </w:pPr>
            <w:r>
              <w:rPr>
                <w:rFonts w:hint="eastAsia" w:ascii="宋体" w:hAnsi="宋体" w:cs="宋体"/>
                <w:color w:val="auto"/>
                <w:sz w:val="21"/>
                <w:szCs w:val="21"/>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2991" w:type="dxa"/>
            <w:vMerge w:val="continue"/>
            <w:tcBorders>
              <w:left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jc w:val="center"/>
              <w:textAlignment w:val="auto"/>
              <w:rPr>
                <w:rFonts w:hint="eastAsia" w:ascii="宋体" w:hAnsi="宋体" w:cs="宋体"/>
                <w:color w:val="auto"/>
                <w:sz w:val="21"/>
                <w:szCs w:val="21"/>
              </w:rPr>
            </w:pPr>
          </w:p>
        </w:tc>
        <w:tc>
          <w:tcPr>
            <w:tcW w:w="853" w:type="dxa"/>
            <w:vMerge w:val="continue"/>
            <w:tcBorders>
              <w:left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jc w:val="left"/>
              <w:textAlignment w:val="auto"/>
              <w:rPr>
                <w:rFonts w:hint="eastAsia" w:ascii="宋体" w:hAnsi="宋体" w:cs="宋体"/>
                <w:color w:val="auto"/>
                <w:sz w:val="21"/>
                <w:szCs w:val="21"/>
              </w:rPr>
            </w:pPr>
          </w:p>
        </w:tc>
        <w:tc>
          <w:tcPr>
            <w:tcW w:w="2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textAlignment w:val="auto"/>
              <w:rPr>
                <w:rFonts w:hint="eastAsia" w:ascii="宋体" w:hAnsi="宋体" w:cs="宋体"/>
                <w:color w:val="auto"/>
                <w:sz w:val="21"/>
                <w:szCs w:val="21"/>
              </w:rPr>
            </w:pPr>
            <w:r>
              <w:rPr>
                <w:rFonts w:hint="eastAsia" w:ascii="宋体" w:hAnsi="宋体" w:cs="宋体"/>
                <w:color w:val="auto"/>
                <w:sz w:val="21"/>
                <w:szCs w:val="21"/>
              </w:rPr>
              <w:t>暂列金额（元）</w:t>
            </w:r>
          </w:p>
        </w:tc>
        <w:tc>
          <w:tcPr>
            <w:tcW w:w="28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jc w:val="left"/>
              <w:textAlignment w:val="auto"/>
              <w:rPr>
                <w:rFonts w:hint="eastAsia" w:ascii="宋体" w:hAnsi="宋体" w:cs="宋体"/>
                <w:color w:val="auto"/>
                <w:sz w:val="21"/>
                <w:szCs w:val="21"/>
              </w:rPr>
            </w:pPr>
            <w:r>
              <w:rPr>
                <w:rFonts w:hint="eastAsia" w:ascii="宋体" w:hAnsi="宋体" w:cs="宋体"/>
                <w:color w:val="auto"/>
                <w:sz w:val="21"/>
                <w:szCs w:val="21"/>
              </w:rPr>
              <w:t>大写：</w:t>
            </w:r>
          </w:p>
          <w:p>
            <w:pPr>
              <w:keepNext w:val="0"/>
              <w:keepLines w:val="0"/>
              <w:pageBreakBefore w:val="0"/>
              <w:tabs>
                <w:tab w:val="left" w:pos="2340"/>
              </w:tabs>
              <w:kinsoku/>
              <w:wordWrap/>
              <w:overflowPunct/>
              <w:topLinePunct w:val="0"/>
              <w:autoSpaceDE/>
              <w:autoSpaceDN/>
              <w:bidi w:val="0"/>
              <w:adjustRightInd/>
              <w:snapToGrid/>
              <w:spacing w:line="240" w:lineRule="auto"/>
              <w:jc w:val="left"/>
              <w:textAlignment w:val="auto"/>
              <w:rPr>
                <w:rFonts w:hint="eastAsia" w:ascii="宋体" w:hAnsi="宋体" w:cs="宋体"/>
                <w:color w:val="auto"/>
                <w:sz w:val="21"/>
                <w:szCs w:val="21"/>
              </w:rPr>
            </w:pPr>
            <w:r>
              <w:rPr>
                <w:rFonts w:hint="eastAsia" w:ascii="宋体" w:hAnsi="宋体" w:cs="宋体"/>
                <w:color w:val="auto"/>
                <w:sz w:val="21"/>
                <w:szCs w:val="21"/>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2991" w:type="dxa"/>
            <w:vMerge w:val="continue"/>
            <w:tcBorders>
              <w:left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jc w:val="center"/>
              <w:textAlignment w:val="auto"/>
              <w:rPr>
                <w:rFonts w:hint="eastAsia" w:ascii="宋体" w:hAnsi="宋体" w:cs="宋体"/>
                <w:color w:val="auto"/>
                <w:sz w:val="21"/>
                <w:szCs w:val="21"/>
              </w:rPr>
            </w:pPr>
          </w:p>
        </w:tc>
        <w:tc>
          <w:tcPr>
            <w:tcW w:w="853" w:type="dxa"/>
            <w:vMerge w:val="continue"/>
            <w:tcBorders>
              <w:left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jc w:val="left"/>
              <w:textAlignment w:val="auto"/>
              <w:rPr>
                <w:rFonts w:hint="eastAsia" w:ascii="宋体" w:hAnsi="宋体" w:cs="宋体"/>
                <w:color w:val="auto"/>
                <w:sz w:val="21"/>
                <w:szCs w:val="21"/>
              </w:rPr>
            </w:pPr>
          </w:p>
        </w:tc>
        <w:tc>
          <w:tcPr>
            <w:tcW w:w="2130" w:type="dxa"/>
            <w:tcBorders>
              <w:top w:val="single" w:color="auto" w:sz="4" w:space="0"/>
              <w:left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textAlignment w:val="auto"/>
              <w:rPr>
                <w:rFonts w:hint="eastAsia" w:ascii="宋体" w:hAnsi="宋体" w:cs="宋体"/>
                <w:color w:val="auto"/>
                <w:sz w:val="21"/>
                <w:szCs w:val="21"/>
              </w:rPr>
            </w:pPr>
            <w:r>
              <w:rPr>
                <w:rFonts w:hint="eastAsia" w:ascii="宋体" w:hAnsi="宋体" w:cs="宋体"/>
                <w:color w:val="auto"/>
                <w:sz w:val="21"/>
                <w:szCs w:val="21"/>
              </w:rPr>
              <w:t>专业暂估价（元）</w:t>
            </w:r>
          </w:p>
        </w:tc>
        <w:tc>
          <w:tcPr>
            <w:tcW w:w="28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jc w:val="left"/>
              <w:textAlignment w:val="auto"/>
              <w:rPr>
                <w:rFonts w:hint="eastAsia" w:ascii="宋体" w:hAnsi="宋体" w:cs="宋体"/>
                <w:color w:val="auto"/>
                <w:sz w:val="21"/>
                <w:szCs w:val="21"/>
              </w:rPr>
            </w:pPr>
            <w:r>
              <w:rPr>
                <w:rFonts w:hint="eastAsia" w:ascii="宋体" w:hAnsi="宋体" w:cs="宋体"/>
                <w:color w:val="auto"/>
                <w:sz w:val="21"/>
                <w:szCs w:val="21"/>
              </w:rPr>
              <w:t>大写：</w:t>
            </w:r>
          </w:p>
          <w:p>
            <w:pPr>
              <w:keepNext w:val="0"/>
              <w:keepLines w:val="0"/>
              <w:pageBreakBefore w:val="0"/>
              <w:tabs>
                <w:tab w:val="left" w:pos="2340"/>
              </w:tabs>
              <w:kinsoku/>
              <w:wordWrap/>
              <w:overflowPunct/>
              <w:topLinePunct w:val="0"/>
              <w:autoSpaceDE/>
              <w:autoSpaceDN/>
              <w:bidi w:val="0"/>
              <w:adjustRightInd/>
              <w:snapToGrid/>
              <w:spacing w:line="240" w:lineRule="auto"/>
              <w:jc w:val="left"/>
              <w:textAlignment w:val="auto"/>
              <w:rPr>
                <w:rFonts w:hint="eastAsia" w:ascii="宋体" w:hAnsi="宋体" w:cs="宋体"/>
                <w:color w:val="auto"/>
                <w:sz w:val="21"/>
                <w:szCs w:val="21"/>
              </w:rPr>
            </w:pPr>
            <w:r>
              <w:rPr>
                <w:rFonts w:hint="eastAsia" w:ascii="宋体" w:hAnsi="宋体" w:cs="宋体"/>
                <w:color w:val="auto"/>
                <w:sz w:val="21"/>
                <w:szCs w:val="21"/>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9" w:hRule="atLeast"/>
          <w:jc w:val="center"/>
        </w:trPr>
        <w:tc>
          <w:tcPr>
            <w:tcW w:w="29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jc w:val="center"/>
              <w:textAlignment w:val="auto"/>
              <w:rPr>
                <w:rFonts w:hint="eastAsia" w:ascii="宋体" w:hAnsi="宋体" w:cs="宋体"/>
                <w:color w:val="auto"/>
                <w:sz w:val="21"/>
                <w:szCs w:val="21"/>
              </w:rPr>
            </w:pPr>
            <w:r>
              <w:rPr>
                <w:rFonts w:hint="eastAsia" w:ascii="宋体" w:hAnsi="宋体" w:cs="宋体"/>
                <w:color w:val="auto"/>
                <w:sz w:val="21"/>
                <w:szCs w:val="21"/>
              </w:rPr>
              <w:t>投标报价</w:t>
            </w:r>
            <w:r>
              <w:rPr>
                <w:rFonts w:hint="eastAsia" w:ascii="Times New Roman" w:hAnsi="Times New Roman"/>
                <w:color w:val="auto"/>
                <w:sz w:val="21"/>
                <w:szCs w:val="21"/>
                <w:highlight w:val="none"/>
                <w:lang w:eastAsia="zh-CN"/>
              </w:rPr>
              <w:t>（</w:t>
            </w:r>
            <w:r>
              <w:rPr>
                <w:rFonts w:ascii="Times New Roman" w:hAnsi="Times New Roman"/>
                <w:color w:val="auto"/>
                <w:sz w:val="21"/>
                <w:szCs w:val="21"/>
                <w:highlight w:val="none"/>
              </w:rPr>
              <w:t>不含</w:t>
            </w:r>
            <w:r>
              <w:rPr>
                <w:rFonts w:hint="eastAsia" w:ascii="宋体" w:hAnsi="宋体" w:cs="宋体"/>
                <w:color w:val="auto"/>
                <w:sz w:val="21"/>
                <w:szCs w:val="21"/>
              </w:rPr>
              <w:t>安全文明施工措施费、规费、税金、暂列金额</w:t>
            </w:r>
            <w:r>
              <w:rPr>
                <w:rFonts w:hint="eastAsia" w:ascii="宋体" w:hAnsi="宋体" w:cs="宋体"/>
                <w:color w:val="auto"/>
                <w:sz w:val="21"/>
                <w:szCs w:val="21"/>
                <w:lang w:eastAsia="zh-CN"/>
              </w:rPr>
              <w:t>、</w:t>
            </w:r>
            <w:r>
              <w:rPr>
                <w:rFonts w:hint="eastAsia" w:ascii="宋体" w:hAnsi="宋体" w:cs="宋体"/>
                <w:color w:val="auto"/>
                <w:sz w:val="21"/>
                <w:szCs w:val="21"/>
              </w:rPr>
              <w:t>专业暂估价</w:t>
            </w:r>
            <w:r>
              <w:rPr>
                <w:rFonts w:hint="eastAsia" w:ascii="宋体" w:hAnsi="宋体" w:cs="宋体"/>
                <w:color w:val="auto"/>
                <w:sz w:val="21"/>
                <w:szCs w:val="21"/>
                <w:lang w:eastAsia="zh-CN"/>
              </w:rPr>
              <w:t>）</w:t>
            </w:r>
            <w:r>
              <w:rPr>
                <w:rFonts w:hint="eastAsia" w:ascii="宋体" w:hAnsi="宋体" w:cs="宋体"/>
                <w:color w:val="auto"/>
                <w:sz w:val="21"/>
                <w:szCs w:val="21"/>
              </w:rPr>
              <w:t>（元）</w:t>
            </w:r>
          </w:p>
        </w:tc>
        <w:tc>
          <w:tcPr>
            <w:tcW w:w="585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jc w:val="left"/>
              <w:textAlignment w:val="auto"/>
              <w:rPr>
                <w:rFonts w:hint="eastAsia" w:ascii="宋体" w:hAnsi="宋体" w:cs="宋体"/>
                <w:color w:val="auto"/>
                <w:sz w:val="21"/>
                <w:szCs w:val="21"/>
              </w:rPr>
            </w:pPr>
            <w:r>
              <w:rPr>
                <w:rFonts w:hint="eastAsia" w:ascii="宋体" w:hAnsi="宋体" w:cs="宋体"/>
                <w:color w:val="auto"/>
                <w:sz w:val="21"/>
                <w:szCs w:val="21"/>
              </w:rPr>
              <w:t>大写：</w:t>
            </w:r>
          </w:p>
          <w:p>
            <w:pPr>
              <w:keepNext w:val="0"/>
              <w:keepLines w:val="0"/>
              <w:pageBreakBefore w:val="0"/>
              <w:tabs>
                <w:tab w:val="left" w:pos="2340"/>
              </w:tabs>
              <w:kinsoku/>
              <w:wordWrap/>
              <w:overflowPunct/>
              <w:topLinePunct w:val="0"/>
              <w:autoSpaceDE/>
              <w:autoSpaceDN/>
              <w:bidi w:val="0"/>
              <w:adjustRightInd/>
              <w:snapToGrid/>
              <w:spacing w:line="240" w:lineRule="auto"/>
              <w:jc w:val="left"/>
              <w:textAlignment w:val="auto"/>
              <w:rPr>
                <w:rFonts w:hint="eastAsia" w:ascii="宋体" w:hAnsi="宋体" w:cs="宋体"/>
                <w:color w:val="auto"/>
                <w:sz w:val="21"/>
                <w:szCs w:val="21"/>
              </w:rPr>
            </w:pPr>
            <w:r>
              <w:rPr>
                <w:rFonts w:hint="eastAsia" w:ascii="宋体" w:hAnsi="宋体" w:cs="宋体"/>
                <w:color w:val="auto"/>
                <w:sz w:val="21"/>
                <w:szCs w:val="21"/>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jc w:val="center"/>
        </w:trPr>
        <w:tc>
          <w:tcPr>
            <w:tcW w:w="29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措施费（不含安全文明</w:t>
            </w:r>
            <w:r>
              <w:rPr>
                <w:rFonts w:hint="eastAsia" w:ascii="宋体" w:hAnsi="宋体" w:cs="宋体"/>
                <w:color w:val="auto"/>
                <w:sz w:val="21"/>
                <w:szCs w:val="21"/>
              </w:rPr>
              <w:t>施工</w:t>
            </w:r>
          </w:p>
          <w:p>
            <w:pPr>
              <w:keepNext w:val="0"/>
              <w:keepLines w:val="0"/>
              <w:pageBreakBefore w:val="0"/>
              <w:tabs>
                <w:tab w:val="left" w:pos="2340"/>
              </w:tabs>
              <w:kinsoku/>
              <w:wordWrap/>
              <w:overflowPunct/>
              <w:topLinePunct w:val="0"/>
              <w:autoSpaceDE/>
              <w:autoSpaceDN/>
              <w:bidi w:val="0"/>
              <w:adjustRightInd/>
              <w:snapToGrid/>
              <w:spacing w:line="240" w:lineRule="auto"/>
              <w:jc w:val="center"/>
              <w:textAlignment w:val="auto"/>
              <w:rPr>
                <w:rFonts w:hint="eastAsia" w:ascii="宋体" w:hAnsi="宋体" w:cs="宋体"/>
                <w:color w:val="auto"/>
                <w:sz w:val="21"/>
                <w:szCs w:val="21"/>
              </w:rPr>
            </w:pPr>
            <w:r>
              <w:rPr>
                <w:rFonts w:ascii="Times New Roman" w:hAnsi="Times New Roman"/>
                <w:color w:val="auto"/>
                <w:sz w:val="21"/>
                <w:szCs w:val="21"/>
                <w:highlight w:val="none"/>
              </w:rPr>
              <w:t>措施费）（元）</w:t>
            </w:r>
          </w:p>
        </w:tc>
        <w:tc>
          <w:tcPr>
            <w:tcW w:w="585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jc w:val="left"/>
              <w:textAlignment w:val="auto"/>
              <w:rPr>
                <w:rFonts w:hint="eastAsia" w:ascii="宋体" w:hAnsi="宋体" w:cs="宋体"/>
                <w:color w:val="auto"/>
                <w:sz w:val="21"/>
                <w:szCs w:val="21"/>
              </w:rPr>
            </w:pPr>
            <w:r>
              <w:rPr>
                <w:rFonts w:hint="eastAsia" w:ascii="宋体" w:hAnsi="宋体" w:cs="宋体"/>
                <w:color w:val="auto"/>
                <w:sz w:val="21"/>
                <w:szCs w:val="21"/>
              </w:rPr>
              <w:t>大写：</w:t>
            </w:r>
          </w:p>
          <w:p>
            <w:pPr>
              <w:keepNext w:val="0"/>
              <w:keepLines w:val="0"/>
              <w:pageBreakBefore w:val="0"/>
              <w:tabs>
                <w:tab w:val="left" w:pos="2340"/>
              </w:tabs>
              <w:kinsoku/>
              <w:wordWrap/>
              <w:overflowPunct/>
              <w:topLinePunct w:val="0"/>
              <w:autoSpaceDE/>
              <w:autoSpaceDN/>
              <w:bidi w:val="0"/>
              <w:adjustRightInd/>
              <w:snapToGrid/>
              <w:spacing w:line="240" w:lineRule="auto"/>
              <w:jc w:val="left"/>
              <w:textAlignment w:val="auto"/>
              <w:rPr>
                <w:rFonts w:hint="eastAsia" w:ascii="宋体" w:hAnsi="宋体" w:cs="宋体"/>
                <w:color w:val="auto"/>
                <w:sz w:val="21"/>
                <w:szCs w:val="21"/>
              </w:rPr>
            </w:pPr>
            <w:r>
              <w:rPr>
                <w:rFonts w:hint="eastAsia" w:ascii="宋体" w:hAnsi="宋体" w:cs="宋体"/>
                <w:color w:val="auto"/>
                <w:sz w:val="21"/>
                <w:szCs w:val="21"/>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29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jc w:val="center"/>
              <w:textAlignment w:val="auto"/>
              <w:rPr>
                <w:rFonts w:hint="eastAsia" w:ascii="宋体" w:hAnsi="宋体" w:cs="宋体"/>
                <w:color w:val="auto"/>
                <w:sz w:val="21"/>
                <w:szCs w:val="21"/>
              </w:rPr>
            </w:pPr>
            <w:r>
              <w:rPr>
                <w:rFonts w:hint="eastAsia" w:ascii="宋体" w:hAnsi="宋体" w:cs="宋体"/>
                <w:color w:val="auto"/>
                <w:sz w:val="21"/>
                <w:szCs w:val="21"/>
              </w:rPr>
              <w:t>备注</w:t>
            </w:r>
          </w:p>
        </w:tc>
        <w:tc>
          <w:tcPr>
            <w:tcW w:w="585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textAlignment w:val="auto"/>
              <w:rPr>
                <w:rFonts w:hint="eastAsia" w:ascii="宋体" w:hAnsi="宋体" w:cs="宋体"/>
                <w:color w:val="auto"/>
                <w:sz w:val="21"/>
                <w:szCs w:val="21"/>
              </w:rPr>
            </w:pPr>
          </w:p>
        </w:tc>
      </w:tr>
    </w:tbl>
    <w:p>
      <w:pPr>
        <w:rPr>
          <w:rFonts w:eastAsia="黑体"/>
          <w:color w:val="auto"/>
          <w:sz w:val="20"/>
          <w:szCs w:val="20"/>
        </w:rPr>
      </w:pPr>
    </w:p>
    <w:p>
      <w:pPr>
        <w:rPr>
          <w:rFonts w:eastAsia="黑体"/>
          <w:color w:val="auto"/>
          <w:sz w:val="20"/>
          <w:szCs w:val="20"/>
        </w:rPr>
      </w:pPr>
    </w:p>
    <w:p>
      <w:pPr>
        <w:spacing w:line="440" w:lineRule="exact"/>
        <w:ind w:firstLine="4150" w:firstLineChars="2150"/>
        <w:rPr>
          <w:color w:val="auto"/>
          <w:szCs w:val="21"/>
        </w:rPr>
      </w:pPr>
      <w:r>
        <w:rPr>
          <w:rFonts w:eastAsia="黑体"/>
          <w:color w:val="auto"/>
          <w:sz w:val="20"/>
          <w:szCs w:val="20"/>
        </w:rPr>
        <w:tab/>
      </w:r>
      <w:r>
        <w:rPr>
          <w:color w:val="auto"/>
          <w:szCs w:val="21"/>
        </w:rPr>
        <w:t>投 标 人：</w:t>
      </w:r>
      <w:r>
        <w:rPr>
          <w:color w:val="auto"/>
          <w:szCs w:val="21"/>
          <w:u w:val="single"/>
        </w:rPr>
        <w:t xml:space="preserve">                      </w:t>
      </w:r>
      <w:r>
        <w:rPr>
          <w:color w:val="auto"/>
          <w:szCs w:val="21"/>
        </w:rPr>
        <w:t>（盖单位</w:t>
      </w:r>
      <w:r>
        <w:rPr>
          <w:rFonts w:hint="eastAsia"/>
          <w:color w:val="auto"/>
          <w:szCs w:val="21"/>
          <w:lang w:val="en-US" w:eastAsia="zh-CN"/>
        </w:rPr>
        <w:t>电子</w:t>
      </w:r>
      <w:r>
        <w:rPr>
          <w:color w:val="auto"/>
          <w:szCs w:val="21"/>
        </w:rPr>
        <w:t>章）</w:t>
      </w:r>
    </w:p>
    <w:p>
      <w:pPr>
        <w:spacing w:line="440" w:lineRule="exact"/>
        <w:ind w:firstLine="4466" w:firstLineChars="2200"/>
        <w:rPr>
          <w:rFonts w:eastAsia="黑体"/>
          <w:color w:val="auto"/>
          <w:sz w:val="20"/>
          <w:szCs w:val="20"/>
        </w:rPr>
      </w:pPr>
      <w:r>
        <w:rPr>
          <w:color w:val="auto"/>
          <w:szCs w:val="21"/>
        </w:rPr>
        <w:t>法定代表人或其委托代理人：</w:t>
      </w:r>
      <w:r>
        <w:rPr>
          <w:color w:val="auto"/>
          <w:szCs w:val="21"/>
          <w:u w:val="single"/>
        </w:rPr>
        <w:t xml:space="preserve">      </w:t>
      </w:r>
      <w:r>
        <w:rPr>
          <w:rFonts w:hint="eastAsia"/>
          <w:color w:val="auto"/>
          <w:szCs w:val="21"/>
          <w:u w:val="single"/>
        </w:rPr>
        <w:t xml:space="preserve"> </w:t>
      </w:r>
      <w:r>
        <w:rPr>
          <w:color w:val="auto"/>
          <w:szCs w:val="21"/>
        </w:rPr>
        <w:t>（</w:t>
      </w:r>
      <w:r>
        <w:rPr>
          <w:rFonts w:hint="eastAsia" w:ascii="宋体" w:hAnsi="宋体" w:cs="宋体"/>
          <w:color w:val="auto"/>
          <w:szCs w:val="21"/>
        </w:rPr>
        <w:t>签字或盖电子章</w:t>
      </w:r>
      <w:r>
        <w:rPr>
          <w:color w:val="auto"/>
          <w:szCs w:val="21"/>
        </w:rPr>
        <w:t>）</w:t>
      </w:r>
    </w:p>
    <w:p>
      <w:pPr>
        <w:tabs>
          <w:tab w:val="left" w:pos="3165"/>
        </w:tabs>
        <w:spacing w:line="440" w:lineRule="exact"/>
        <w:ind w:firstLine="5075" w:firstLineChars="2500"/>
        <w:rPr>
          <w:rFonts w:eastAsia="黑体"/>
          <w:color w:val="auto"/>
          <w:sz w:val="20"/>
          <w:szCs w:val="20"/>
        </w:rPr>
      </w:pPr>
      <w:r>
        <w:rPr>
          <w:rFonts w:hint="eastAsia"/>
          <w:color w:val="auto"/>
          <w:szCs w:val="21"/>
          <w:u w:val="single"/>
        </w:rPr>
        <w:t xml:space="preserve">        </w:t>
      </w:r>
      <w:r>
        <w:rPr>
          <w:color w:val="auto"/>
          <w:szCs w:val="21"/>
        </w:rPr>
        <w:t>年</w:t>
      </w:r>
      <w:r>
        <w:rPr>
          <w:rFonts w:hint="eastAsia"/>
          <w:color w:val="auto"/>
          <w:szCs w:val="21"/>
          <w:u w:val="single"/>
        </w:rPr>
        <w:t xml:space="preserve">        </w:t>
      </w:r>
      <w:r>
        <w:rPr>
          <w:color w:val="auto"/>
          <w:szCs w:val="21"/>
        </w:rPr>
        <w:t>月</w:t>
      </w:r>
      <w:r>
        <w:rPr>
          <w:rFonts w:hint="eastAsia"/>
          <w:color w:val="auto"/>
          <w:szCs w:val="21"/>
          <w:u w:val="single"/>
        </w:rPr>
        <w:t xml:space="preserve">        </w:t>
      </w:r>
      <w:r>
        <w:rPr>
          <w:color w:val="auto"/>
          <w:szCs w:val="21"/>
        </w:rPr>
        <w:t>日</w:t>
      </w:r>
    </w:p>
    <w:p>
      <w:pPr>
        <w:spacing w:line="440" w:lineRule="exact"/>
        <w:jc w:val="center"/>
        <w:rPr>
          <w:rFonts w:eastAsia="黑体"/>
          <w:color w:val="auto"/>
          <w:sz w:val="20"/>
          <w:szCs w:val="20"/>
        </w:rPr>
      </w:pPr>
    </w:p>
    <w:p>
      <w:pPr>
        <w:spacing w:line="440" w:lineRule="exact"/>
        <w:jc w:val="center"/>
        <w:rPr>
          <w:rFonts w:eastAsia="黑体"/>
          <w:b/>
          <w:color w:val="auto"/>
          <w:sz w:val="20"/>
          <w:szCs w:val="20"/>
        </w:rPr>
      </w:pPr>
      <w:r>
        <w:rPr>
          <w:rFonts w:eastAsia="黑体"/>
          <w:color w:val="auto"/>
          <w:sz w:val="20"/>
          <w:szCs w:val="20"/>
        </w:rPr>
        <w:br w:type="page"/>
      </w:r>
    </w:p>
    <w:p>
      <w:pPr>
        <w:pStyle w:val="66"/>
        <w:jc w:val="center"/>
        <w:outlineLvl w:val="9"/>
        <w:rPr>
          <w:color w:val="auto"/>
        </w:rPr>
      </w:pPr>
    </w:p>
    <w:p>
      <w:pPr>
        <w:pStyle w:val="66"/>
        <w:jc w:val="center"/>
        <w:rPr>
          <w:color w:val="auto"/>
        </w:rPr>
      </w:pPr>
      <w:bookmarkStart w:id="227" w:name="_Toc4829_WPSOffice_Level1"/>
      <w:r>
        <w:rPr>
          <w:color w:val="auto"/>
        </w:rPr>
        <w:t>二、法定代表人身份证明</w:t>
      </w:r>
      <w:r>
        <w:rPr>
          <w:rFonts w:hint="eastAsia"/>
          <w:color w:val="auto"/>
        </w:rPr>
        <w:t>及</w:t>
      </w:r>
      <w:r>
        <w:rPr>
          <w:color w:val="auto"/>
        </w:rPr>
        <w:t>授权委托书</w:t>
      </w:r>
      <w:bookmarkEnd w:id="227"/>
    </w:p>
    <w:p>
      <w:pPr>
        <w:pStyle w:val="66"/>
        <w:jc w:val="center"/>
        <w:rPr>
          <w:color w:val="auto"/>
          <w:sz w:val="24"/>
          <w:szCs w:val="18"/>
        </w:rPr>
      </w:pPr>
      <w:r>
        <w:rPr>
          <w:rFonts w:hint="eastAsia"/>
          <w:color w:val="auto"/>
          <w:sz w:val="24"/>
          <w:szCs w:val="18"/>
        </w:rPr>
        <w:t>（一）</w:t>
      </w:r>
      <w:r>
        <w:rPr>
          <w:color w:val="auto"/>
          <w:sz w:val="24"/>
          <w:szCs w:val="18"/>
        </w:rPr>
        <w:t>法定代表人身份证明</w:t>
      </w:r>
    </w:p>
    <w:p>
      <w:pPr>
        <w:spacing w:line="440" w:lineRule="exact"/>
        <w:rPr>
          <w:color w:val="auto"/>
          <w:sz w:val="20"/>
          <w:szCs w:val="20"/>
        </w:rPr>
      </w:pPr>
    </w:p>
    <w:p>
      <w:pPr>
        <w:spacing w:line="440" w:lineRule="exact"/>
        <w:rPr>
          <w:color w:val="auto"/>
          <w:szCs w:val="21"/>
        </w:rPr>
      </w:pPr>
      <w:r>
        <w:rPr>
          <w:color w:val="auto"/>
          <w:szCs w:val="21"/>
        </w:rPr>
        <w:t>投标人名称：</w:t>
      </w:r>
      <w:r>
        <w:rPr>
          <w:color w:val="auto"/>
          <w:szCs w:val="21"/>
          <w:u w:val="single"/>
        </w:rPr>
        <w:t xml:space="preserve">                            </w:t>
      </w:r>
      <w:r>
        <w:rPr>
          <w:color w:val="auto"/>
          <w:szCs w:val="21"/>
        </w:rPr>
        <w:t xml:space="preserve"> </w:t>
      </w:r>
    </w:p>
    <w:p>
      <w:pPr>
        <w:spacing w:line="440" w:lineRule="exact"/>
        <w:rPr>
          <w:color w:val="auto"/>
          <w:szCs w:val="21"/>
        </w:rPr>
      </w:pPr>
      <w:r>
        <w:rPr>
          <w:color w:val="auto"/>
          <w:szCs w:val="21"/>
        </w:rPr>
        <w:t>单位性质：</w:t>
      </w:r>
      <w:r>
        <w:rPr>
          <w:color w:val="auto"/>
          <w:szCs w:val="21"/>
          <w:u w:val="single"/>
        </w:rPr>
        <w:t xml:space="preserve">                               </w:t>
      </w:r>
      <w:r>
        <w:rPr>
          <w:color w:val="auto"/>
          <w:szCs w:val="21"/>
        </w:rPr>
        <w:t xml:space="preserve"> </w:t>
      </w:r>
    </w:p>
    <w:p>
      <w:pPr>
        <w:spacing w:line="440" w:lineRule="exact"/>
        <w:rPr>
          <w:color w:val="auto"/>
          <w:szCs w:val="21"/>
        </w:rPr>
      </w:pPr>
      <w:r>
        <w:rPr>
          <w:color w:val="auto"/>
          <w:szCs w:val="21"/>
        </w:rPr>
        <w:t>地址：</w:t>
      </w:r>
      <w:r>
        <w:rPr>
          <w:color w:val="auto"/>
          <w:szCs w:val="21"/>
          <w:u w:val="single"/>
        </w:rPr>
        <w:t xml:space="preserve">                                   </w:t>
      </w:r>
    </w:p>
    <w:p>
      <w:pPr>
        <w:spacing w:line="440" w:lineRule="exact"/>
        <w:rPr>
          <w:color w:val="auto"/>
          <w:szCs w:val="21"/>
        </w:rPr>
      </w:pPr>
      <w:r>
        <w:rPr>
          <w:color w:val="auto"/>
          <w:szCs w:val="21"/>
        </w:rPr>
        <w:t>成立时间：</w:t>
      </w:r>
      <w:r>
        <w:rPr>
          <w:color w:val="auto"/>
          <w:szCs w:val="21"/>
          <w:u w:val="single"/>
        </w:rPr>
        <w:t xml:space="preserve">         </w:t>
      </w:r>
      <w:r>
        <w:rPr>
          <w:color w:val="auto"/>
          <w:szCs w:val="21"/>
        </w:rPr>
        <w:t xml:space="preserve"> 年</w:t>
      </w:r>
      <w:r>
        <w:rPr>
          <w:color w:val="auto"/>
          <w:szCs w:val="21"/>
          <w:u w:val="single"/>
        </w:rPr>
        <w:t xml:space="preserve">       </w:t>
      </w:r>
      <w:r>
        <w:rPr>
          <w:color w:val="auto"/>
          <w:szCs w:val="21"/>
        </w:rPr>
        <w:t xml:space="preserve"> 月</w:t>
      </w:r>
      <w:r>
        <w:rPr>
          <w:color w:val="auto"/>
          <w:szCs w:val="21"/>
          <w:u w:val="single"/>
        </w:rPr>
        <w:t xml:space="preserve">       </w:t>
      </w:r>
      <w:r>
        <w:rPr>
          <w:color w:val="auto"/>
          <w:szCs w:val="21"/>
        </w:rPr>
        <w:t xml:space="preserve"> 日</w:t>
      </w:r>
    </w:p>
    <w:p>
      <w:pPr>
        <w:spacing w:line="440" w:lineRule="exact"/>
        <w:rPr>
          <w:color w:val="auto"/>
          <w:szCs w:val="21"/>
        </w:rPr>
      </w:pPr>
      <w:r>
        <w:rPr>
          <w:color w:val="auto"/>
          <w:szCs w:val="21"/>
        </w:rPr>
        <w:t>经营期限：</w:t>
      </w:r>
      <w:r>
        <w:rPr>
          <w:color w:val="auto"/>
          <w:szCs w:val="21"/>
          <w:u w:val="single"/>
        </w:rPr>
        <w:t xml:space="preserve">                               </w:t>
      </w:r>
    </w:p>
    <w:p>
      <w:pPr>
        <w:spacing w:line="440" w:lineRule="exact"/>
        <w:rPr>
          <w:color w:val="auto"/>
          <w:szCs w:val="21"/>
        </w:rPr>
      </w:pPr>
      <w:r>
        <w:rPr>
          <w:color w:val="auto"/>
          <w:szCs w:val="21"/>
        </w:rPr>
        <w:t>姓名：</w:t>
      </w:r>
      <w:r>
        <w:rPr>
          <w:color w:val="auto"/>
          <w:szCs w:val="21"/>
          <w:u w:val="single"/>
        </w:rPr>
        <w:t xml:space="preserve">        </w:t>
      </w:r>
      <w:r>
        <w:rPr>
          <w:color w:val="auto"/>
          <w:szCs w:val="21"/>
        </w:rPr>
        <w:t xml:space="preserve"> 性别：</w:t>
      </w:r>
      <w:r>
        <w:rPr>
          <w:color w:val="auto"/>
          <w:szCs w:val="21"/>
          <w:u w:val="single"/>
        </w:rPr>
        <w:t xml:space="preserve">         </w:t>
      </w:r>
      <w:r>
        <w:rPr>
          <w:color w:val="auto"/>
          <w:szCs w:val="21"/>
        </w:rPr>
        <w:t xml:space="preserve"> 年龄：</w:t>
      </w:r>
      <w:r>
        <w:rPr>
          <w:color w:val="auto"/>
          <w:szCs w:val="21"/>
          <w:u w:val="single"/>
        </w:rPr>
        <w:t xml:space="preserve">        </w:t>
      </w:r>
      <w:r>
        <w:rPr>
          <w:color w:val="auto"/>
          <w:szCs w:val="21"/>
        </w:rPr>
        <w:t>职务：</w:t>
      </w:r>
      <w:r>
        <w:rPr>
          <w:color w:val="auto"/>
          <w:szCs w:val="21"/>
          <w:u w:val="single"/>
        </w:rPr>
        <w:t xml:space="preserve">        </w:t>
      </w:r>
    </w:p>
    <w:p>
      <w:pPr>
        <w:spacing w:line="440" w:lineRule="exact"/>
        <w:rPr>
          <w:color w:val="auto"/>
          <w:szCs w:val="21"/>
        </w:rPr>
      </w:pPr>
      <w:r>
        <w:rPr>
          <w:color w:val="auto"/>
          <w:szCs w:val="21"/>
        </w:rPr>
        <w:t>系</w:t>
      </w:r>
      <w:r>
        <w:rPr>
          <w:color w:val="auto"/>
          <w:szCs w:val="21"/>
          <w:u w:val="single"/>
        </w:rPr>
        <w:t xml:space="preserve">                             </w:t>
      </w:r>
      <w:r>
        <w:rPr>
          <w:color w:val="auto"/>
          <w:szCs w:val="21"/>
        </w:rPr>
        <w:t xml:space="preserve"> </w:t>
      </w:r>
      <w:r>
        <w:rPr>
          <w:rFonts w:hint="eastAsia"/>
          <w:color w:val="auto"/>
          <w:szCs w:val="21"/>
        </w:rPr>
        <w:t>（</w:t>
      </w:r>
      <w:r>
        <w:rPr>
          <w:color w:val="auto"/>
          <w:szCs w:val="21"/>
        </w:rPr>
        <w:t>投标人名称</w:t>
      </w:r>
      <w:r>
        <w:rPr>
          <w:rFonts w:hint="eastAsia"/>
          <w:color w:val="auto"/>
          <w:szCs w:val="21"/>
        </w:rPr>
        <w:t>）</w:t>
      </w:r>
      <w:r>
        <w:rPr>
          <w:color w:val="auto"/>
          <w:szCs w:val="21"/>
        </w:rPr>
        <w:t>的法定代表人。</w:t>
      </w:r>
    </w:p>
    <w:p>
      <w:pPr>
        <w:spacing w:line="440" w:lineRule="exact"/>
        <w:ind w:firstLine="406" w:firstLineChars="200"/>
        <w:rPr>
          <w:color w:val="auto"/>
          <w:szCs w:val="21"/>
        </w:rPr>
      </w:pPr>
      <w:r>
        <w:rPr>
          <w:color w:val="auto"/>
          <w:szCs w:val="21"/>
        </w:rPr>
        <w:t>特此证明。</w:t>
      </w:r>
    </w:p>
    <w:p>
      <w:pPr>
        <w:spacing w:line="440" w:lineRule="exact"/>
        <w:rPr>
          <w:color w:val="auto"/>
          <w:szCs w:val="21"/>
        </w:rPr>
      </w:pPr>
    </w:p>
    <w:p>
      <w:pPr>
        <w:spacing w:line="440" w:lineRule="exact"/>
        <w:rPr>
          <w:color w:val="auto"/>
          <w:szCs w:val="21"/>
        </w:rPr>
      </w:pPr>
    </w:p>
    <w:p>
      <w:pPr>
        <w:spacing w:line="440" w:lineRule="exact"/>
        <w:rPr>
          <w:color w:val="auto"/>
          <w:szCs w:val="21"/>
        </w:rPr>
      </w:pPr>
      <w:r>
        <w:rPr>
          <w:color w:val="auto"/>
          <w:szCs w:val="21"/>
        </w:rPr>
        <w:t xml:space="preserve">                          投标人：</w:t>
      </w:r>
      <w:r>
        <w:rPr>
          <w:color w:val="auto"/>
          <w:szCs w:val="21"/>
          <w:u w:val="single"/>
        </w:rPr>
        <w:t xml:space="preserve">                 </w:t>
      </w:r>
      <w:r>
        <w:rPr>
          <w:color w:val="auto"/>
          <w:szCs w:val="21"/>
        </w:rPr>
        <w:t>（盖单位</w:t>
      </w:r>
      <w:r>
        <w:rPr>
          <w:rFonts w:hint="eastAsia"/>
          <w:color w:val="auto"/>
          <w:szCs w:val="21"/>
          <w:lang w:val="en-US" w:eastAsia="zh-CN"/>
        </w:rPr>
        <w:t>电子</w:t>
      </w:r>
      <w:r>
        <w:rPr>
          <w:color w:val="auto"/>
          <w:szCs w:val="21"/>
        </w:rPr>
        <w:t>章）</w:t>
      </w:r>
    </w:p>
    <w:p>
      <w:pPr>
        <w:spacing w:line="440" w:lineRule="exact"/>
        <w:rPr>
          <w:color w:val="auto"/>
          <w:szCs w:val="21"/>
        </w:rPr>
      </w:pPr>
      <w:r>
        <w:rPr>
          <w:color w:val="auto"/>
          <w:szCs w:val="21"/>
        </w:rPr>
        <w:t xml:space="preserve">                                </w:t>
      </w:r>
      <w:r>
        <w:rPr>
          <w:rFonts w:hint="eastAsia"/>
          <w:color w:val="auto"/>
          <w:szCs w:val="21"/>
        </w:rPr>
        <w:t xml:space="preserve">   </w:t>
      </w:r>
      <w:r>
        <w:rPr>
          <w:color w:val="auto"/>
          <w:szCs w:val="21"/>
          <w:u w:val="single"/>
        </w:rPr>
        <w:t xml:space="preserve">       </w:t>
      </w:r>
      <w:r>
        <w:rPr>
          <w:color w:val="auto"/>
          <w:szCs w:val="21"/>
        </w:rPr>
        <w:t>年</w:t>
      </w:r>
      <w:r>
        <w:rPr>
          <w:color w:val="auto"/>
          <w:szCs w:val="21"/>
          <w:u w:val="single"/>
        </w:rPr>
        <w:t xml:space="preserve">       </w:t>
      </w:r>
      <w:r>
        <w:rPr>
          <w:color w:val="auto"/>
          <w:szCs w:val="21"/>
        </w:rPr>
        <w:t>月</w:t>
      </w:r>
      <w:r>
        <w:rPr>
          <w:color w:val="auto"/>
          <w:szCs w:val="21"/>
          <w:u w:val="single"/>
        </w:rPr>
        <w:t xml:space="preserve">       </w:t>
      </w:r>
      <w:r>
        <w:rPr>
          <w:color w:val="auto"/>
          <w:szCs w:val="21"/>
        </w:rPr>
        <w:t xml:space="preserve">日           </w:t>
      </w: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pStyle w:val="66"/>
        <w:jc w:val="center"/>
        <w:rPr>
          <w:color w:val="auto"/>
          <w:sz w:val="24"/>
          <w:szCs w:val="18"/>
        </w:rPr>
      </w:pPr>
      <w:r>
        <w:rPr>
          <w:rFonts w:hint="eastAsia"/>
          <w:color w:val="auto"/>
          <w:sz w:val="24"/>
          <w:szCs w:val="18"/>
        </w:rPr>
        <w:t>（二）</w:t>
      </w:r>
      <w:r>
        <w:rPr>
          <w:color w:val="auto"/>
          <w:sz w:val="24"/>
          <w:szCs w:val="18"/>
        </w:rPr>
        <w:t>授权委托书</w:t>
      </w:r>
    </w:p>
    <w:p>
      <w:pPr>
        <w:spacing w:line="440" w:lineRule="exact"/>
        <w:rPr>
          <w:rFonts w:eastAsia="黑体"/>
          <w:color w:val="auto"/>
          <w:szCs w:val="21"/>
        </w:rPr>
      </w:pPr>
    </w:p>
    <w:p>
      <w:pPr>
        <w:topLinePunct/>
        <w:spacing w:line="440" w:lineRule="exact"/>
        <w:ind w:firstLine="406" w:firstLineChars="200"/>
        <w:rPr>
          <w:color w:val="auto"/>
          <w:szCs w:val="21"/>
        </w:rPr>
      </w:pPr>
      <w:r>
        <w:rPr>
          <w:color w:val="auto"/>
          <w:szCs w:val="21"/>
        </w:rPr>
        <w:t>本人</w:t>
      </w:r>
      <w:r>
        <w:rPr>
          <w:color w:val="auto"/>
          <w:szCs w:val="21"/>
          <w:u w:val="single"/>
        </w:rPr>
        <w:t xml:space="preserve">       </w:t>
      </w:r>
      <w:r>
        <w:rPr>
          <w:color w:val="auto"/>
          <w:szCs w:val="21"/>
        </w:rPr>
        <w:t>（姓名）系</w:t>
      </w:r>
      <w:r>
        <w:rPr>
          <w:color w:val="auto"/>
          <w:szCs w:val="21"/>
          <w:u w:val="single"/>
        </w:rPr>
        <w:t xml:space="preserve">        </w:t>
      </w:r>
      <w:r>
        <w:rPr>
          <w:color w:val="auto"/>
          <w:szCs w:val="21"/>
        </w:rPr>
        <w:t>（投标人名称）的法定代表人，现委托</w:t>
      </w:r>
      <w:r>
        <w:rPr>
          <w:color w:val="auto"/>
          <w:szCs w:val="21"/>
          <w:u w:val="single"/>
        </w:rPr>
        <w:t xml:space="preserve">        </w:t>
      </w:r>
      <w:r>
        <w:rPr>
          <w:color w:val="auto"/>
          <w:szCs w:val="21"/>
        </w:rPr>
        <w:t>（姓名）为我方代理人。代理人根据授权，以我方名义签署、澄清</w:t>
      </w:r>
      <w:r>
        <w:rPr>
          <w:rFonts w:hint="eastAsia"/>
          <w:color w:val="auto"/>
          <w:szCs w:val="21"/>
        </w:rPr>
        <w:t>、说明、补正</w:t>
      </w:r>
      <w:r>
        <w:rPr>
          <w:color w:val="auto"/>
          <w:szCs w:val="21"/>
        </w:rPr>
        <w:t>、递交、撤回、修改</w:t>
      </w:r>
      <w:r>
        <w:rPr>
          <w:color w:val="auto"/>
          <w:szCs w:val="21"/>
          <w:u w:val="single"/>
        </w:rPr>
        <w:t xml:space="preserve">     </w:t>
      </w:r>
      <w:r>
        <w:rPr>
          <w:rFonts w:hint="eastAsia"/>
          <w:color w:val="auto"/>
          <w:szCs w:val="21"/>
          <w:u w:val="single"/>
        </w:rPr>
        <w:t xml:space="preserve">   </w:t>
      </w:r>
      <w:r>
        <w:rPr>
          <w:color w:val="auto"/>
          <w:szCs w:val="21"/>
          <w:u w:val="single"/>
        </w:rPr>
        <w:t xml:space="preserve">      </w:t>
      </w:r>
      <w:r>
        <w:rPr>
          <w:color w:val="auto"/>
          <w:szCs w:val="21"/>
        </w:rPr>
        <w:t>（项目名称</w:t>
      </w:r>
      <w:r>
        <w:rPr>
          <w:rFonts w:hint="eastAsia"/>
          <w:color w:val="auto"/>
          <w:szCs w:val="21"/>
          <w:lang w:eastAsia="zh-CN"/>
        </w:rPr>
        <w:t>）</w:t>
      </w:r>
      <w:r>
        <w:rPr>
          <w:color w:val="auto"/>
          <w:szCs w:val="21"/>
        </w:rPr>
        <w:t>投标文件、签订合同和处理有关事宜，其法律后果由我方承担。</w:t>
      </w:r>
    </w:p>
    <w:p>
      <w:pPr>
        <w:spacing w:line="440" w:lineRule="exact"/>
        <w:rPr>
          <w:color w:val="auto"/>
          <w:szCs w:val="21"/>
        </w:rPr>
      </w:pPr>
      <w:r>
        <w:rPr>
          <w:color w:val="auto"/>
          <w:szCs w:val="21"/>
        </w:rPr>
        <w:t xml:space="preserve">    委托期限：</w:t>
      </w:r>
      <w:r>
        <w:rPr>
          <w:color w:val="auto"/>
          <w:szCs w:val="21"/>
          <w:u w:val="single"/>
        </w:rPr>
        <w:t xml:space="preserve">             </w:t>
      </w:r>
      <w:r>
        <w:rPr>
          <w:rFonts w:hint="eastAsia"/>
          <w:color w:val="auto"/>
          <w:szCs w:val="21"/>
        </w:rPr>
        <w:t>。</w:t>
      </w:r>
    </w:p>
    <w:p>
      <w:pPr>
        <w:spacing w:line="440" w:lineRule="exact"/>
        <w:ind w:firstLine="406" w:firstLineChars="200"/>
        <w:rPr>
          <w:color w:val="auto"/>
          <w:szCs w:val="21"/>
        </w:rPr>
      </w:pPr>
      <w:r>
        <w:rPr>
          <w:color w:val="auto"/>
          <w:szCs w:val="21"/>
        </w:rPr>
        <w:t>代理人无转委托权。</w:t>
      </w:r>
    </w:p>
    <w:p>
      <w:pPr>
        <w:spacing w:line="440" w:lineRule="exact"/>
        <w:ind w:firstLine="406" w:firstLineChars="200"/>
        <w:rPr>
          <w:color w:val="auto"/>
          <w:szCs w:val="21"/>
        </w:rPr>
      </w:pPr>
      <w:r>
        <w:rPr>
          <w:rFonts w:hint="eastAsia"/>
          <w:color w:val="auto"/>
          <w:szCs w:val="21"/>
        </w:rPr>
        <w:t>附：法定代表人身份证原件</w:t>
      </w:r>
      <w:r>
        <w:rPr>
          <w:rFonts w:hint="eastAsia"/>
          <w:color w:val="auto"/>
          <w:szCs w:val="21"/>
          <w:lang w:val="en-US" w:eastAsia="zh-CN"/>
        </w:rPr>
        <w:t>正反面</w:t>
      </w:r>
      <w:r>
        <w:rPr>
          <w:rFonts w:hint="eastAsia"/>
          <w:color w:val="auto"/>
          <w:szCs w:val="21"/>
        </w:rPr>
        <w:t>扫描件、委托代理人身份证原件</w:t>
      </w:r>
      <w:r>
        <w:rPr>
          <w:rFonts w:hint="eastAsia"/>
          <w:color w:val="auto"/>
          <w:szCs w:val="21"/>
          <w:lang w:val="en-US" w:eastAsia="zh-CN"/>
        </w:rPr>
        <w:t>正反面</w:t>
      </w:r>
      <w:r>
        <w:rPr>
          <w:rFonts w:hint="eastAsia"/>
          <w:color w:val="auto"/>
          <w:szCs w:val="21"/>
        </w:rPr>
        <w:t>扫描件</w:t>
      </w:r>
    </w:p>
    <w:p>
      <w:pPr>
        <w:spacing w:line="440" w:lineRule="exact"/>
        <w:rPr>
          <w:color w:val="auto"/>
          <w:szCs w:val="21"/>
        </w:rPr>
      </w:pPr>
    </w:p>
    <w:p>
      <w:pPr>
        <w:spacing w:line="440" w:lineRule="exact"/>
        <w:rPr>
          <w:color w:val="auto"/>
          <w:szCs w:val="21"/>
        </w:rPr>
      </w:pPr>
    </w:p>
    <w:p>
      <w:pPr>
        <w:spacing w:line="440" w:lineRule="exact"/>
        <w:rPr>
          <w:color w:val="auto"/>
          <w:szCs w:val="21"/>
        </w:rPr>
      </w:pPr>
      <w:r>
        <w:rPr>
          <w:color w:val="auto"/>
          <w:szCs w:val="21"/>
        </w:rPr>
        <w:t>投标人：</w:t>
      </w:r>
      <w:r>
        <w:rPr>
          <w:color w:val="auto"/>
          <w:szCs w:val="21"/>
          <w:u w:val="single"/>
        </w:rPr>
        <w:t xml:space="preserve">                               </w:t>
      </w:r>
      <w:r>
        <w:rPr>
          <w:color w:val="auto"/>
          <w:szCs w:val="21"/>
        </w:rPr>
        <w:t>（盖单位</w:t>
      </w:r>
      <w:r>
        <w:rPr>
          <w:rFonts w:hint="eastAsia"/>
          <w:color w:val="auto"/>
          <w:szCs w:val="21"/>
          <w:lang w:val="en-US" w:eastAsia="zh-CN"/>
        </w:rPr>
        <w:t>电子</w:t>
      </w:r>
      <w:r>
        <w:rPr>
          <w:color w:val="auto"/>
          <w:szCs w:val="21"/>
        </w:rPr>
        <w:t>章）</w:t>
      </w:r>
    </w:p>
    <w:p>
      <w:pPr>
        <w:spacing w:line="440" w:lineRule="exact"/>
        <w:rPr>
          <w:color w:val="auto"/>
          <w:szCs w:val="21"/>
        </w:rPr>
      </w:pPr>
    </w:p>
    <w:p>
      <w:pPr>
        <w:spacing w:line="440" w:lineRule="exact"/>
        <w:rPr>
          <w:color w:val="auto"/>
          <w:szCs w:val="21"/>
        </w:rPr>
      </w:pPr>
      <w:r>
        <w:rPr>
          <w:color w:val="auto"/>
          <w:szCs w:val="21"/>
        </w:rPr>
        <w:t>法定代表人：</w:t>
      </w:r>
      <w:r>
        <w:rPr>
          <w:color w:val="auto"/>
          <w:szCs w:val="21"/>
          <w:u w:val="single"/>
        </w:rPr>
        <w:t xml:space="preserve">                               </w:t>
      </w:r>
      <w:r>
        <w:rPr>
          <w:color w:val="auto"/>
          <w:szCs w:val="21"/>
        </w:rPr>
        <w:t>（</w:t>
      </w:r>
      <w:r>
        <w:rPr>
          <w:rFonts w:hint="eastAsia" w:ascii="宋体" w:hAnsi="宋体" w:cs="宋体"/>
          <w:color w:val="auto"/>
          <w:szCs w:val="21"/>
        </w:rPr>
        <w:t>签字或盖电子章</w:t>
      </w:r>
      <w:r>
        <w:rPr>
          <w:color w:val="auto"/>
          <w:szCs w:val="21"/>
        </w:rPr>
        <w:t>）</w:t>
      </w:r>
    </w:p>
    <w:p>
      <w:pPr>
        <w:spacing w:line="440" w:lineRule="exact"/>
        <w:rPr>
          <w:color w:val="auto"/>
          <w:szCs w:val="21"/>
        </w:rPr>
      </w:pPr>
    </w:p>
    <w:p>
      <w:pPr>
        <w:spacing w:line="440" w:lineRule="exact"/>
        <w:rPr>
          <w:color w:val="auto"/>
          <w:szCs w:val="21"/>
        </w:rPr>
      </w:pPr>
      <w:r>
        <w:rPr>
          <w:color w:val="auto"/>
          <w:szCs w:val="21"/>
        </w:rPr>
        <w:t>法定代表人身份证号码：</w:t>
      </w:r>
      <w:r>
        <w:rPr>
          <w:color w:val="auto"/>
          <w:szCs w:val="21"/>
          <w:u w:val="single"/>
        </w:rPr>
        <w:t xml:space="preserve">                                     </w:t>
      </w:r>
    </w:p>
    <w:p>
      <w:pPr>
        <w:spacing w:line="440" w:lineRule="exact"/>
        <w:rPr>
          <w:color w:val="auto"/>
          <w:szCs w:val="21"/>
        </w:rPr>
      </w:pPr>
    </w:p>
    <w:p>
      <w:pPr>
        <w:spacing w:line="440" w:lineRule="exact"/>
        <w:rPr>
          <w:color w:val="auto"/>
          <w:szCs w:val="21"/>
        </w:rPr>
      </w:pPr>
      <w:r>
        <w:rPr>
          <w:color w:val="auto"/>
          <w:szCs w:val="21"/>
        </w:rPr>
        <w:t>委托代理人：</w:t>
      </w:r>
      <w:r>
        <w:rPr>
          <w:color w:val="auto"/>
          <w:szCs w:val="21"/>
          <w:u w:val="single"/>
        </w:rPr>
        <w:t xml:space="preserve">                                   </w:t>
      </w:r>
      <w:r>
        <w:rPr>
          <w:color w:val="auto"/>
          <w:szCs w:val="21"/>
        </w:rPr>
        <w:t>（</w:t>
      </w:r>
      <w:r>
        <w:rPr>
          <w:rFonts w:hint="eastAsia" w:ascii="宋体" w:hAnsi="宋体" w:cs="宋体"/>
          <w:color w:val="auto"/>
          <w:szCs w:val="21"/>
        </w:rPr>
        <w:t>签字或盖电子章</w:t>
      </w:r>
      <w:r>
        <w:rPr>
          <w:color w:val="auto"/>
          <w:szCs w:val="21"/>
        </w:rPr>
        <w:t>）</w:t>
      </w:r>
    </w:p>
    <w:p>
      <w:pPr>
        <w:spacing w:line="440" w:lineRule="exact"/>
        <w:rPr>
          <w:color w:val="auto"/>
          <w:szCs w:val="21"/>
        </w:rPr>
      </w:pPr>
    </w:p>
    <w:p>
      <w:pPr>
        <w:spacing w:line="440" w:lineRule="exact"/>
        <w:rPr>
          <w:color w:val="auto"/>
          <w:szCs w:val="21"/>
        </w:rPr>
      </w:pPr>
      <w:r>
        <w:rPr>
          <w:color w:val="auto"/>
          <w:szCs w:val="21"/>
        </w:rPr>
        <w:t>委托代理人身份证号码：</w:t>
      </w:r>
      <w:r>
        <w:rPr>
          <w:color w:val="auto"/>
          <w:szCs w:val="21"/>
          <w:u w:val="single"/>
        </w:rPr>
        <w:t xml:space="preserve">                                      </w:t>
      </w:r>
    </w:p>
    <w:p>
      <w:pPr>
        <w:spacing w:line="440" w:lineRule="exact"/>
        <w:ind w:firstLine="2233" w:firstLineChars="1100"/>
        <w:rPr>
          <w:color w:val="auto"/>
          <w:szCs w:val="21"/>
          <w:u w:val="single"/>
        </w:rPr>
      </w:pPr>
    </w:p>
    <w:p>
      <w:pPr>
        <w:spacing w:line="440" w:lineRule="exact"/>
        <w:ind w:firstLine="2233" w:firstLineChars="1100"/>
        <w:rPr>
          <w:color w:val="auto"/>
          <w:szCs w:val="21"/>
          <w:u w:val="single"/>
        </w:rPr>
      </w:pPr>
    </w:p>
    <w:p>
      <w:pPr>
        <w:spacing w:line="440" w:lineRule="exact"/>
        <w:ind w:firstLine="2233" w:firstLineChars="1100"/>
        <w:jc w:val="right"/>
        <w:rPr>
          <w:rFonts w:eastAsia="黑体"/>
          <w:color w:val="auto"/>
          <w:szCs w:val="21"/>
        </w:rPr>
      </w:pPr>
      <w:r>
        <w:rPr>
          <w:color w:val="auto"/>
          <w:szCs w:val="21"/>
          <w:u w:val="single"/>
        </w:rPr>
        <w:t xml:space="preserve">       </w:t>
      </w:r>
      <w:r>
        <w:rPr>
          <w:color w:val="auto"/>
          <w:szCs w:val="21"/>
        </w:rPr>
        <w:t>年</w:t>
      </w:r>
      <w:r>
        <w:rPr>
          <w:color w:val="auto"/>
          <w:szCs w:val="21"/>
          <w:u w:val="single"/>
        </w:rPr>
        <w:t xml:space="preserve">       </w:t>
      </w:r>
      <w:r>
        <w:rPr>
          <w:color w:val="auto"/>
          <w:szCs w:val="21"/>
        </w:rPr>
        <w:t>月</w:t>
      </w:r>
      <w:r>
        <w:rPr>
          <w:color w:val="auto"/>
          <w:szCs w:val="21"/>
          <w:u w:val="single"/>
        </w:rPr>
        <w:t xml:space="preserve">       </w:t>
      </w:r>
      <w:r>
        <w:rPr>
          <w:color w:val="auto"/>
          <w:szCs w:val="21"/>
        </w:rPr>
        <w:t>日</w:t>
      </w:r>
    </w:p>
    <w:p>
      <w:pPr>
        <w:spacing w:line="400" w:lineRule="exact"/>
        <w:rPr>
          <w:rFonts w:eastAsia="黑体"/>
          <w:color w:val="auto"/>
          <w:sz w:val="20"/>
          <w:szCs w:val="20"/>
        </w:rPr>
      </w:pPr>
    </w:p>
    <w:p>
      <w:pPr>
        <w:spacing w:line="400" w:lineRule="exact"/>
        <w:rPr>
          <w:rFonts w:eastAsia="黑体"/>
          <w:color w:val="auto"/>
          <w:sz w:val="20"/>
          <w:szCs w:val="20"/>
        </w:rPr>
      </w:pPr>
    </w:p>
    <w:p>
      <w:pPr>
        <w:spacing w:line="400" w:lineRule="exact"/>
        <w:rPr>
          <w:rFonts w:eastAsia="黑体"/>
          <w:color w:val="auto"/>
          <w:sz w:val="20"/>
          <w:szCs w:val="20"/>
        </w:rPr>
      </w:pPr>
    </w:p>
    <w:p>
      <w:pPr>
        <w:spacing w:line="440" w:lineRule="exact"/>
        <w:rPr>
          <w:rFonts w:ascii="宋体" w:hAnsi="宋体" w:cs="宋体"/>
          <w:color w:val="auto"/>
          <w:szCs w:val="21"/>
        </w:rPr>
      </w:pPr>
      <w:r>
        <w:rPr>
          <w:rFonts w:hint="eastAsia" w:ascii="宋体" w:hAnsi="宋体" w:cs="宋体"/>
          <w:color w:val="auto"/>
          <w:szCs w:val="21"/>
        </w:rPr>
        <w:t>注：授权委托书中委托代理人可电子签章或签字后扫描上传。</w:t>
      </w:r>
    </w:p>
    <w:p>
      <w:pPr>
        <w:spacing w:line="400" w:lineRule="exact"/>
        <w:rPr>
          <w:rFonts w:eastAsia="黑体"/>
          <w:color w:val="auto"/>
          <w:sz w:val="20"/>
          <w:szCs w:val="20"/>
        </w:rPr>
      </w:pPr>
    </w:p>
    <w:p>
      <w:pPr>
        <w:spacing w:line="400" w:lineRule="exact"/>
        <w:rPr>
          <w:rFonts w:eastAsia="黑体"/>
          <w:color w:val="auto"/>
          <w:sz w:val="20"/>
          <w:szCs w:val="20"/>
        </w:rPr>
      </w:pPr>
    </w:p>
    <w:p>
      <w:pPr>
        <w:spacing w:line="400" w:lineRule="exact"/>
        <w:rPr>
          <w:rFonts w:eastAsia="黑体"/>
          <w:color w:val="auto"/>
          <w:sz w:val="20"/>
          <w:szCs w:val="20"/>
        </w:rPr>
      </w:pPr>
    </w:p>
    <w:p>
      <w:pPr>
        <w:spacing w:line="400" w:lineRule="exact"/>
        <w:rPr>
          <w:rFonts w:eastAsia="黑体"/>
          <w:color w:val="auto"/>
          <w:sz w:val="20"/>
          <w:szCs w:val="20"/>
        </w:rPr>
      </w:pPr>
    </w:p>
    <w:p>
      <w:pPr>
        <w:rPr>
          <w:rFonts w:eastAsia="黑体"/>
          <w:color w:val="auto"/>
          <w:sz w:val="20"/>
          <w:szCs w:val="20"/>
        </w:rPr>
      </w:pPr>
      <w:r>
        <w:rPr>
          <w:rFonts w:eastAsia="黑体"/>
          <w:color w:val="auto"/>
          <w:sz w:val="20"/>
          <w:szCs w:val="20"/>
        </w:rPr>
        <w:br w:type="page"/>
      </w:r>
    </w:p>
    <w:p>
      <w:pPr>
        <w:pStyle w:val="70"/>
        <w:spacing w:line="360" w:lineRule="auto"/>
        <w:rPr>
          <w:rFonts w:ascii="宋体" w:hAnsi="宋体" w:eastAsia="宋体" w:cs="宋体"/>
          <w:color w:val="auto"/>
          <w:spacing w:val="14"/>
          <w:sz w:val="24"/>
        </w:rPr>
      </w:pPr>
      <w:r>
        <w:rPr>
          <w:rFonts w:hint="eastAsia" w:ascii="宋体" w:hAnsi="宋体" w:eastAsia="宋体" w:cs="宋体"/>
          <w:color w:val="auto"/>
          <w:spacing w:val="14"/>
          <w:sz w:val="24"/>
        </w:rPr>
        <w:t>1、法定代表人身份证正面和反面扫描件</w:t>
      </w:r>
    </w:p>
    <w:p>
      <w:pPr>
        <w:pStyle w:val="70"/>
        <w:spacing w:line="360" w:lineRule="auto"/>
        <w:ind w:firstLine="0"/>
        <w:rPr>
          <w:rFonts w:ascii="宋体" w:hAnsi="宋体" w:eastAsia="宋体" w:cs="宋体"/>
          <w:color w:val="auto"/>
          <w:spacing w:val="14"/>
          <w:sz w:val="24"/>
        </w:rPr>
      </w:pPr>
    </w:p>
    <w:p>
      <w:pPr>
        <w:pStyle w:val="70"/>
        <w:spacing w:line="360" w:lineRule="auto"/>
        <w:rPr>
          <w:rFonts w:ascii="宋体" w:hAnsi="宋体" w:eastAsia="宋体" w:cs="宋体"/>
          <w:color w:val="auto"/>
          <w:spacing w:val="14"/>
          <w:sz w:val="24"/>
        </w:rPr>
      </w:pPr>
    </w:p>
    <w:p>
      <w:pPr>
        <w:pStyle w:val="70"/>
        <w:spacing w:line="360" w:lineRule="auto"/>
        <w:rPr>
          <w:rFonts w:ascii="宋体" w:hAnsi="宋体" w:eastAsia="宋体" w:cs="宋体"/>
          <w:color w:val="auto"/>
          <w:spacing w:val="14"/>
          <w:sz w:val="24"/>
        </w:rPr>
      </w:pPr>
    </w:p>
    <w:p>
      <w:pPr>
        <w:pStyle w:val="70"/>
        <w:spacing w:line="360" w:lineRule="auto"/>
        <w:ind w:firstLine="0"/>
        <w:rPr>
          <w:rFonts w:ascii="宋体" w:hAnsi="宋体" w:eastAsia="宋体" w:cs="宋体"/>
          <w:color w:val="auto"/>
          <w:spacing w:val="14"/>
          <w:sz w:val="24"/>
        </w:rPr>
      </w:pPr>
    </w:p>
    <w:p>
      <w:pPr>
        <w:pStyle w:val="70"/>
        <w:spacing w:line="360" w:lineRule="auto"/>
        <w:rPr>
          <w:rFonts w:ascii="宋体" w:hAnsi="宋体" w:eastAsia="宋体" w:cs="宋体"/>
          <w:color w:val="auto"/>
          <w:spacing w:val="14"/>
          <w:sz w:val="24"/>
        </w:rPr>
      </w:pPr>
    </w:p>
    <w:p>
      <w:pPr>
        <w:pStyle w:val="70"/>
        <w:spacing w:line="360" w:lineRule="auto"/>
        <w:rPr>
          <w:rFonts w:ascii="宋体" w:hAnsi="宋体" w:eastAsia="宋体" w:cs="宋体"/>
          <w:color w:val="auto"/>
          <w:spacing w:val="14"/>
          <w:sz w:val="24"/>
        </w:rPr>
      </w:pPr>
    </w:p>
    <w:p>
      <w:pPr>
        <w:pStyle w:val="70"/>
        <w:spacing w:line="360" w:lineRule="auto"/>
        <w:rPr>
          <w:rFonts w:ascii="宋体" w:hAnsi="宋体" w:eastAsia="宋体" w:cs="宋体"/>
          <w:color w:val="auto"/>
          <w:spacing w:val="14"/>
          <w:sz w:val="24"/>
        </w:rPr>
      </w:pPr>
      <w:r>
        <w:rPr>
          <w:rFonts w:hint="eastAsia" w:ascii="宋体" w:hAnsi="宋体" w:eastAsia="宋体" w:cs="宋体"/>
          <w:color w:val="auto"/>
          <w:spacing w:val="14"/>
          <w:sz w:val="24"/>
        </w:rPr>
        <w:t>2、投标人代表（被授权人）身份证正面和反面扫描件</w:t>
      </w:r>
    </w:p>
    <w:p>
      <w:pPr>
        <w:pStyle w:val="5"/>
        <w:spacing w:before="0" w:after="0" w:line="360" w:lineRule="auto"/>
        <w:jc w:val="center"/>
        <w:outlineLvl w:val="9"/>
        <w:rPr>
          <w:rFonts w:ascii="宋体" w:hAnsi="宋体" w:eastAsia="宋体"/>
          <w:color w:val="auto"/>
        </w:rPr>
      </w:pPr>
    </w:p>
    <w:p>
      <w:pPr>
        <w:pStyle w:val="5"/>
        <w:spacing w:before="0" w:after="0" w:line="360" w:lineRule="auto"/>
        <w:jc w:val="center"/>
        <w:outlineLvl w:val="9"/>
        <w:rPr>
          <w:rFonts w:ascii="宋体" w:hAnsi="宋体" w:eastAsia="宋体"/>
          <w:color w:val="auto"/>
        </w:rPr>
      </w:pPr>
    </w:p>
    <w:p>
      <w:pPr>
        <w:pStyle w:val="5"/>
        <w:spacing w:before="0" w:after="0" w:line="360" w:lineRule="auto"/>
        <w:jc w:val="center"/>
        <w:outlineLvl w:val="9"/>
        <w:rPr>
          <w:rFonts w:ascii="宋体" w:hAnsi="宋体" w:eastAsia="宋体"/>
          <w:color w:val="auto"/>
        </w:rPr>
      </w:pPr>
    </w:p>
    <w:p>
      <w:pPr>
        <w:rPr>
          <w:color w:val="auto"/>
        </w:rPr>
      </w:pPr>
      <w:r>
        <w:rPr>
          <w:color w:val="auto"/>
        </w:rPr>
        <w:br w:type="page"/>
      </w:r>
    </w:p>
    <w:p>
      <w:pPr>
        <w:rPr>
          <w:color w:val="auto"/>
        </w:rPr>
      </w:pPr>
    </w:p>
    <w:p>
      <w:pPr>
        <w:pStyle w:val="66"/>
        <w:jc w:val="center"/>
        <w:rPr>
          <w:color w:val="auto"/>
        </w:rPr>
      </w:pPr>
      <w:bookmarkStart w:id="228" w:name="_Toc4568_WPSOffice_Level1"/>
      <w:r>
        <w:rPr>
          <w:rFonts w:hint="eastAsia"/>
          <w:color w:val="auto"/>
        </w:rPr>
        <w:t>三</w:t>
      </w:r>
      <w:r>
        <w:rPr>
          <w:color w:val="auto"/>
        </w:rPr>
        <w:t>、投标保证金</w:t>
      </w:r>
      <w:bookmarkEnd w:id="228"/>
    </w:p>
    <w:p>
      <w:pPr>
        <w:spacing w:line="440" w:lineRule="exact"/>
        <w:rPr>
          <w:color w:val="auto"/>
          <w:szCs w:val="21"/>
        </w:rPr>
      </w:pPr>
    </w:p>
    <w:p>
      <w:pPr>
        <w:spacing w:line="440" w:lineRule="exact"/>
        <w:jc w:val="center"/>
        <w:rPr>
          <w:color w:val="auto"/>
          <w:szCs w:val="21"/>
        </w:rPr>
      </w:pPr>
    </w:p>
    <w:p>
      <w:pPr>
        <w:spacing w:line="360" w:lineRule="auto"/>
        <w:rPr>
          <w:color w:val="auto"/>
          <w:szCs w:val="21"/>
        </w:rPr>
      </w:pPr>
      <w:r>
        <w:rPr>
          <w:color w:val="auto"/>
          <w:szCs w:val="21"/>
        </w:rPr>
        <w:br w:type="page"/>
      </w:r>
    </w:p>
    <w:p>
      <w:pPr>
        <w:pStyle w:val="66"/>
        <w:jc w:val="center"/>
        <w:rPr>
          <w:color w:val="auto"/>
        </w:rPr>
      </w:pPr>
      <w:bookmarkStart w:id="229" w:name="_Toc13523_WPSOffice_Level1"/>
      <w:r>
        <w:rPr>
          <w:rFonts w:hint="eastAsia"/>
          <w:color w:val="auto"/>
        </w:rPr>
        <w:t>四</w:t>
      </w:r>
      <w:r>
        <w:rPr>
          <w:color w:val="auto"/>
        </w:rPr>
        <w:t>、已标价工程量清单</w:t>
      </w:r>
      <w:bookmarkEnd w:id="229"/>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pStyle w:val="66"/>
        <w:jc w:val="center"/>
        <w:rPr>
          <w:color w:val="auto"/>
        </w:rPr>
      </w:pPr>
      <w:bookmarkStart w:id="230" w:name="_Toc11212_WPSOffice_Level1"/>
      <w:r>
        <w:rPr>
          <w:rFonts w:hint="eastAsia"/>
          <w:color w:val="auto"/>
        </w:rPr>
        <w:t>五</w:t>
      </w:r>
      <w:r>
        <w:rPr>
          <w:color w:val="auto"/>
        </w:rPr>
        <w:t>、施工组织设计</w:t>
      </w:r>
      <w:bookmarkEnd w:id="230"/>
    </w:p>
    <w:p>
      <w:pPr>
        <w:spacing w:line="440" w:lineRule="exact"/>
        <w:rPr>
          <w:rFonts w:eastAsia="黑体"/>
          <w:color w:val="auto"/>
          <w:szCs w:val="21"/>
        </w:rPr>
      </w:pPr>
    </w:p>
    <w:p>
      <w:pPr>
        <w:tabs>
          <w:tab w:val="left" w:pos="720"/>
        </w:tabs>
        <w:spacing w:line="440" w:lineRule="exact"/>
        <w:ind w:firstLine="406" w:firstLineChars="200"/>
        <w:rPr>
          <w:color w:val="auto"/>
          <w:szCs w:val="21"/>
        </w:rPr>
      </w:pPr>
      <w:r>
        <w:rPr>
          <w:color w:val="auto"/>
          <w:szCs w:val="21"/>
        </w:rPr>
        <w:t>1</w:t>
      </w:r>
      <w:r>
        <w:rPr>
          <w:rFonts w:hint="eastAsia"/>
          <w:color w:val="auto"/>
          <w:szCs w:val="21"/>
        </w:rPr>
        <w:t>、</w:t>
      </w:r>
      <w:r>
        <w:rPr>
          <w:color w:val="auto"/>
          <w:szCs w:val="21"/>
        </w:rPr>
        <w:t>投标人编制施工组织设计的要求：编制时应采用文字并结合图表形式说明施工方法；拟投入</w:t>
      </w:r>
      <w:r>
        <w:rPr>
          <w:rFonts w:hint="eastAsia"/>
          <w:color w:val="auto"/>
          <w:szCs w:val="21"/>
        </w:rPr>
        <w:t>本项目</w:t>
      </w:r>
      <w:r>
        <w:rPr>
          <w:color w:val="auto"/>
          <w:szCs w:val="21"/>
        </w:rPr>
        <w:t>的主要施工设备情况、拟配备</w:t>
      </w:r>
      <w:r>
        <w:rPr>
          <w:rFonts w:hint="eastAsia"/>
          <w:color w:val="auto"/>
          <w:szCs w:val="21"/>
        </w:rPr>
        <w:t>本项目</w:t>
      </w:r>
      <w:r>
        <w:rPr>
          <w:color w:val="auto"/>
          <w:szCs w:val="21"/>
        </w:rPr>
        <w:t>的试验和检测仪器设备情况、劳动力计划等；结合工程特点提出切实可行的工程质量、安全生产、文明施工、工程进度、技术组织措施，同时应对关键工序、复杂环节重点提出相应技术措施，如冬雨季施工技术、减少噪音、降低环境污染、地下管线及其他地上地下设施的保护加固措施等。</w:t>
      </w:r>
    </w:p>
    <w:p>
      <w:pPr>
        <w:tabs>
          <w:tab w:val="left" w:pos="720"/>
        </w:tabs>
        <w:spacing w:line="440" w:lineRule="exact"/>
        <w:ind w:firstLine="406" w:firstLineChars="200"/>
        <w:rPr>
          <w:color w:val="auto"/>
          <w:szCs w:val="21"/>
        </w:rPr>
      </w:pPr>
      <w:r>
        <w:rPr>
          <w:color w:val="auto"/>
          <w:szCs w:val="21"/>
        </w:rPr>
        <w:t>2</w:t>
      </w:r>
      <w:r>
        <w:rPr>
          <w:rFonts w:hint="eastAsia"/>
          <w:color w:val="auto"/>
          <w:szCs w:val="21"/>
        </w:rPr>
        <w:t>、</w:t>
      </w:r>
      <w:r>
        <w:rPr>
          <w:color w:val="auto"/>
          <w:szCs w:val="21"/>
        </w:rPr>
        <w:t>施工组织设计除采用文字表述外可附下列图表，图表及格式要求附后。</w:t>
      </w:r>
    </w:p>
    <w:p>
      <w:pPr>
        <w:tabs>
          <w:tab w:val="left" w:pos="720"/>
        </w:tabs>
        <w:spacing w:line="440" w:lineRule="exact"/>
        <w:ind w:firstLine="731" w:firstLineChars="360"/>
        <w:rPr>
          <w:color w:val="auto"/>
          <w:szCs w:val="21"/>
        </w:rPr>
      </w:pPr>
      <w:r>
        <w:rPr>
          <w:color w:val="auto"/>
          <w:szCs w:val="21"/>
        </w:rPr>
        <w:t>附表一  拟投入</w:t>
      </w:r>
      <w:r>
        <w:rPr>
          <w:rFonts w:hint="eastAsia"/>
          <w:color w:val="auto"/>
          <w:szCs w:val="21"/>
        </w:rPr>
        <w:t>本项目</w:t>
      </w:r>
      <w:r>
        <w:rPr>
          <w:color w:val="auto"/>
          <w:szCs w:val="21"/>
        </w:rPr>
        <w:t>的主要施工设备表</w:t>
      </w:r>
    </w:p>
    <w:p>
      <w:pPr>
        <w:tabs>
          <w:tab w:val="left" w:pos="720"/>
        </w:tabs>
        <w:spacing w:line="440" w:lineRule="exact"/>
        <w:ind w:firstLine="731" w:firstLineChars="360"/>
        <w:rPr>
          <w:color w:val="auto"/>
          <w:szCs w:val="21"/>
        </w:rPr>
      </w:pPr>
      <w:r>
        <w:rPr>
          <w:color w:val="auto"/>
          <w:szCs w:val="21"/>
        </w:rPr>
        <w:t>附表二  拟配备</w:t>
      </w:r>
      <w:r>
        <w:rPr>
          <w:rFonts w:hint="eastAsia"/>
          <w:color w:val="auto"/>
          <w:szCs w:val="21"/>
        </w:rPr>
        <w:t>本项目</w:t>
      </w:r>
      <w:r>
        <w:rPr>
          <w:color w:val="auto"/>
          <w:szCs w:val="21"/>
        </w:rPr>
        <w:t>的试验和检测仪器设备表</w:t>
      </w:r>
    </w:p>
    <w:p>
      <w:pPr>
        <w:tabs>
          <w:tab w:val="left" w:pos="720"/>
        </w:tabs>
        <w:spacing w:line="440" w:lineRule="exact"/>
        <w:ind w:firstLine="731" w:firstLineChars="360"/>
        <w:rPr>
          <w:color w:val="auto"/>
          <w:szCs w:val="21"/>
        </w:rPr>
      </w:pPr>
      <w:r>
        <w:rPr>
          <w:color w:val="auto"/>
          <w:szCs w:val="21"/>
        </w:rPr>
        <w:t>附表三  劳动力计划表</w:t>
      </w:r>
    </w:p>
    <w:p>
      <w:pPr>
        <w:tabs>
          <w:tab w:val="left" w:pos="720"/>
        </w:tabs>
        <w:spacing w:line="440" w:lineRule="exact"/>
        <w:ind w:firstLine="731" w:firstLineChars="360"/>
        <w:rPr>
          <w:color w:val="auto"/>
          <w:szCs w:val="21"/>
        </w:rPr>
      </w:pPr>
      <w:r>
        <w:rPr>
          <w:color w:val="auto"/>
          <w:szCs w:val="21"/>
        </w:rPr>
        <w:t>附表四  计划开、</w:t>
      </w:r>
      <w:r>
        <w:rPr>
          <w:rFonts w:hint="eastAsia"/>
          <w:color w:val="auto"/>
        </w:rPr>
        <w:t>竣工</w:t>
      </w:r>
      <w:r>
        <w:rPr>
          <w:color w:val="auto"/>
          <w:szCs w:val="21"/>
        </w:rPr>
        <w:t>日期和施工进度网络图</w:t>
      </w:r>
    </w:p>
    <w:p>
      <w:pPr>
        <w:tabs>
          <w:tab w:val="left" w:pos="720"/>
        </w:tabs>
        <w:spacing w:line="440" w:lineRule="exact"/>
        <w:ind w:firstLine="731" w:firstLineChars="360"/>
        <w:rPr>
          <w:color w:val="auto"/>
          <w:szCs w:val="21"/>
        </w:rPr>
      </w:pPr>
      <w:r>
        <w:rPr>
          <w:color w:val="auto"/>
          <w:szCs w:val="21"/>
        </w:rPr>
        <w:t>附表五  施工总平面图</w:t>
      </w:r>
    </w:p>
    <w:p>
      <w:pPr>
        <w:tabs>
          <w:tab w:val="left" w:pos="720"/>
        </w:tabs>
        <w:spacing w:line="440" w:lineRule="exact"/>
        <w:ind w:firstLine="731" w:firstLineChars="360"/>
        <w:rPr>
          <w:color w:val="auto"/>
          <w:szCs w:val="21"/>
        </w:rPr>
      </w:pPr>
      <w:r>
        <w:rPr>
          <w:color w:val="auto"/>
          <w:szCs w:val="21"/>
        </w:rPr>
        <w:t>附表六  临时用地表</w:t>
      </w: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color w:val="auto"/>
          <w:sz w:val="20"/>
          <w:szCs w:val="20"/>
        </w:rPr>
      </w:pPr>
    </w:p>
    <w:p>
      <w:pPr>
        <w:pStyle w:val="69"/>
        <w:rPr>
          <w:color w:val="auto"/>
          <w:szCs w:val="23"/>
        </w:rPr>
      </w:pPr>
      <w:r>
        <w:rPr>
          <w:color w:val="auto"/>
        </w:rPr>
        <w:t>附表一：</w:t>
      </w:r>
      <w:r>
        <w:rPr>
          <w:color w:val="auto"/>
          <w:szCs w:val="23"/>
        </w:rPr>
        <w:t>拟投入</w:t>
      </w:r>
      <w:r>
        <w:rPr>
          <w:rFonts w:hint="eastAsia"/>
          <w:color w:val="auto"/>
          <w:szCs w:val="23"/>
        </w:rPr>
        <w:t>本项目</w:t>
      </w:r>
      <w:r>
        <w:rPr>
          <w:color w:val="auto"/>
          <w:szCs w:val="23"/>
        </w:rPr>
        <w:t>的主要施工设备表</w:t>
      </w:r>
    </w:p>
    <w:p>
      <w:pPr>
        <w:spacing w:line="440" w:lineRule="exact"/>
        <w:rPr>
          <w:color w:val="auto"/>
          <w:sz w:val="20"/>
          <w:szCs w:val="20"/>
        </w:rPr>
      </w:pPr>
    </w:p>
    <w:tbl>
      <w:tblPr>
        <w:tblStyle w:val="37"/>
        <w:tblW w:w="1022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9"/>
        <w:gridCol w:w="1269"/>
        <w:gridCol w:w="889"/>
        <w:gridCol w:w="1157"/>
        <w:gridCol w:w="785"/>
        <w:gridCol w:w="863"/>
        <w:gridCol w:w="1417"/>
        <w:gridCol w:w="1022"/>
        <w:gridCol w:w="1233"/>
        <w:gridCol w:w="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vAlign w:val="center"/>
          </w:tcPr>
          <w:p>
            <w:pPr>
              <w:adjustRightInd w:val="0"/>
              <w:spacing w:line="440" w:lineRule="exact"/>
              <w:textAlignment w:val="baseline"/>
              <w:rPr>
                <w:color w:val="auto"/>
                <w:szCs w:val="21"/>
              </w:rPr>
            </w:pPr>
            <w:r>
              <w:rPr>
                <w:color w:val="auto"/>
                <w:szCs w:val="21"/>
              </w:rPr>
              <w:t>序号</w:t>
            </w:r>
          </w:p>
        </w:tc>
        <w:tc>
          <w:tcPr>
            <w:tcW w:w="1269" w:type="dxa"/>
            <w:vAlign w:val="center"/>
          </w:tcPr>
          <w:p>
            <w:pPr>
              <w:adjustRightInd w:val="0"/>
              <w:spacing w:line="440" w:lineRule="exact"/>
              <w:jc w:val="center"/>
              <w:textAlignment w:val="baseline"/>
              <w:rPr>
                <w:color w:val="auto"/>
                <w:szCs w:val="21"/>
              </w:rPr>
            </w:pPr>
            <w:r>
              <w:rPr>
                <w:color w:val="auto"/>
                <w:szCs w:val="21"/>
              </w:rPr>
              <w:t>设备名称</w:t>
            </w:r>
          </w:p>
        </w:tc>
        <w:tc>
          <w:tcPr>
            <w:tcW w:w="889" w:type="dxa"/>
            <w:vAlign w:val="center"/>
          </w:tcPr>
          <w:p>
            <w:pPr>
              <w:adjustRightInd w:val="0"/>
              <w:spacing w:line="440" w:lineRule="exact"/>
              <w:jc w:val="center"/>
              <w:textAlignment w:val="baseline"/>
              <w:rPr>
                <w:color w:val="auto"/>
                <w:szCs w:val="21"/>
              </w:rPr>
            </w:pPr>
            <w:r>
              <w:rPr>
                <w:color w:val="auto"/>
                <w:szCs w:val="21"/>
              </w:rPr>
              <w:t>型号</w:t>
            </w:r>
          </w:p>
          <w:p>
            <w:pPr>
              <w:adjustRightInd w:val="0"/>
              <w:spacing w:line="440" w:lineRule="exact"/>
              <w:jc w:val="center"/>
              <w:textAlignment w:val="baseline"/>
              <w:rPr>
                <w:color w:val="auto"/>
                <w:szCs w:val="21"/>
              </w:rPr>
            </w:pPr>
            <w:r>
              <w:rPr>
                <w:color w:val="auto"/>
                <w:szCs w:val="21"/>
              </w:rPr>
              <w:t>规格</w:t>
            </w:r>
          </w:p>
        </w:tc>
        <w:tc>
          <w:tcPr>
            <w:tcW w:w="1157" w:type="dxa"/>
            <w:vAlign w:val="center"/>
          </w:tcPr>
          <w:p>
            <w:pPr>
              <w:adjustRightInd w:val="0"/>
              <w:spacing w:line="440" w:lineRule="exact"/>
              <w:jc w:val="center"/>
              <w:textAlignment w:val="baseline"/>
              <w:rPr>
                <w:color w:val="auto"/>
                <w:szCs w:val="21"/>
              </w:rPr>
            </w:pPr>
            <w:r>
              <w:rPr>
                <w:color w:val="auto"/>
                <w:szCs w:val="21"/>
              </w:rPr>
              <w:t>数量</w:t>
            </w:r>
          </w:p>
        </w:tc>
        <w:tc>
          <w:tcPr>
            <w:tcW w:w="785" w:type="dxa"/>
            <w:vAlign w:val="center"/>
          </w:tcPr>
          <w:p>
            <w:pPr>
              <w:adjustRightInd w:val="0"/>
              <w:spacing w:line="440" w:lineRule="exact"/>
              <w:jc w:val="center"/>
              <w:textAlignment w:val="baseline"/>
              <w:rPr>
                <w:color w:val="auto"/>
                <w:szCs w:val="21"/>
              </w:rPr>
            </w:pPr>
            <w:r>
              <w:rPr>
                <w:color w:val="auto"/>
                <w:szCs w:val="21"/>
              </w:rPr>
              <w:t>国别</w:t>
            </w:r>
          </w:p>
          <w:p>
            <w:pPr>
              <w:adjustRightInd w:val="0"/>
              <w:spacing w:line="440" w:lineRule="exact"/>
              <w:jc w:val="center"/>
              <w:textAlignment w:val="baseline"/>
              <w:rPr>
                <w:color w:val="auto"/>
                <w:szCs w:val="21"/>
              </w:rPr>
            </w:pPr>
            <w:r>
              <w:rPr>
                <w:color w:val="auto"/>
                <w:szCs w:val="21"/>
              </w:rPr>
              <w:t>产地</w:t>
            </w:r>
          </w:p>
        </w:tc>
        <w:tc>
          <w:tcPr>
            <w:tcW w:w="863" w:type="dxa"/>
            <w:vAlign w:val="center"/>
          </w:tcPr>
          <w:p>
            <w:pPr>
              <w:adjustRightInd w:val="0"/>
              <w:spacing w:line="440" w:lineRule="exact"/>
              <w:jc w:val="center"/>
              <w:textAlignment w:val="baseline"/>
              <w:rPr>
                <w:color w:val="auto"/>
                <w:szCs w:val="21"/>
              </w:rPr>
            </w:pPr>
            <w:r>
              <w:rPr>
                <w:color w:val="auto"/>
                <w:szCs w:val="21"/>
              </w:rPr>
              <w:t>制造</w:t>
            </w:r>
          </w:p>
          <w:p>
            <w:pPr>
              <w:adjustRightInd w:val="0"/>
              <w:spacing w:line="440" w:lineRule="exact"/>
              <w:jc w:val="center"/>
              <w:textAlignment w:val="baseline"/>
              <w:rPr>
                <w:color w:val="auto"/>
                <w:szCs w:val="21"/>
              </w:rPr>
            </w:pPr>
            <w:r>
              <w:rPr>
                <w:color w:val="auto"/>
                <w:szCs w:val="21"/>
              </w:rPr>
              <w:t>年份</w:t>
            </w:r>
          </w:p>
        </w:tc>
        <w:tc>
          <w:tcPr>
            <w:tcW w:w="1417" w:type="dxa"/>
            <w:vAlign w:val="center"/>
          </w:tcPr>
          <w:p>
            <w:pPr>
              <w:adjustRightInd w:val="0"/>
              <w:spacing w:line="440" w:lineRule="exact"/>
              <w:jc w:val="center"/>
              <w:textAlignment w:val="baseline"/>
              <w:rPr>
                <w:color w:val="auto"/>
                <w:szCs w:val="21"/>
              </w:rPr>
            </w:pPr>
            <w:r>
              <w:rPr>
                <w:color w:val="auto"/>
                <w:szCs w:val="21"/>
              </w:rPr>
              <w:t>额定功率（</w:t>
            </w:r>
            <w:r>
              <w:rPr>
                <w:rFonts w:hint="eastAsia"/>
                <w:color w:val="auto"/>
                <w:szCs w:val="21"/>
              </w:rPr>
              <w:t>K</w:t>
            </w:r>
            <w:r>
              <w:rPr>
                <w:color w:val="auto"/>
                <w:szCs w:val="21"/>
              </w:rPr>
              <w:t>W）</w:t>
            </w:r>
          </w:p>
        </w:tc>
        <w:tc>
          <w:tcPr>
            <w:tcW w:w="1022" w:type="dxa"/>
            <w:vAlign w:val="center"/>
          </w:tcPr>
          <w:p>
            <w:pPr>
              <w:adjustRightInd w:val="0"/>
              <w:spacing w:line="440" w:lineRule="exact"/>
              <w:jc w:val="center"/>
              <w:textAlignment w:val="baseline"/>
              <w:rPr>
                <w:color w:val="auto"/>
                <w:szCs w:val="21"/>
              </w:rPr>
            </w:pPr>
            <w:r>
              <w:rPr>
                <w:color w:val="auto"/>
                <w:szCs w:val="21"/>
              </w:rPr>
              <w:t>生产</w:t>
            </w:r>
          </w:p>
          <w:p>
            <w:pPr>
              <w:adjustRightInd w:val="0"/>
              <w:spacing w:line="440" w:lineRule="exact"/>
              <w:jc w:val="center"/>
              <w:textAlignment w:val="baseline"/>
              <w:rPr>
                <w:color w:val="auto"/>
                <w:szCs w:val="21"/>
              </w:rPr>
            </w:pPr>
            <w:r>
              <w:rPr>
                <w:color w:val="auto"/>
                <w:szCs w:val="21"/>
              </w:rPr>
              <w:t>能力</w:t>
            </w:r>
          </w:p>
        </w:tc>
        <w:tc>
          <w:tcPr>
            <w:tcW w:w="1233" w:type="dxa"/>
            <w:vAlign w:val="center"/>
          </w:tcPr>
          <w:p>
            <w:pPr>
              <w:adjustRightInd w:val="0"/>
              <w:spacing w:line="440" w:lineRule="exact"/>
              <w:jc w:val="center"/>
              <w:textAlignment w:val="baseline"/>
              <w:rPr>
                <w:color w:val="auto"/>
                <w:szCs w:val="21"/>
              </w:rPr>
            </w:pPr>
            <w:r>
              <w:rPr>
                <w:color w:val="auto"/>
                <w:szCs w:val="21"/>
              </w:rPr>
              <w:t>用于施工部位</w:t>
            </w:r>
          </w:p>
        </w:tc>
        <w:tc>
          <w:tcPr>
            <w:tcW w:w="807" w:type="dxa"/>
            <w:vAlign w:val="center"/>
          </w:tcPr>
          <w:p>
            <w:pPr>
              <w:adjustRightInd w:val="0"/>
              <w:spacing w:line="440" w:lineRule="exact"/>
              <w:jc w:val="center"/>
              <w:textAlignment w:val="baseline"/>
              <w:rPr>
                <w:color w:val="auto"/>
                <w:szCs w:val="21"/>
              </w:rPr>
            </w:pPr>
            <w:r>
              <w:rPr>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vAlign w:val="center"/>
          </w:tcPr>
          <w:p>
            <w:pPr>
              <w:adjustRightInd w:val="0"/>
              <w:spacing w:line="440" w:lineRule="exact"/>
              <w:jc w:val="center"/>
              <w:textAlignment w:val="baseline"/>
              <w:rPr>
                <w:color w:val="auto"/>
                <w:szCs w:val="21"/>
              </w:rPr>
            </w:pPr>
          </w:p>
        </w:tc>
        <w:tc>
          <w:tcPr>
            <w:tcW w:w="1269" w:type="dxa"/>
            <w:vAlign w:val="center"/>
          </w:tcPr>
          <w:p>
            <w:pPr>
              <w:adjustRightInd w:val="0"/>
              <w:spacing w:line="440" w:lineRule="exact"/>
              <w:jc w:val="center"/>
              <w:textAlignment w:val="baseline"/>
              <w:rPr>
                <w:color w:val="auto"/>
                <w:szCs w:val="21"/>
              </w:rPr>
            </w:pPr>
          </w:p>
        </w:tc>
        <w:tc>
          <w:tcPr>
            <w:tcW w:w="889" w:type="dxa"/>
            <w:vAlign w:val="center"/>
          </w:tcPr>
          <w:p>
            <w:pPr>
              <w:adjustRightInd w:val="0"/>
              <w:spacing w:line="440" w:lineRule="exact"/>
              <w:jc w:val="center"/>
              <w:textAlignment w:val="baseline"/>
              <w:rPr>
                <w:color w:val="auto"/>
                <w:szCs w:val="21"/>
              </w:rPr>
            </w:pPr>
          </w:p>
        </w:tc>
        <w:tc>
          <w:tcPr>
            <w:tcW w:w="1157" w:type="dxa"/>
            <w:vAlign w:val="center"/>
          </w:tcPr>
          <w:p>
            <w:pPr>
              <w:adjustRightInd w:val="0"/>
              <w:spacing w:line="440" w:lineRule="exact"/>
              <w:jc w:val="center"/>
              <w:textAlignment w:val="baseline"/>
              <w:rPr>
                <w:color w:val="auto"/>
                <w:szCs w:val="21"/>
              </w:rPr>
            </w:pPr>
          </w:p>
        </w:tc>
        <w:tc>
          <w:tcPr>
            <w:tcW w:w="785" w:type="dxa"/>
            <w:vAlign w:val="center"/>
          </w:tcPr>
          <w:p>
            <w:pPr>
              <w:adjustRightInd w:val="0"/>
              <w:spacing w:line="440" w:lineRule="exact"/>
              <w:jc w:val="center"/>
              <w:textAlignment w:val="baseline"/>
              <w:rPr>
                <w:color w:val="auto"/>
                <w:szCs w:val="21"/>
              </w:rPr>
            </w:pPr>
          </w:p>
        </w:tc>
        <w:tc>
          <w:tcPr>
            <w:tcW w:w="863" w:type="dxa"/>
            <w:vAlign w:val="center"/>
          </w:tcPr>
          <w:p>
            <w:pPr>
              <w:adjustRightInd w:val="0"/>
              <w:spacing w:line="440" w:lineRule="exact"/>
              <w:jc w:val="center"/>
              <w:textAlignment w:val="baseline"/>
              <w:rPr>
                <w:color w:val="auto"/>
                <w:szCs w:val="21"/>
              </w:rPr>
            </w:pPr>
          </w:p>
        </w:tc>
        <w:tc>
          <w:tcPr>
            <w:tcW w:w="1417" w:type="dxa"/>
            <w:vAlign w:val="center"/>
          </w:tcPr>
          <w:p>
            <w:pPr>
              <w:adjustRightInd w:val="0"/>
              <w:spacing w:line="440" w:lineRule="exact"/>
              <w:jc w:val="center"/>
              <w:textAlignment w:val="baseline"/>
              <w:rPr>
                <w:color w:val="auto"/>
                <w:szCs w:val="21"/>
              </w:rPr>
            </w:pPr>
          </w:p>
        </w:tc>
        <w:tc>
          <w:tcPr>
            <w:tcW w:w="1022" w:type="dxa"/>
            <w:vAlign w:val="center"/>
          </w:tcPr>
          <w:p>
            <w:pPr>
              <w:adjustRightInd w:val="0"/>
              <w:spacing w:line="440" w:lineRule="exact"/>
              <w:jc w:val="center"/>
              <w:textAlignment w:val="baseline"/>
              <w:rPr>
                <w:color w:val="auto"/>
                <w:szCs w:val="21"/>
              </w:rPr>
            </w:pPr>
          </w:p>
        </w:tc>
        <w:tc>
          <w:tcPr>
            <w:tcW w:w="1233" w:type="dxa"/>
            <w:vAlign w:val="center"/>
          </w:tcPr>
          <w:p>
            <w:pPr>
              <w:adjustRightInd w:val="0"/>
              <w:spacing w:line="440" w:lineRule="exact"/>
              <w:jc w:val="center"/>
              <w:textAlignment w:val="baseline"/>
              <w:rPr>
                <w:color w:val="auto"/>
                <w:szCs w:val="21"/>
              </w:rPr>
            </w:pPr>
          </w:p>
        </w:tc>
        <w:tc>
          <w:tcPr>
            <w:tcW w:w="807" w:type="dxa"/>
            <w:vAlign w:val="center"/>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vAlign w:val="center"/>
          </w:tcPr>
          <w:p>
            <w:pPr>
              <w:adjustRightInd w:val="0"/>
              <w:spacing w:line="440" w:lineRule="exact"/>
              <w:jc w:val="center"/>
              <w:textAlignment w:val="baseline"/>
              <w:rPr>
                <w:color w:val="auto"/>
                <w:szCs w:val="21"/>
              </w:rPr>
            </w:pPr>
          </w:p>
        </w:tc>
        <w:tc>
          <w:tcPr>
            <w:tcW w:w="1269" w:type="dxa"/>
            <w:vAlign w:val="center"/>
          </w:tcPr>
          <w:p>
            <w:pPr>
              <w:adjustRightInd w:val="0"/>
              <w:spacing w:line="440" w:lineRule="exact"/>
              <w:jc w:val="center"/>
              <w:textAlignment w:val="baseline"/>
              <w:rPr>
                <w:color w:val="auto"/>
                <w:szCs w:val="21"/>
              </w:rPr>
            </w:pPr>
          </w:p>
        </w:tc>
        <w:tc>
          <w:tcPr>
            <w:tcW w:w="889" w:type="dxa"/>
            <w:vAlign w:val="center"/>
          </w:tcPr>
          <w:p>
            <w:pPr>
              <w:adjustRightInd w:val="0"/>
              <w:spacing w:line="440" w:lineRule="exact"/>
              <w:jc w:val="center"/>
              <w:textAlignment w:val="baseline"/>
              <w:rPr>
                <w:color w:val="auto"/>
                <w:szCs w:val="21"/>
              </w:rPr>
            </w:pPr>
          </w:p>
        </w:tc>
        <w:tc>
          <w:tcPr>
            <w:tcW w:w="1157" w:type="dxa"/>
            <w:vAlign w:val="center"/>
          </w:tcPr>
          <w:p>
            <w:pPr>
              <w:adjustRightInd w:val="0"/>
              <w:spacing w:line="440" w:lineRule="exact"/>
              <w:jc w:val="center"/>
              <w:textAlignment w:val="baseline"/>
              <w:rPr>
                <w:color w:val="auto"/>
                <w:szCs w:val="21"/>
              </w:rPr>
            </w:pPr>
          </w:p>
        </w:tc>
        <w:tc>
          <w:tcPr>
            <w:tcW w:w="785" w:type="dxa"/>
            <w:vAlign w:val="center"/>
          </w:tcPr>
          <w:p>
            <w:pPr>
              <w:adjustRightInd w:val="0"/>
              <w:spacing w:line="440" w:lineRule="exact"/>
              <w:jc w:val="center"/>
              <w:textAlignment w:val="baseline"/>
              <w:rPr>
                <w:color w:val="auto"/>
                <w:szCs w:val="21"/>
              </w:rPr>
            </w:pPr>
          </w:p>
        </w:tc>
        <w:tc>
          <w:tcPr>
            <w:tcW w:w="863" w:type="dxa"/>
            <w:vAlign w:val="center"/>
          </w:tcPr>
          <w:p>
            <w:pPr>
              <w:adjustRightInd w:val="0"/>
              <w:spacing w:line="440" w:lineRule="exact"/>
              <w:jc w:val="center"/>
              <w:textAlignment w:val="baseline"/>
              <w:rPr>
                <w:color w:val="auto"/>
                <w:szCs w:val="21"/>
              </w:rPr>
            </w:pPr>
          </w:p>
        </w:tc>
        <w:tc>
          <w:tcPr>
            <w:tcW w:w="1417" w:type="dxa"/>
            <w:vAlign w:val="center"/>
          </w:tcPr>
          <w:p>
            <w:pPr>
              <w:adjustRightInd w:val="0"/>
              <w:spacing w:line="440" w:lineRule="exact"/>
              <w:jc w:val="center"/>
              <w:textAlignment w:val="baseline"/>
              <w:rPr>
                <w:color w:val="auto"/>
                <w:szCs w:val="21"/>
              </w:rPr>
            </w:pPr>
          </w:p>
        </w:tc>
        <w:tc>
          <w:tcPr>
            <w:tcW w:w="1022" w:type="dxa"/>
            <w:vAlign w:val="center"/>
          </w:tcPr>
          <w:p>
            <w:pPr>
              <w:adjustRightInd w:val="0"/>
              <w:spacing w:line="440" w:lineRule="exact"/>
              <w:jc w:val="center"/>
              <w:textAlignment w:val="baseline"/>
              <w:rPr>
                <w:color w:val="auto"/>
                <w:szCs w:val="21"/>
              </w:rPr>
            </w:pPr>
          </w:p>
        </w:tc>
        <w:tc>
          <w:tcPr>
            <w:tcW w:w="1233" w:type="dxa"/>
            <w:vAlign w:val="center"/>
          </w:tcPr>
          <w:p>
            <w:pPr>
              <w:adjustRightInd w:val="0"/>
              <w:spacing w:line="440" w:lineRule="exact"/>
              <w:jc w:val="center"/>
              <w:textAlignment w:val="baseline"/>
              <w:rPr>
                <w:color w:val="auto"/>
                <w:szCs w:val="21"/>
              </w:rPr>
            </w:pPr>
          </w:p>
        </w:tc>
        <w:tc>
          <w:tcPr>
            <w:tcW w:w="807" w:type="dxa"/>
            <w:vAlign w:val="center"/>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tcPr>
          <w:p>
            <w:pPr>
              <w:adjustRightInd w:val="0"/>
              <w:spacing w:line="440" w:lineRule="exact"/>
              <w:jc w:val="center"/>
              <w:textAlignment w:val="baseline"/>
              <w:rPr>
                <w:color w:val="auto"/>
                <w:szCs w:val="21"/>
              </w:rPr>
            </w:pPr>
          </w:p>
        </w:tc>
        <w:tc>
          <w:tcPr>
            <w:tcW w:w="1269"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7" w:type="dxa"/>
          </w:tcPr>
          <w:p>
            <w:pPr>
              <w:adjustRightInd w:val="0"/>
              <w:spacing w:line="440" w:lineRule="exact"/>
              <w:jc w:val="center"/>
              <w:textAlignment w:val="baseline"/>
              <w:rPr>
                <w:color w:val="auto"/>
                <w:szCs w:val="21"/>
              </w:rPr>
            </w:pPr>
          </w:p>
        </w:tc>
        <w:tc>
          <w:tcPr>
            <w:tcW w:w="785"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022" w:type="dxa"/>
          </w:tcPr>
          <w:p>
            <w:pPr>
              <w:adjustRightInd w:val="0"/>
              <w:spacing w:line="440" w:lineRule="exact"/>
              <w:jc w:val="center"/>
              <w:textAlignment w:val="baseline"/>
              <w:rPr>
                <w:color w:val="auto"/>
                <w:szCs w:val="21"/>
              </w:rPr>
            </w:pPr>
          </w:p>
        </w:tc>
        <w:tc>
          <w:tcPr>
            <w:tcW w:w="1233" w:type="dxa"/>
          </w:tcPr>
          <w:p>
            <w:pPr>
              <w:adjustRightInd w:val="0"/>
              <w:spacing w:line="440" w:lineRule="exact"/>
              <w:jc w:val="center"/>
              <w:textAlignment w:val="baseline"/>
              <w:rPr>
                <w:color w:val="auto"/>
                <w:szCs w:val="21"/>
              </w:rPr>
            </w:pPr>
          </w:p>
        </w:tc>
        <w:tc>
          <w:tcPr>
            <w:tcW w:w="807"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tcPr>
          <w:p>
            <w:pPr>
              <w:adjustRightInd w:val="0"/>
              <w:spacing w:line="440" w:lineRule="exact"/>
              <w:jc w:val="center"/>
              <w:textAlignment w:val="baseline"/>
              <w:rPr>
                <w:color w:val="auto"/>
                <w:szCs w:val="21"/>
              </w:rPr>
            </w:pPr>
          </w:p>
        </w:tc>
        <w:tc>
          <w:tcPr>
            <w:tcW w:w="1269"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7" w:type="dxa"/>
          </w:tcPr>
          <w:p>
            <w:pPr>
              <w:adjustRightInd w:val="0"/>
              <w:spacing w:line="440" w:lineRule="exact"/>
              <w:jc w:val="center"/>
              <w:textAlignment w:val="baseline"/>
              <w:rPr>
                <w:color w:val="auto"/>
                <w:szCs w:val="21"/>
              </w:rPr>
            </w:pPr>
          </w:p>
        </w:tc>
        <w:tc>
          <w:tcPr>
            <w:tcW w:w="785"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022" w:type="dxa"/>
          </w:tcPr>
          <w:p>
            <w:pPr>
              <w:adjustRightInd w:val="0"/>
              <w:spacing w:line="440" w:lineRule="exact"/>
              <w:jc w:val="center"/>
              <w:textAlignment w:val="baseline"/>
              <w:rPr>
                <w:color w:val="auto"/>
                <w:szCs w:val="21"/>
              </w:rPr>
            </w:pPr>
          </w:p>
        </w:tc>
        <w:tc>
          <w:tcPr>
            <w:tcW w:w="1233" w:type="dxa"/>
          </w:tcPr>
          <w:p>
            <w:pPr>
              <w:adjustRightInd w:val="0"/>
              <w:spacing w:line="440" w:lineRule="exact"/>
              <w:jc w:val="center"/>
              <w:textAlignment w:val="baseline"/>
              <w:rPr>
                <w:color w:val="auto"/>
                <w:szCs w:val="21"/>
              </w:rPr>
            </w:pPr>
          </w:p>
        </w:tc>
        <w:tc>
          <w:tcPr>
            <w:tcW w:w="807"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tcPr>
          <w:p>
            <w:pPr>
              <w:adjustRightInd w:val="0"/>
              <w:spacing w:line="440" w:lineRule="exact"/>
              <w:jc w:val="center"/>
              <w:textAlignment w:val="baseline"/>
              <w:rPr>
                <w:color w:val="auto"/>
                <w:szCs w:val="21"/>
              </w:rPr>
            </w:pPr>
          </w:p>
        </w:tc>
        <w:tc>
          <w:tcPr>
            <w:tcW w:w="1269"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7" w:type="dxa"/>
          </w:tcPr>
          <w:p>
            <w:pPr>
              <w:adjustRightInd w:val="0"/>
              <w:spacing w:line="440" w:lineRule="exact"/>
              <w:jc w:val="center"/>
              <w:textAlignment w:val="baseline"/>
              <w:rPr>
                <w:color w:val="auto"/>
                <w:szCs w:val="21"/>
              </w:rPr>
            </w:pPr>
          </w:p>
        </w:tc>
        <w:tc>
          <w:tcPr>
            <w:tcW w:w="785"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022" w:type="dxa"/>
          </w:tcPr>
          <w:p>
            <w:pPr>
              <w:adjustRightInd w:val="0"/>
              <w:spacing w:line="440" w:lineRule="exact"/>
              <w:jc w:val="center"/>
              <w:textAlignment w:val="baseline"/>
              <w:rPr>
                <w:color w:val="auto"/>
                <w:szCs w:val="21"/>
              </w:rPr>
            </w:pPr>
          </w:p>
        </w:tc>
        <w:tc>
          <w:tcPr>
            <w:tcW w:w="1233" w:type="dxa"/>
          </w:tcPr>
          <w:p>
            <w:pPr>
              <w:adjustRightInd w:val="0"/>
              <w:spacing w:line="440" w:lineRule="exact"/>
              <w:jc w:val="center"/>
              <w:textAlignment w:val="baseline"/>
              <w:rPr>
                <w:color w:val="auto"/>
                <w:szCs w:val="21"/>
              </w:rPr>
            </w:pPr>
          </w:p>
        </w:tc>
        <w:tc>
          <w:tcPr>
            <w:tcW w:w="807"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tcPr>
          <w:p>
            <w:pPr>
              <w:adjustRightInd w:val="0"/>
              <w:spacing w:line="440" w:lineRule="exact"/>
              <w:jc w:val="center"/>
              <w:textAlignment w:val="baseline"/>
              <w:rPr>
                <w:color w:val="auto"/>
                <w:szCs w:val="21"/>
              </w:rPr>
            </w:pPr>
          </w:p>
        </w:tc>
        <w:tc>
          <w:tcPr>
            <w:tcW w:w="1269"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7" w:type="dxa"/>
          </w:tcPr>
          <w:p>
            <w:pPr>
              <w:adjustRightInd w:val="0"/>
              <w:spacing w:line="440" w:lineRule="exact"/>
              <w:jc w:val="center"/>
              <w:textAlignment w:val="baseline"/>
              <w:rPr>
                <w:color w:val="auto"/>
                <w:szCs w:val="21"/>
              </w:rPr>
            </w:pPr>
          </w:p>
        </w:tc>
        <w:tc>
          <w:tcPr>
            <w:tcW w:w="785"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022" w:type="dxa"/>
          </w:tcPr>
          <w:p>
            <w:pPr>
              <w:adjustRightInd w:val="0"/>
              <w:spacing w:line="440" w:lineRule="exact"/>
              <w:jc w:val="center"/>
              <w:textAlignment w:val="baseline"/>
              <w:rPr>
                <w:color w:val="auto"/>
                <w:szCs w:val="21"/>
              </w:rPr>
            </w:pPr>
          </w:p>
        </w:tc>
        <w:tc>
          <w:tcPr>
            <w:tcW w:w="1233" w:type="dxa"/>
          </w:tcPr>
          <w:p>
            <w:pPr>
              <w:adjustRightInd w:val="0"/>
              <w:spacing w:line="440" w:lineRule="exact"/>
              <w:jc w:val="center"/>
              <w:textAlignment w:val="baseline"/>
              <w:rPr>
                <w:color w:val="auto"/>
                <w:szCs w:val="21"/>
              </w:rPr>
            </w:pPr>
          </w:p>
        </w:tc>
        <w:tc>
          <w:tcPr>
            <w:tcW w:w="807"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tcPr>
          <w:p>
            <w:pPr>
              <w:adjustRightInd w:val="0"/>
              <w:spacing w:line="440" w:lineRule="exact"/>
              <w:jc w:val="center"/>
              <w:textAlignment w:val="baseline"/>
              <w:rPr>
                <w:color w:val="auto"/>
                <w:szCs w:val="21"/>
              </w:rPr>
            </w:pPr>
          </w:p>
        </w:tc>
        <w:tc>
          <w:tcPr>
            <w:tcW w:w="1269"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7" w:type="dxa"/>
          </w:tcPr>
          <w:p>
            <w:pPr>
              <w:adjustRightInd w:val="0"/>
              <w:spacing w:line="440" w:lineRule="exact"/>
              <w:jc w:val="center"/>
              <w:textAlignment w:val="baseline"/>
              <w:rPr>
                <w:color w:val="auto"/>
                <w:szCs w:val="21"/>
              </w:rPr>
            </w:pPr>
          </w:p>
        </w:tc>
        <w:tc>
          <w:tcPr>
            <w:tcW w:w="785"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022" w:type="dxa"/>
          </w:tcPr>
          <w:p>
            <w:pPr>
              <w:adjustRightInd w:val="0"/>
              <w:spacing w:line="440" w:lineRule="exact"/>
              <w:jc w:val="center"/>
              <w:textAlignment w:val="baseline"/>
              <w:rPr>
                <w:color w:val="auto"/>
                <w:szCs w:val="21"/>
              </w:rPr>
            </w:pPr>
          </w:p>
        </w:tc>
        <w:tc>
          <w:tcPr>
            <w:tcW w:w="1233" w:type="dxa"/>
          </w:tcPr>
          <w:p>
            <w:pPr>
              <w:adjustRightInd w:val="0"/>
              <w:spacing w:line="440" w:lineRule="exact"/>
              <w:jc w:val="center"/>
              <w:textAlignment w:val="baseline"/>
              <w:rPr>
                <w:color w:val="auto"/>
                <w:szCs w:val="21"/>
              </w:rPr>
            </w:pPr>
          </w:p>
        </w:tc>
        <w:tc>
          <w:tcPr>
            <w:tcW w:w="807"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tcPr>
          <w:p>
            <w:pPr>
              <w:adjustRightInd w:val="0"/>
              <w:spacing w:line="440" w:lineRule="exact"/>
              <w:jc w:val="center"/>
              <w:textAlignment w:val="baseline"/>
              <w:rPr>
                <w:color w:val="auto"/>
                <w:szCs w:val="21"/>
              </w:rPr>
            </w:pPr>
          </w:p>
        </w:tc>
        <w:tc>
          <w:tcPr>
            <w:tcW w:w="1269"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7" w:type="dxa"/>
          </w:tcPr>
          <w:p>
            <w:pPr>
              <w:adjustRightInd w:val="0"/>
              <w:spacing w:line="440" w:lineRule="exact"/>
              <w:jc w:val="center"/>
              <w:textAlignment w:val="baseline"/>
              <w:rPr>
                <w:color w:val="auto"/>
                <w:szCs w:val="21"/>
              </w:rPr>
            </w:pPr>
          </w:p>
        </w:tc>
        <w:tc>
          <w:tcPr>
            <w:tcW w:w="785"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022" w:type="dxa"/>
          </w:tcPr>
          <w:p>
            <w:pPr>
              <w:adjustRightInd w:val="0"/>
              <w:spacing w:line="440" w:lineRule="exact"/>
              <w:jc w:val="center"/>
              <w:textAlignment w:val="baseline"/>
              <w:rPr>
                <w:color w:val="auto"/>
                <w:szCs w:val="21"/>
              </w:rPr>
            </w:pPr>
          </w:p>
        </w:tc>
        <w:tc>
          <w:tcPr>
            <w:tcW w:w="1233" w:type="dxa"/>
          </w:tcPr>
          <w:p>
            <w:pPr>
              <w:adjustRightInd w:val="0"/>
              <w:spacing w:line="440" w:lineRule="exact"/>
              <w:jc w:val="center"/>
              <w:textAlignment w:val="baseline"/>
              <w:rPr>
                <w:color w:val="auto"/>
                <w:szCs w:val="21"/>
              </w:rPr>
            </w:pPr>
          </w:p>
        </w:tc>
        <w:tc>
          <w:tcPr>
            <w:tcW w:w="807"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tcPr>
          <w:p>
            <w:pPr>
              <w:adjustRightInd w:val="0"/>
              <w:spacing w:line="440" w:lineRule="exact"/>
              <w:jc w:val="center"/>
              <w:textAlignment w:val="baseline"/>
              <w:rPr>
                <w:color w:val="auto"/>
                <w:szCs w:val="21"/>
              </w:rPr>
            </w:pPr>
          </w:p>
        </w:tc>
        <w:tc>
          <w:tcPr>
            <w:tcW w:w="1269"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7" w:type="dxa"/>
          </w:tcPr>
          <w:p>
            <w:pPr>
              <w:adjustRightInd w:val="0"/>
              <w:spacing w:line="440" w:lineRule="exact"/>
              <w:jc w:val="center"/>
              <w:textAlignment w:val="baseline"/>
              <w:rPr>
                <w:color w:val="auto"/>
                <w:szCs w:val="21"/>
              </w:rPr>
            </w:pPr>
          </w:p>
        </w:tc>
        <w:tc>
          <w:tcPr>
            <w:tcW w:w="785"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022" w:type="dxa"/>
          </w:tcPr>
          <w:p>
            <w:pPr>
              <w:adjustRightInd w:val="0"/>
              <w:spacing w:line="440" w:lineRule="exact"/>
              <w:jc w:val="center"/>
              <w:textAlignment w:val="baseline"/>
              <w:rPr>
                <w:color w:val="auto"/>
                <w:szCs w:val="21"/>
              </w:rPr>
            </w:pPr>
          </w:p>
        </w:tc>
        <w:tc>
          <w:tcPr>
            <w:tcW w:w="1233" w:type="dxa"/>
          </w:tcPr>
          <w:p>
            <w:pPr>
              <w:adjustRightInd w:val="0"/>
              <w:spacing w:line="440" w:lineRule="exact"/>
              <w:jc w:val="center"/>
              <w:textAlignment w:val="baseline"/>
              <w:rPr>
                <w:color w:val="auto"/>
                <w:szCs w:val="21"/>
              </w:rPr>
            </w:pPr>
          </w:p>
        </w:tc>
        <w:tc>
          <w:tcPr>
            <w:tcW w:w="807"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tcPr>
          <w:p>
            <w:pPr>
              <w:adjustRightInd w:val="0"/>
              <w:spacing w:line="440" w:lineRule="exact"/>
              <w:jc w:val="center"/>
              <w:textAlignment w:val="baseline"/>
              <w:rPr>
                <w:color w:val="auto"/>
                <w:szCs w:val="21"/>
              </w:rPr>
            </w:pPr>
          </w:p>
        </w:tc>
        <w:tc>
          <w:tcPr>
            <w:tcW w:w="1269"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7" w:type="dxa"/>
          </w:tcPr>
          <w:p>
            <w:pPr>
              <w:adjustRightInd w:val="0"/>
              <w:spacing w:line="440" w:lineRule="exact"/>
              <w:jc w:val="center"/>
              <w:textAlignment w:val="baseline"/>
              <w:rPr>
                <w:color w:val="auto"/>
                <w:szCs w:val="21"/>
              </w:rPr>
            </w:pPr>
          </w:p>
        </w:tc>
        <w:tc>
          <w:tcPr>
            <w:tcW w:w="785"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022" w:type="dxa"/>
          </w:tcPr>
          <w:p>
            <w:pPr>
              <w:adjustRightInd w:val="0"/>
              <w:spacing w:line="440" w:lineRule="exact"/>
              <w:jc w:val="center"/>
              <w:textAlignment w:val="baseline"/>
              <w:rPr>
                <w:color w:val="auto"/>
                <w:szCs w:val="21"/>
              </w:rPr>
            </w:pPr>
          </w:p>
        </w:tc>
        <w:tc>
          <w:tcPr>
            <w:tcW w:w="1233" w:type="dxa"/>
          </w:tcPr>
          <w:p>
            <w:pPr>
              <w:adjustRightInd w:val="0"/>
              <w:spacing w:line="440" w:lineRule="exact"/>
              <w:jc w:val="center"/>
              <w:textAlignment w:val="baseline"/>
              <w:rPr>
                <w:color w:val="auto"/>
                <w:szCs w:val="21"/>
              </w:rPr>
            </w:pPr>
          </w:p>
        </w:tc>
        <w:tc>
          <w:tcPr>
            <w:tcW w:w="807"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tcPr>
          <w:p>
            <w:pPr>
              <w:adjustRightInd w:val="0"/>
              <w:spacing w:line="440" w:lineRule="exact"/>
              <w:jc w:val="center"/>
              <w:textAlignment w:val="baseline"/>
              <w:rPr>
                <w:color w:val="auto"/>
                <w:szCs w:val="21"/>
              </w:rPr>
            </w:pPr>
          </w:p>
        </w:tc>
        <w:tc>
          <w:tcPr>
            <w:tcW w:w="1269"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7" w:type="dxa"/>
          </w:tcPr>
          <w:p>
            <w:pPr>
              <w:adjustRightInd w:val="0"/>
              <w:spacing w:line="440" w:lineRule="exact"/>
              <w:jc w:val="center"/>
              <w:textAlignment w:val="baseline"/>
              <w:rPr>
                <w:color w:val="auto"/>
                <w:szCs w:val="21"/>
              </w:rPr>
            </w:pPr>
          </w:p>
        </w:tc>
        <w:tc>
          <w:tcPr>
            <w:tcW w:w="785"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022" w:type="dxa"/>
          </w:tcPr>
          <w:p>
            <w:pPr>
              <w:adjustRightInd w:val="0"/>
              <w:spacing w:line="440" w:lineRule="exact"/>
              <w:jc w:val="center"/>
              <w:textAlignment w:val="baseline"/>
              <w:rPr>
                <w:color w:val="auto"/>
                <w:szCs w:val="21"/>
              </w:rPr>
            </w:pPr>
          </w:p>
        </w:tc>
        <w:tc>
          <w:tcPr>
            <w:tcW w:w="1233" w:type="dxa"/>
          </w:tcPr>
          <w:p>
            <w:pPr>
              <w:adjustRightInd w:val="0"/>
              <w:spacing w:line="440" w:lineRule="exact"/>
              <w:jc w:val="center"/>
              <w:textAlignment w:val="baseline"/>
              <w:rPr>
                <w:color w:val="auto"/>
                <w:szCs w:val="21"/>
              </w:rPr>
            </w:pPr>
          </w:p>
        </w:tc>
        <w:tc>
          <w:tcPr>
            <w:tcW w:w="807"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tcPr>
          <w:p>
            <w:pPr>
              <w:adjustRightInd w:val="0"/>
              <w:spacing w:line="440" w:lineRule="exact"/>
              <w:jc w:val="center"/>
              <w:textAlignment w:val="baseline"/>
              <w:rPr>
                <w:color w:val="auto"/>
                <w:szCs w:val="21"/>
              </w:rPr>
            </w:pPr>
          </w:p>
        </w:tc>
        <w:tc>
          <w:tcPr>
            <w:tcW w:w="1269"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7" w:type="dxa"/>
          </w:tcPr>
          <w:p>
            <w:pPr>
              <w:adjustRightInd w:val="0"/>
              <w:spacing w:line="440" w:lineRule="exact"/>
              <w:jc w:val="center"/>
              <w:textAlignment w:val="baseline"/>
              <w:rPr>
                <w:color w:val="auto"/>
                <w:szCs w:val="21"/>
              </w:rPr>
            </w:pPr>
          </w:p>
        </w:tc>
        <w:tc>
          <w:tcPr>
            <w:tcW w:w="785"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022" w:type="dxa"/>
          </w:tcPr>
          <w:p>
            <w:pPr>
              <w:adjustRightInd w:val="0"/>
              <w:spacing w:line="440" w:lineRule="exact"/>
              <w:jc w:val="center"/>
              <w:textAlignment w:val="baseline"/>
              <w:rPr>
                <w:color w:val="auto"/>
                <w:szCs w:val="21"/>
              </w:rPr>
            </w:pPr>
          </w:p>
        </w:tc>
        <w:tc>
          <w:tcPr>
            <w:tcW w:w="1233" w:type="dxa"/>
          </w:tcPr>
          <w:p>
            <w:pPr>
              <w:adjustRightInd w:val="0"/>
              <w:spacing w:line="440" w:lineRule="exact"/>
              <w:jc w:val="center"/>
              <w:textAlignment w:val="baseline"/>
              <w:rPr>
                <w:color w:val="auto"/>
                <w:szCs w:val="21"/>
              </w:rPr>
            </w:pPr>
          </w:p>
        </w:tc>
        <w:tc>
          <w:tcPr>
            <w:tcW w:w="807"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tcPr>
          <w:p>
            <w:pPr>
              <w:adjustRightInd w:val="0"/>
              <w:spacing w:line="440" w:lineRule="exact"/>
              <w:jc w:val="center"/>
              <w:textAlignment w:val="baseline"/>
              <w:rPr>
                <w:color w:val="auto"/>
                <w:szCs w:val="21"/>
              </w:rPr>
            </w:pPr>
          </w:p>
        </w:tc>
        <w:tc>
          <w:tcPr>
            <w:tcW w:w="1269"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7" w:type="dxa"/>
          </w:tcPr>
          <w:p>
            <w:pPr>
              <w:adjustRightInd w:val="0"/>
              <w:spacing w:line="440" w:lineRule="exact"/>
              <w:jc w:val="center"/>
              <w:textAlignment w:val="baseline"/>
              <w:rPr>
                <w:color w:val="auto"/>
                <w:szCs w:val="21"/>
              </w:rPr>
            </w:pPr>
          </w:p>
        </w:tc>
        <w:tc>
          <w:tcPr>
            <w:tcW w:w="785"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022" w:type="dxa"/>
          </w:tcPr>
          <w:p>
            <w:pPr>
              <w:adjustRightInd w:val="0"/>
              <w:spacing w:line="440" w:lineRule="exact"/>
              <w:jc w:val="center"/>
              <w:textAlignment w:val="baseline"/>
              <w:rPr>
                <w:color w:val="auto"/>
                <w:szCs w:val="21"/>
              </w:rPr>
            </w:pPr>
          </w:p>
        </w:tc>
        <w:tc>
          <w:tcPr>
            <w:tcW w:w="1233" w:type="dxa"/>
          </w:tcPr>
          <w:p>
            <w:pPr>
              <w:adjustRightInd w:val="0"/>
              <w:spacing w:line="440" w:lineRule="exact"/>
              <w:jc w:val="center"/>
              <w:textAlignment w:val="baseline"/>
              <w:rPr>
                <w:color w:val="auto"/>
                <w:szCs w:val="21"/>
              </w:rPr>
            </w:pPr>
          </w:p>
        </w:tc>
        <w:tc>
          <w:tcPr>
            <w:tcW w:w="807"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tcPr>
          <w:p>
            <w:pPr>
              <w:adjustRightInd w:val="0"/>
              <w:spacing w:line="440" w:lineRule="exact"/>
              <w:jc w:val="center"/>
              <w:textAlignment w:val="baseline"/>
              <w:rPr>
                <w:color w:val="auto"/>
                <w:szCs w:val="21"/>
              </w:rPr>
            </w:pPr>
          </w:p>
        </w:tc>
        <w:tc>
          <w:tcPr>
            <w:tcW w:w="1269"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7" w:type="dxa"/>
          </w:tcPr>
          <w:p>
            <w:pPr>
              <w:adjustRightInd w:val="0"/>
              <w:spacing w:line="440" w:lineRule="exact"/>
              <w:jc w:val="center"/>
              <w:textAlignment w:val="baseline"/>
              <w:rPr>
                <w:color w:val="auto"/>
                <w:szCs w:val="21"/>
              </w:rPr>
            </w:pPr>
          </w:p>
        </w:tc>
        <w:tc>
          <w:tcPr>
            <w:tcW w:w="785"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022" w:type="dxa"/>
          </w:tcPr>
          <w:p>
            <w:pPr>
              <w:adjustRightInd w:val="0"/>
              <w:spacing w:line="440" w:lineRule="exact"/>
              <w:jc w:val="center"/>
              <w:textAlignment w:val="baseline"/>
              <w:rPr>
                <w:color w:val="auto"/>
                <w:szCs w:val="21"/>
              </w:rPr>
            </w:pPr>
          </w:p>
        </w:tc>
        <w:tc>
          <w:tcPr>
            <w:tcW w:w="1233" w:type="dxa"/>
          </w:tcPr>
          <w:p>
            <w:pPr>
              <w:adjustRightInd w:val="0"/>
              <w:spacing w:line="440" w:lineRule="exact"/>
              <w:jc w:val="center"/>
              <w:textAlignment w:val="baseline"/>
              <w:rPr>
                <w:color w:val="auto"/>
                <w:szCs w:val="21"/>
              </w:rPr>
            </w:pPr>
          </w:p>
        </w:tc>
        <w:tc>
          <w:tcPr>
            <w:tcW w:w="807"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tcPr>
          <w:p>
            <w:pPr>
              <w:adjustRightInd w:val="0"/>
              <w:spacing w:line="440" w:lineRule="exact"/>
              <w:jc w:val="center"/>
              <w:textAlignment w:val="baseline"/>
              <w:rPr>
                <w:color w:val="auto"/>
                <w:szCs w:val="21"/>
              </w:rPr>
            </w:pPr>
          </w:p>
        </w:tc>
        <w:tc>
          <w:tcPr>
            <w:tcW w:w="1269"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7" w:type="dxa"/>
          </w:tcPr>
          <w:p>
            <w:pPr>
              <w:adjustRightInd w:val="0"/>
              <w:spacing w:line="440" w:lineRule="exact"/>
              <w:jc w:val="center"/>
              <w:textAlignment w:val="baseline"/>
              <w:rPr>
                <w:color w:val="auto"/>
                <w:szCs w:val="21"/>
              </w:rPr>
            </w:pPr>
          </w:p>
        </w:tc>
        <w:tc>
          <w:tcPr>
            <w:tcW w:w="785"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022" w:type="dxa"/>
          </w:tcPr>
          <w:p>
            <w:pPr>
              <w:adjustRightInd w:val="0"/>
              <w:spacing w:line="440" w:lineRule="exact"/>
              <w:jc w:val="center"/>
              <w:textAlignment w:val="baseline"/>
              <w:rPr>
                <w:color w:val="auto"/>
                <w:szCs w:val="21"/>
              </w:rPr>
            </w:pPr>
          </w:p>
        </w:tc>
        <w:tc>
          <w:tcPr>
            <w:tcW w:w="1233" w:type="dxa"/>
          </w:tcPr>
          <w:p>
            <w:pPr>
              <w:adjustRightInd w:val="0"/>
              <w:spacing w:line="440" w:lineRule="exact"/>
              <w:jc w:val="center"/>
              <w:textAlignment w:val="baseline"/>
              <w:rPr>
                <w:color w:val="auto"/>
                <w:szCs w:val="21"/>
              </w:rPr>
            </w:pPr>
          </w:p>
        </w:tc>
        <w:tc>
          <w:tcPr>
            <w:tcW w:w="807"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tcPr>
          <w:p>
            <w:pPr>
              <w:adjustRightInd w:val="0"/>
              <w:spacing w:line="440" w:lineRule="exact"/>
              <w:jc w:val="center"/>
              <w:textAlignment w:val="baseline"/>
              <w:rPr>
                <w:color w:val="auto"/>
                <w:szCs w:val="21"/>
              </w:rPr>
            </w:pPr>
          </w:p>
        </w:tc>
        <w:tc>
          <w:tcPr>
            <w:tcW w:w="1269"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7" w:type="dxa"/>
          </w:tcPr>
          <w:p>
            <w:pPr>
              <w:adjustRightInd w:val="0"/>
              <w:spacing w:line="440" w:lineRule="exact"/>
              <w:jc w:val="center"/>
              <w:textAlignment w:val="baseline"/>
              <w:rPr>
                <w:color w:val="auto"/>
                <w:szCs w:val="21"/>
              </w:rPr>
            </w:pPr>
          </w:p>
        </w:tc>
        <w:tc>
          <w:tcPr>
            <w:tcW w:w="785"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022" w:type="dxa"/>
          </w:tcPr>
          <w:p>
            <w:pPr>
              <w:adjustRightInd w:val="0"/>
              <w:spacing w:line="440" w:lineRule="exact"/>
              <w:jc w:val="center"/>
              <w:textAlignment w:val="baseline"/>
              <w:rPr>
                <w:color w:val="auto"/>
                <w:szCs w:val="21"/>
              </w:rPr>
            </w:pPr>
          </w:p>
        </w:tc>
        <w:tc>
          <w:tcPr>
            <w:tcW w:w="1233" w:type="dxa"/>
          </w:tcPr>
          <w:p>
            <w:pPr>
              <w:adjustRightInd w:val="0"/>
              <w:spacing w:line="440" w:lineRule="exact"/>
              <w:jc w:val="center"/>
              <w:textAlignment w:val="baseline"/>
              <w:rPr>
                <w:color w:val="auto"/>
                <w:szCs w:val="21"/>
              </w:rPr>
            </w:pPr>
          </w:p>
        </w:tc>
        <w:tc>
          <w:tcPr>
            <w:tcW w:w="807"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tcPr>
          <w:p>
            <w:pPr>
              <w:adjustRightInd w:val="0"/>
              <w:spacing w:line="440" w:lineRule="exact"/>
              <w:jc w:val="center"/>
              <w:textAlignment w:val="baseline"/>
              <w:rPr>
                <w:color w:val="auto"/>
                <w:szCs w:val="21"/>
              </w:rPr>
            </w:pPr>
          </w:p>
        </w:tc>
        <w:tc>
          <w:tcPr>
            <w:tcW w:w="1269"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7" w:type="dxa"/>
          </w:tcPr>
          <w:p>
            <w:pPr>
              <w:adjustRightInd w:val="0"/>
              <w:spacing w:line="440" w:lineRule="exact"/>
              <w:jc w:val="center"/>
              <w:textAlignment w:val="baseline"/>
              <w:rPr>
                <w:color w:val="auto"/>
                <w:szCs w:val="21"/>
              </w:rPr>
            </w:pPr>
          </w:p>
        </w:tc>
        <w:tc>
          <w:tcPr>
            <w:tcW w:w="785"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022" w:type="dxa"/>
          </w:tcPr>
          <w:p>
            <w:pPr>
              <w:adjustRightInd w:val="0"/>
              <w:spacing w:line="440" w:lineRule="exact"/>
              <w:jc w:val="center"/>
              <w:textAlignment w:val="baseline"/>
              <w:rPr>
                <w:color w:val="auto"/>
                <w:szCs w:val="21"/>
              </w:rPr>
            </w:pPr>
          </w:p>
        </w:tc>
        <w:tc>
          <w:tcPr>
            <w:tcW w:w="1233" w:type="dxa"/>
          </w:tcPr>
          <w:p>
            <w:pPr>
              <w:adjustRightInd w:val="0"/>
              <w:spacing w:line="440" w:lineRule="exact"/>
              <w:jc w:val="center"/>
              <w:textAlignment w:val="baseline"/>
              <w:rPr>
                <w:color w:val="auto"/>
                <w:szCs w:val="21"/>
              </w:rPr>
            </w:pPr>
          </w:p>
        </w:tc>
        <w:tc>
          <w:tcPr>
            <w:tcW w:w="807"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tcPr>
          <w:p>
            <w:pPr>
              <w:adjustRightInd w:val="0"/>
              <w:spacing w:line="440" w:lineRule="exact"/>
              <w:jc w:val="center"/>
              <w:textAlignment w:val="baseline"/>
              <w:rPr>
                <w:color w:val="auto"/>
                <w:szCs w:val="21"/>
              </w:rPr>
            </w:pPr>
          </w:p>
        </w:tc>
        <w:tc>
          <w:tcPr>
            <w:tcW w:w="1269"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7" w:type="dxa"/>
          </w:tcPr>
          <w:p>
            <w:pPr>
              <w:adjustRightInd w:val="0"/>
              <w:spacing w:line="440" w:lineRule="exact"/>
              <w:jc w:val="center"/>
              <w:textAlignment w:val="baseline"/>
              <w:rPr>
                <w:color w:val="auto"/>
                <w:szCs w:val="21"/>
              </w:rPr>
            </w:pPr>
          </w:p>
        </w:tc>
        <w:tc>
          <w:tcPr>
            <w:tcW w:w="785"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022" w:type="dxa"/>
          </w:tcPr>
          <w:p>
            <w:pPr>
              <w:adjustRightInd w:val="0"/>
              <w:spacing w:line="440" w:lineRule="exact"/>
              <w:jc w:val="center"/>
              <w:textAlignment w:val="baseline"/>
              <w:rPr>
                <w:color w:val="auto"/>
                <w:szCs w:val="21"/>
              </w:rPr>
            </w:pPr>
          </w:p>
        </w:tc>
        <w:tc>
          <w:tcPr>
            <w:tcW w:w="1233" w:type="dxa"/>
          </w:tcPr>
          <w:p>
            <w:pPr>
              <w:adjustRightInd w:val="0"/>
              <w:spacing w:line="440" w:lineRule="exact"/>
              <w:jc w:val="center"/>
              <w:textAlignment w:val="baseline"/>
              <w:rPr>
                <w:color w:val="auto"/>
                <w:szCs w:val="21"/>
              </w:rPr>
            </w:pPr>
          </w:p>
        </w:tc>
        <w:tc>
          <w:tcPr>
            <w:tcW w:w="807"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tcPr>
          <w:p>
            <w:pPr>
              <w:adjustRightInd w:val="0"/>
              <w:spacing w:line="440" w:lineRule="exact"/>
              <w:jc w:val="center"/>
              <w:textAlignment w:val="baseline"/>
              <w:rPr>
                <w:color w:val="auto"/>
                <w:szCs w:val="21"/>
              </w:rPr>
            </w:pPr>
          </w:p>
        </w:tc>
        <w:tc>
          <w:tcPr>
            <w:tcW w:w="1269"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7" w:type="dxa"/>
          </w:tcPr>
          <w:p>
            <w:pPr>
              <w:adjustRightInd w:val="0"/>
              <w:spacing w:line="440" w:lineRule="exact"/>
              <w:jc w:val="center"/>
              <w:textAlignment w:val="baseline"/>
              <w:rPr>
                <w:color w:val="auto"/>
                <w:szCs w:val="21"/>
              </w:rPr>
            </w:pPr>
          </w:p>
        </w:tc>
        <w:tc>
          <w:tcPr>
            <w:tcW w:w="785"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022" w:type="dxa"/>
          </w:tcPr>
          <w:p>
            <w:pPr>
              <w:adjustRightInd w:val="0"/>
              <w:spacing w:line="440" w:lineRule="exact"/>
              <w:jc w:val="center"/>
              <w:textAlignment w:val="baseline"/>
              <w:rPr>
                <w:color w:val="auto"/>
                <w:szCs w:val="21"/>
              </w:rPr>
            </w:pPr>
          </w:p>
        </w:tc>
        <w:tc>
          <w:tcPr>
            <w:tcW w:w="1233" w:type="dxa"/>
          </w:tcPr>
          <w:p>
            <w:pPr>
              <w:adjustRightInd w:val="0"/>
              <w:spacing w:line="440" w:lineRule="exact"/>
              <w:jc w:val="center"/>
              <w:textAlignment w:val="baseline"/>
              <w:rPr>
                <w:color w:val="auto"/>
                <w:szCs w:val="21"/>
              </w:rPr>
            </w:pPr>
          </w:p>
        </w:tc>
        <w:tc>
          <w:tcPr>
            <w:tcW w:w="807"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tcPr>
          <w:p>
            <w:pPr>
              <w:adjustRightInd w:val="0"/>
              <w:spacing w:line="440" w:lineRule="exact"/>
              <w:jc w:val="center"/>
              <w:textAlignment w:val="baseline"/>
              <w:rPr>
                <w:color w:val="auto"/>
                <w:szCs w:val="21"/>
              </w:rPr>
            </w:pPr>
          </w:p>
        </w:tc>
        <w:tc>
          <w:tcPr>
            <w:tcW w:w="1269"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7" w:type="dxa"/>
          </w:tcPr>
          <w:p>
            <w:pPr>
              <w:adjustRightInd w:val="0"/>
              <w:spacing w:line="440" w:lineRule="exact"/>
              <w:jc w:val="center"/>
              <w:textAlignment w:val="baseline"/>
              <w:rPr>
                <w:color w:val="auto"/>
                <w:szCs w:val="21"/>
              </w:rPr>
            </w:pPr>
          </w:p>
        </w:tc>
        <w:tc>
          <w:tcPr>
            <w:tcW w:w="785"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022" w:type="dxa"/>
          </w:tcPr>
          <w:p>
            <w:pPr>
              <w:adjustRightInd w:val="0"/>
              <w:spacing w:line="440" w:lineRule="exact"/>
              <w:jc w:val="center"/>
              <w:textAlignment w:val="baseline"/>
              <w:rPr>
                <w:color w:val="auto"/>
                <w:szCs w:val="21"/>
              </w:rPr>
            </w:pPr>
          </w:p>
        </w:tc>
        <w:tc>
          <w:tcPr>
            <w:tcW w:w="1233" w:type="dxa"/>
          </w:tcPr>
          <w:p>
            <w:pPr>
              <w:adjustRightInd w:val="0"/>
              <w:spacing w:line="440" w:lineRule="exact"/>
              <w:jc w:val="center"/>
              <w:textAlignment w:val="baseline"/>
              <w:rPr>
                <w:color w:val="auto"/>
                <w:szCs w:val="21"/>
              </w:rPr>
            </w:pPr>
          </w:p>
        </w:tc>
        <w:tc>
          <w:tcPr>
            <w:tcW w:w="807"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tcPr>
          <w:p>
            <w:pPr>
              <w:adjustRightInd w:val="0"/>
              <w:spacing w:line="440" w:lineRule="exact"/>
              <w:jc w:val="center"/>
              <w:textAlignment w:val="baseline"/>
              <w:rPr>
                <w:color w:val="auto"/>
                <w:szCs w:val="21"/>
              </w:rPr>
            </w:pPr>
          </w:p>
        </w:tc>
        <w:tc>
          <w:tcPr>
            <w:tcW w:w="1269"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7" w:type="dxa"/>
          </w:tcPr>
          <w:p>
            <w:pPr>
              <w:adjustRightInd w:val="0"/>
              <w:spacing w:line="440" w:lineRule="exact"/>
              <w:jc w:val="center"/>
              <w:textAlignment w:val="baseline"/>
              <w:rPr>
                <w:color w:val="auto"/>
                <w:szCs w:val="21"/>
              </w:rPr>
            </w:pPr>
          </w:p>
        </w:tc>
        <w:tc>
          <w:tcPr>
            <w:tcW w:w="785"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022" w:type="dxa"/>
          </w:tcPr>
          <w:p>
            <w:pPr>
              <w:adjustRightInd w:val="0"/>
              <w:spacing w:line="440" w:lineRule="exact"/>
              <w:jc w:val="center"/>
              <w:textAlignment w:val="baseline"/>
              <w:rPr>
                <w:color w:val="auto"/>
                <w:szCs w:val="21"/>
              </w:rPr>
            </w:pPr>
          </w:p>
        </w:tc>
        <w:tc>
          <w:tcPr>
            <w:tcW w:w="1233" w:type="dxa"/>
          </w:tcPr>
          <w:p>
            <w:pPr>
              <w:adjustRightInd w:val="0"/>
              <w:spacing w:line="440" w:lineRule="exact"/>
              <w:jc w:val="center"/>
              <w:textAlignment w:val="baseline"/>
              <w:rPr>
                <w:color w:val="auto"/>
                <w:szCs w:val="21"/>
              </w:rPr>
            </w:pPr>
          </w:p>
        </w:tc>
        <w:tc>
          <w:tcPr>
            <w:tcW w:w="807"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tcPr>
          <w:p>
            <w:pPr>
              <w:adjustRightInd w:val="0"/>
              <w:spacing w:line="440" w:lineRule="exact"/>
              <w:jc w:val="center"/>
              <w:textAlignment w:val="baseline"/>
              <w:rPr>
                <w:color w:val="auto"/>
                <w:szCs w:val="21"/>
              </w:rPr>
            </w:pPr>
          </w:p>
        </w:tc>
        <w:tc>
          <w:tcPr>
            <w:tcW w:w="1269"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7" w:type="dxa"/>
          </w:tcPr>
          <w:p>
            <w:pPr>
              <w:adjustRightInd w:val="0"/>
              <w:spacing w:line="440" w:lineRule="exact"/>
              <w:jc w:val="center"/>
              <w:textAlignment w:val="baseline"/>
              <w:rPr>
                <w:color w:val="auto"/>
                <w:szCs w:val="21"/>
              </w:rPr>
            </w:pPr>
          </w:p>
        </w:tc>
        <w:tc>
          <w:tcPr>
            <w:tcW w:w="785"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022" w:type="dxa"/>
          </w:tcPr>
          <w:p>
            <w:pPr>
              <w:adjustRightInd w:val="0"/>
              <w:spacing w:line="440" w:lineRule="exact"/>
              <w:jc w:val="center"/>
              <w:textAlignment w:val="baseline"/>
              <w:rPr>
                <w:color w:val="auto"/>
                <w:szCs w:val="21"/>
              </w:rPr>
            </w:pPr>
          </w:p>
        </w:tc>
        <w:tc>
          <w:tcPr>
            <w:tcW w:w="1233" w:type="dxa"/>
          </w:tcPr>
          <w:p>
            <w:pPr>
              <w:adjustRightInd w:val="0"/>
              <w:spacing w:line="440" w:lineRule="exact"/>
              <w:jc w:val="center"/>
              <w:textAlignment w:val="baseline"/>
              <w:rPr>
                <w:color w:val="auto"/>
                <w:szCs w:val="21"/>
              </w:rPr>
            </w:pPr>
          </w:p>
        </w:tc>
        <w:tc>
          <w:tcPr>
            <w:tcW w:w="807"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tcPr>
          <w:p>
            <w:pPr>
              <w:adjustRightInd w:val="0"/>
              <w:spacing w:line="440" w:lineRule="exact"/>
              <w:jc w:val="center"/>
              <w:textAlignment w:val="baseline"/>
              <w:rPr>
                <w:color w:val="auto"/>
                <w:szCs w:val="21"/>
              </w:rPr>
            </w:pPr>
          </w:p>
        </w:tc>
        <w:tc>
          <w:tcPr>
            <w:tcW w:w="1269"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7" w:type="dxa"/>
          </w:tcPr>
          <w:p>
            <w:pPr>
              <w:adjustRightInd w:val="0"/>
              <w:spacing w:line="440" w:lineRule="exact"/>
              <w:jc w:val="center"/>
              <w:textAlignment w:val="baseline"/>
              <w:rPr>
                <w:color w:val="auto"/>
                <w:szCs w:val="21"/>
              </w:rPr>
            </w:pPr>
          </w:p>
        </w:tc>
        <w:tc>
          <w:tcPr>
            <w:tcW w:w="785"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022" w:type="dxa"/>
          </w:tcPr>
          <w:p>
            <w:pPr>
              <w:adjustRightInd w:val="0"/>
              <w:spacing w:line="440" w:lineRule="exact"/>
              <w:jc w:val="center"/>
              <w:textAlignment w:val="baseline"/>
              <w:rPr>
                <w:color w:val="auto"/>
                <w:szCs w:val="21"/>
              </w:rPr>
            </w:pPr>
          </w:p>
        </w:tc>
        <w:tc>
          <w:tcPr>
            <w:tcW w:w="1233" w:type="dxa"/>
          </w:tcPr>
          <w:p>
            <w:pPr>
              <w:adjustRightInd w:val="0"/>
              <w:spacing w:line="440" w:lineRule="exact"/>
              <w:jc w:val="center"/>
              <w:textAlignment w:val="baseline"/>
              <w:rPr>
                <w:color w:val="auto"/>
                <w:szCs w:val="21"/>
              </w:rPr>
            </w:pPr>
          </w:p>
        </w:tc>
        <w:tc>
          <w:tcPr>
            <w:tcW w:w="807" w:type="dxa"/>
          </w:tcPr>
          <w:p>
            <w:pPr>
              <w:adjustRightInd w:val="0"/>
              <w:spacing w:line="440" w:lineRule="exact"/>
              <w:jc w:val="center"/>
              <w:textAlignment w:val="baseline"/>
              <w:rPr>
                <w:color w:val="auto"/>
                <w:szCs w:val="21"/>
              </w:rPr>
            </w:pPr>
          </w:p>
        </w:tc>
      </w:tr>
    </w:tbl>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pStyle w:val="69"/>
        <w:rPr>
          <w:color w:val="auto"/>
        </w:rPr>
      </w:pPr>
      <w:r>
        <w:rPr>
          <w:color w:val="auto"/>
        </w:rPr>
        <w:t>附表二：拟配备</w:t>
      </w:r>
      <w:r>
        <w:rPr>
          <w:rFonts w:hint="eastAsia"/>
          <w:color w:val="auto"/>
        </w:rPr>
        <w:t>本项目</w:t>
      </w:r>
      <w:r>
        <w:rPr>
          <w:color w:val="auto"/>
        </w:rPr>
        <w:t>的试验和检测仪器设备表</w:t>
      </w:r>
    </w:p>
    <w:p>
      <w:pPr>
        <w:spacing w:line="440" w:lineRule="exact"/>
        <w:rPr>
          <w:color w:val="auto"/>
          <w:sz w:val="20"/>
          <w:szCs w:val="20"/>
        </w:rPr>
      </w:pPr>
    </w:p>
    <w:tbl>
      <w:tblPr>
        <w:tblStyle w:val="37"/>
        <w:tblW w:w="989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8"/>
        <w:gridCol w:w="1271"/>
        <w:gridCol w:w="889"/>
        <w:gridCol w:w="1158"/>
        <w:gridCol w:w="786"/>
        <w:gridCol w:w="863"/>
        <w:gridCol w:w="1417"/>
        <w:gridCol w:w="1932"/>
        <w:gridCol w:w="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vAlign w:val="center"/>
          </w:tcPr>
          <w:p>
            <w:pPr>
              <w:adjustRightInd w:val="0"/>
              <w:spacing w:line="440" w:lineRule="exact"/>
              <w:textAlignment w:val="baseline"/>
              <w:rPr>
                <w:color w:val="auto"/>
                <w:szCs w:val="21"/>
              </w:rPr>
            </w:pPr>
            <w:r>
              <w:rPr>
                <w:color w:val="auto"/>
                <w:szCs w:val="21"/>
              </w:rPr>
              <w:t>序号</w:t>
            </w:r>
          </w:p>
        </w:tc>
        <w:tc>
          <w:tcPr>
            <w:tcW w:w="1271" w:type="dxa"/>
            <w:vAlign w:val="center"/>
          </w:tcPr>
          <w:p>
            <w:pPr>
              <w:adjustRightInd w:val="0"/>
              <w:spacing w:line="440" w:lineRule="exact"/>
              <w:jc w:val="center"/>
              <w:textAlignment w:val="baseline"/>
              <w:rPr>
                <w:color w:val="auto"/>
                <w:szCs w:val="21"/>
              </w:rPr>
            </w:pPr>
            <w:r>
              <w:rPr>
                <w:color w:val="auto"/>
                <w:szCs w:val="21"/>
              </w:rPr>
              <w:t>仪器设备名称</w:t>
            </w:r>
          </w:p>
        </w:tc>
        <w:tc>
          <w:tcPr>
            <w:tcW w:w="889" w:type="dxa"/>
            <w:vAlign w:val="center"/>
          </w:tcPr>
          <w:p>
            <w:pPr>
              <w:adjustRightInd w:val="0"/>
              <w:spacing w:line="440" w:lineRule="exact"/>
              <w:jc w:val="center"/>
              <w:textAlignment w:val="baseline"/>
              <w:rPr>
                <w:color w:val="auto"/>
                <w:szCs w:val="21"/>
              </w:rPr>
            </w:pPr>
            <w:r>
              <w:rPr>
                <w:color w:val="auto"/>
                <w:szCs w:val="21"/>
              </w:rPr>
              <w:t>型号</w:t>
            </w:r>
          </w:p>
          <w:p>
            <w:pPr>
              <w:adjustRightInd w:val="0"/>
              <w:spacing w:line="440" w:lineRule="exact"/>
              <w:jc w:val="center"/>
              <w:textAlignment w:val="baseline"/>
              <w:rPr>
                <w:color w:val="auto"/>
                <w:szCs w:val="21"/>
              </w:rPr>
            </w:pPr>
            <w:r>
              <w:rPr>
                <w:color w:val="auto"/>
                <w:szCs w:val="21"/>
              </w:rPr>
              <w:t>规格</w:t>
            </w:r>
          </w:p>
        </w:tc>
        <w:tc>
          <w:tcPr>
            <w:tcW w:w="1158" w:type="dxa"/>
            <w:vAlign w:val="center"/>
          </w:tcPr>
          <w:p>
            <w:pPr>
              <w:adjustRightInd w:val="0"/>
              <w:spacing w:line="440" w:lineRule="exact"/>
              <w:jc w:val="center"/>
              <w:textAlignment w:val="baseline"/>
              <w:rPr>
                <w:color w:val="auto"/>
                <w:szCs w:val="21"/>
              </w:rPr>
            </w:pPr>
            <w:r>
              <w:rPr>
                <w:color w:val="auto"/>
                <w:szCs w:val="21"/>
              </w:rPr>
              <w:t>数量</w:t>
            </w:r>
          </w:p>
        </w:tc>
        <w:tc>
          <w:tcPr>
            <w:tcW w:w="786" w:type="dxa"/>
            <w:vAlign w:val="center"/>
          </w:tcPr>
          <w:p>
            <w:pPr>
              <w:adjustRightInd w:val="0"/>
              <w:spacing w:line="440" w:lineRule="exact"/>
              <w:jc w:val="center"/>
              <w:textAlignment w:val="baseline"/>
              <w:rPr>
                <w:color w:val="auto"/>
                <w:szCs w:val="21"/>
              </w:rPr>
            </w:pPr>
            <w:r>
              <w:rPr>
                <w:color w:val="auto"/>
                <w:szCs w:val="21"/>
              </w:rPr>
              <w:t>国别</w:t>
            </w:r>
          </w:p>
          <w:p>
            <w:pPr>
              <w:adjustRightInd w:val="0"/>
              <w:spacing w:line="440" w:lineRule="exact"/>
              <w:jc w:val="center"/>
              <w:textAlignment w:val="baseline"/>
              <w:rPr>
                <w:color w:val="auto"/>
                <w:szCs w:val="21"/>
              </w:rPr>
            </w:pPr>
            <w:r>
              <w:rPr>
                <w:color w:val="auto"/>
                <w:szCs w:val="21"/>
              </w:rPr>
              <w:t>产地</w:t>
            </w:r>
          </w:p>
        </w:tc>
        <w:tc>
          <w:tcPr>
            <w:tcW w:w="863" w:type="dxa"/>
            <w:vAlign w:val="center"/>
          </w:tcPr>
          <w:p>
            <w:pPr>
              <w:adjustRightInd w:val="0"/>
              <w:spacing w:line="440" w:lineRule="exact"/>
              <w:jc w:val="center"/>
              <w:textAlignment w:val="baseline"/>
              <w:rPr>
                <w:color w:val="auto"/>
                <w:szCs w:val="21"/>
              </w:rPr>
            </w:pPr>
            <w:r>
              <w:rPr>
                <w:color w:val="auto"/>
                <w:szCs w:val="21"/>
              </w:rPr>
              <w:t>制造</w:t>
            </w:r>
          </w:p>
          <w:p>
            <w:pPr>
              <w:adjustRightInd w:val="0"/>
              <w:spacing w:line="440" w:lineRule="exact"/>
              <w:jc w:val="center"/>
              <w:textAlignment w:val="baseline"/>
              <w:rPr>
                <w:color w:val="auto"/>
                <w:szCs w:val="21"/>
              </w:rPr>
            </w:pPr>
            <w:r>
              <w:rPr>
                <w:color w:val="auto"/>
                <w:szCs w:val="21"/>
              </w:rPr>
              <w:t>年份</w:t>
            </w:r>
          </w:p>
        </w:tc>
        <w:tc>
          <w:tcPr>
            <w:tcW w:w="1417" w:type="dxa"/>
            <w:vAlign w:val="center"/>
          </w:tcPr>
          <w:p>
            <w:pPr>
              <w:adjustRightInd w:val="0"/>
              <w:spacing w:line="440" w:lineRule="exact"/>
              <w:jc w:val="center"/>
              <w:textAlignment w:val="baseline"/>
              <w:rPr>
                <w:color w:val="auto"/>
                <w:szCs w:val="21"/>
              </w:rPr>
            </w:pPr>
            <w:r>
              <w:rPr>
                <w:color w:val="auto"/>
                <w:szCs w:val="21"/>
              </w:rPr>
              <w:t>已使用台时数</w:t>
            </w:r>
          </w:p>
        </w:tc>
        <w:tc>
          <w:tcPr>
            <w:tcW w:w="1932" w:type="dxa"/>
            <w:vAlign w:val="center"/>
          </w:tcPr>
          <w:p>
            <w:pPr>
              <w:adjustRightInd w:val="0"/>
              <w:spacing w:line="440" w:lineRule="exact"/>
              <w:jc w:val="center"/>
              <w:textAlignment w:val="baseline"/>
              <w:rPr>
                <w:color w:val="auto"/>
                <w:szCs w:val="21"/>
              </w:rPr>
            </w:pPr>
            <w:r>
              <w:rPr>
                <w:color w:val="auto"/>
                <w:szCs w:val="21"/>
              </w:rPr>
              <w:t>用途</w:t>
            </w:r>
          </w:p>
        </w:tc>
        <w:tc>
          <w:tcPr>
            <w:tcW w:w="804" w:type="dxa"/>
            <w:vAlign w:val="center"/>
          </w:tcPr>
          <w:p>
            <w:pPr>
              <w:adjustRightInd w:val="0"/>
              <w:spacing w:line="440" w:lineRule="exact"/>
              <w:jc w:val="center"/>
              <w:textAlignment w:val="baseline"/>
              <w:rPr>
                <w:color w:val="auto"/>
                <w:szCs w:val="21"/>
              </w:rPr>
            </w:pPr>
            <w:r>
              <w:rPr>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vAlign w:val="center"/>
          </w:tcPr>
          <w:p>
            <w:pPr>
              <w:adjustRightInd w:val="0"/>
              <w:spacing w:line="440" w:lineRule="exact"/>
              <w:jc w:val="center"/>
              <w:textAlignment w:val="baseline"/>
              <w:rPr>
                <w:color w:val="auto"/>
                <w:szCs w:val="21"/>
              </w:rPr>
            </w:pPr>
          </w:p>
        </w:tc>
        <w:tc>
          <w:tcPr>
            <w:tcW w:w="1271" w:type="dxa"/>
            <w:vAlign w:val="center"/>
          </w:tcPr>
          <w:p>
            <w:pPr>
              <w:adjustRightInd w:val="0"/>
              <w:spacing w:line="440" w:lineRule="exact"/>
              <w:jc w:val="center"/>
              <w:textAlignment w:val="baseline"/>
              <w:rPr>
                <w:color w:val="auto"/>
                <w:szCs w:val="21"/>
              </w:rPr>
            </w:pPr>
          </w:p>
        </w:tc>
        <w:tc>
          <w:tcPr>
            <w:tcW w:w="889" w:type="dxa"/>
            <w:vAlign w:val="center"/>
          </w:tcPr>
          <w:p>
            <w:pPr>
              <w:adjustRightInd w:val="0"/>
              <w:spacing w:line="440" w:lineRule="exact"/>
              <w:jc w:val="center"/>
              <w:textAlignment w:val="baseline"/>
              <w:rPr>
                <w:color w:val="auto"/>
                <w:szCs w:val="21"/>
              </w:rPr>
            </w:pPr>
          </w:p>
        </w:tc>
        <w:tc>
          <w:tcPr>
            <w:tcW w:w="1158" w:type="dxa"/>
            <w:vAlign w:val="center"/>
          </w:tcPr>
          <w:p>
            <w:pPr>
              <w:adjustRightInd w:val="0"/>
              <w:spacing w:line="440" w:lineRule="exact"/>
              <w:jc w:val="center"/>
              <w:textAlignment w:val="baseline"/>
              <w:rPr>
                <w:color w:val="auto"/>
                <w:szCs w:val="21"/>
              </w:rPr>
            </w:pPr>
          </w:p>
        </w:tc>
        <w:tc>
          <w:tcPr>
            <w:tcW w:w="786" w:type="dxa"/>
            <w:vAlign w:val="center"/>
          </w:tcPr>
          <w:p>
            <w:pPr>
              <w:adjustRightInd w:val="0"/>
              <w:spacing w:line="440" w:lineRule="exact"/>
              <w:jc w:val="center"/>
              <w:textAlignment w:val="baseline"/>
              <w:rPr>
                <w:color w:val="auto"/>
                <w:szCs w:val="21"/>
              </w:rPr>
            </w:pPr>
          </w:p>
        </w:tc>
        <w:tc>
          <w:tcPr>
            <w:tcW w:w="863" w:type="dxa"/>
            <w:vAlign w:val="center"/>
          </w:tcPr>
          <w:p>
            <w:pPr>
              <w:adjustRightInd w:val="0"/>
              <w:spacing w:line="440" w:lineRule="exact"/>
              <w:jc w:val="center"/>
              <w:textAlignment w:val="baseline"/>
              <w:rPr>
                <w:color w:val="auto"/>
                <w:szCs w:val="21"/>
              </w:rPr>
            </w:pPr>
          </w:p>
        </w:tc>
        <w:tc>
          <w:tcPr>
            <w:tcW w:w="1417" w:type="dxa"/>
            <w:vAlign w:val="center"/>
          </w:tcPr>
          <w:p>
            <w:pPr>
              <w:adjustRightInd w:val="0"/>
              <w:spacing w:line="440" w:lineRule="exact"/>
              <w:jc w:val="center"/>
              <w:textAlignment w:val="baseline"/>
              <w:rPr>
                <w:color w:val="auto"/>
                <w:szCs w:val="21"/>
              </w:rPr>
            </w:pPr>
          </w:p>
        </w:tc>
        <w:tc>
          <w:tcPr>
            <w:tcW w:w="1932" w:type="dxa"/>
            <w:vAlign w:val="center"/>
          </w:tcPr>
          <w:p>
            <w:pPr>
              <w:adjustRightInd w:val="0"/>
              <w:spacing w:line="440" w:lineRule="exact"/>
              <w:jc w:val="center"/>
              <w:textAlignment w:val="baseline"/>
              <w:rPr>
                <w:color w:val="auto"/>
                <w:szCs w:val="21"/>
              </w:rPr>
            </w:pPr>
          </w:p>
        </w:tc>
        <w:tc>
          <w:tcPr>
            <w:tcW w:w="804" w:type="dxa"/>
            <w:vAlign w:val="center"/>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vAlign w:val="center"/>
          </w:tcPr>
          <w:p>
            <w:pPr>
              <w:adjustRightInd w:val="0"/>
              <w:spacing w:line="440" w:lineRule="exact"/>
              <w:jc w:val="center"/>
              <w:textAlignment w:val="baseline"/>
              <w:rPr>
                <w:color w:val="auto"/>
                <w:szCs w:val="21"/>
              </w:rPr>
            </w:pPr>
          </w:p>
        </w:tc>
        <w:tc>
          <w:tcPr>
            <w:tcW w:w="1271" w:type="dxa"/>
            <w:vAlign w:val="center"/>
          </w:tcPr>
          <w:p>
            <w:pPr>
              <w:adjustRightInd w:val="0"/>
              <w:spacing w:line="440" w:lineRule="exact"/>
              <w:jc w:val="center"/>
              <w:textAlignment w:val="baseline"/>
              <w:rPr>
                <w:color w:val="auto"/>
                <w:szCs w:val="21"/>
              </w:rPr>
            </w:pPr>
          </w:p>
        </w:tc>
        <w:tc>
          <w:tcPr>
            <w:tcW w:w="889" w:type="dxa"/>
            <w:vAlign w:val="center"/>
          </w:tcPr>
          <w:p>
            <w:pPr>
              <w:adjustRightInd w:val="0"/>
              <w:spacing w:line="440" w:lineRule="exact"/>
              <w:jc w:val="center"/>
              <w:textAlignment w:val="baseline"/>
              <w:rPr>
                <w:color w:val="auto"/>
                <w:szCs w:val="21"/>
              </w:rPr>
            </w:pPr>
          </w:p>
        </w:tc>
        <w:tc>
          <w:tcPr>
            <w:tcW w:w="1158" w:type="dxa"/>
            <w:vAlign w:val="center"/>
          </w:tcPr>
          <w:p>
            <w:pPr>
              <w:adjustRightInd w:val="0"/>
              <w:spacing w:line="440" w:lineRule="exact"/>
              <w:jc w:val="center"/>
              <w:textAlignment w:val="baseline"/>
              <w:rPr>
                <w:color w:val="auto"/>
                <w:szCs w:val="21"/>
              </w:rPr>
            </w:pPr>
          </w:p>
        </w:tc>
        <w:tc>
          <w:tcPr>
            <w:tcW w:w="786" w:type="dxa"/>
            <w:vAlign w:val="center"/>
          </w:tcPr>
          <w:p>
            <w:pPr>
              <w:adjustRightInd w:val="0"/>
              <w:spacing w:line="440" w:lineRule="exact"/>
              <w:jc w:val="center"/>
              <w:textAlignment w:val="baseline"/>
              <w:rPr>
                <w:color w:val="auto"/>
                <w:szCs w:val="21"/>
              </w:rPr>
            </w:pPr>
          </w:p>
        </w:tc>
        <w:tc>
          <w:tcPr>
            <w:tcW w:w="863" w:type="dxa"/>
            <w:vAlign w:val="center"/>
          </w:tcPr>
          <w:p>
            <w:pPr>
              <w:adjustRightInd w:val="0"/>
              <w:spacing w:line="440" w:lineRule="exact"/>
              <w:jc w:val="center"/>
              <w:textAlignment w:val="baseline"/>
              <w:rPr>
                <w:color w:val="auto"/>
                <w:szCs w:val="21"/>
              </w:rPr>
            </w:pPr>
          </w:p>
        </w:tc>
        <w:tc>
          <w:tcPr>
            <w:tcW w:w="1417" w:type="dxa"/>
            <w:vAlign w:val="center"/>
          </w:tcPr>
          <w:p>
            <w:pPr>
              <w:adjustRightInd w:val="0"/>
              <w:spacing w:line="440" w:lineRule="exact"/>
              <w:jc w:val="center"/>
              <w:textAlignment w:val="baseline"/>
              <w:rPr>
                <w:color w:val="auto"/>
                <w:szCs w:val="21"/>
              </w:rPr>
            </w:pPr>
          </w:p>
        </w:tc>
        <w:tc>
          <w:tcPr>
            <w:tcW w:w="1932" w:type="dxa"/>
            <w:vAlign w:val="center"/>
          </w:tcPr>
          <w:p>
            <w:pPr>
              <w:adjustRightInd w:val="0"/>
              <w:spacing w:line="440" w:lineRule="exact"/>
              <w:jc w:val="center"/>
              <w:textAlignment w:val="baseline"/>
              <w:rPr>
                <w:color w:val="auto"/>
                <w:szCs w:val="21"/>
              </w:rPr>
            </w:pPr>
          </w:p>
        </w:tc>
        <w:tc>
          <w:tcPr>
            <w:tcW w:w="804" w:type="dxa"/>
            <w:vAlign w:val="center"/>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tcPr>
          <w:p>
            <w:pPr>
              <w:adjustRightInd w:val="0"/>
              <w:spacing w:line="440" w:lineRule="exact"/>
              <w:jc w:val="center"/>
              <w:textAlignment w:val="baseline"/>
              <w:rPr>
                <w:color w:val="auto"/>
                <w:szCs w:val="21"/>
              </w:rPr>
            </w:pPr>
          </w:p>
        </w:tc>
        <w:tc>
          <w:tcPr>
            <w:tcW w:w="1271"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8" w:type="dxa"/>
          </w:tcPr>
          <w:p>
            <w:pPr>
              <w:adjustRightInd w:val="0"/>
              <w:spacing w:line="440" w:lineRule="exact"/>
              <w:jc w:val="center"/>
              <w:textAlignment w:val="baseline"/>
              <w:rPr>
                <w:color w:val="auto"/>
                <w:szCs w:val="21"/>
              </w:rPr>
            </w:pPr>
          </w:p>
        </w:tc>
        <w:tc>
          <w:tcPr>
            <w:tcW w:w="786"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932" w:type="dxa"/>
          </w:tcPr>
          <w:p>
            <w:pPr>
              <w:adjustRightInd w:val="0"/>
              <w:spacing w:line="440" w:lineRule="exact"/>
              <w:jc w:val="center"/>
              <w:textAlignment w:val="baseline"/>
              <w:rPr>
                <w:color w:val="auto"/>
                <w:szCs w:val="21"/>
              </w:rPr>
            </w:pPr>
          </w:p>
        </w:tc>
        <w:tc>
          <w:tcPr>
            <w:tcW w:w="804"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tcPr>
          <w:p>
            <w:pPr>
              <w:adjustRightInd w:val="0"/>
              <w:spacing w:line="440" w:lineRule="exact"/>
              <w:jc w:val="center"/>
              <w:textAlignment w:val="baseline"/>
              <w:rPr>
                <w:color w:val="auto"/>
                <w:szCs w:val="21"/>
              </w:rPr>
            </w:pPr>
          </w:p>
        </w:tc>
        <w:tc>
          <w:tcPr>
            <w:tcW w:w="1271"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8" w:type="dxa"/>
          </w:tcPr>
          <w:p>
            <w:pPr>
              <w:adjustRightInd w:val="0"/>
              <w:spacing w:line="440" w:lineRule="exact"/>
              <w:jc w:val="center"/>
              <w:textAlignment w:val="baseline"/>
              <w:rPr>
                <w:color w:val="auto"/>
                <w:szCs w:val="21"/>
              </w:rPr>
            </w:pPr>
          </w:p>
        </w:tc>
        <w:tc>
          <w:tcPr>
            <w:tcW w:w="786"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932" w:type="dxa"/>
          </w:tcPr>
          <w:p>
            <w:pPr>
              <w:adjustRightInd w:val="0"/>
              <w:spacing w:line="440" w:lineRule="exact"/>
              <w:jc w:val="center"/>
              <w:textAlignment w:val="baseline"/>
              <w:rPr>
                <w:color w:val="auto"/>
                <w:szCs w:val="21"/>
              </w:rPr>
            </w:pPr>
          </w:p>
        </w:tc>
        <w:tc>
          <w:tcPr>
            <w:tcW w:w="804"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tcPr>
          <w:p>
            <w:pPr>
              <w:adjustRightInd w:val="0"/>
              <w:spacing w:line="440" w:lineRule="exact"/>
              <w:jc w:val="center"/>
              <w:textAlignment w:val="baseline"/>
              <w:rPr>
                <w:color w:val="auto"/>
                <w:szCs w:val="21"/>
              </w:rPr>
            </w:pPr>
          </w:p>
        </w:tc>
        <w:tc>
          <w:tcPr>
            <w:tcW w:w="1271"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8" w:type="dxa"/>
          </w:tcPr>
          <w:p>
            <w:pPr>
              <w:adjustRightInd w:val="0"/>
              <w:spacing w:line="440" w:lineRule="exact"/>
              <w:jc w:val="center"/>
              <w:textAlignment w:val="baseline"/>
              <w:rPr>
                <w:color w:val="auto"/>
                <w:szCs w:val="21"/>
              </w:rPr>
            </w:pPr>
          </w:p>
        </w:tc>
        <w:tc>
          <w:tcPr>
            <w:tcW w:w="786"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932" w:type="dxa"/>
          </w:tcPr>
          <w:p>
            <w:pPr>
              <w:adjustRightInd w:val="0"/>
              <w:spacing w:line="440" w:lineRule="exact"/>
              <w:jc w:val="center"/>
              <w:textAlignment w:val="baseline"/>
              <w:rPr>
                <w:color w:val="auto"/>
                <w:szCs w:val="21"/>
              </w:rPr>
            </w:pPr>
          </w:p>
        </w:tc>
        <w:tc>
          <w:tcPr>
            <w:tcW w:w="804"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tcPr>
          <w:p>
            <w:pPr>
              <w:adjustRightInd w:val="0"/>
              <w:spacing w:line="440" w:lineRule="exact"/>
              <w:jc w:val="center"/>
              <w:textAlignment w:val="baseline"/>
              <w:rPr>
                <w:color w:val="auto"/>
                <w:szCs w:val="21"/>
              </w:rPr>
            </w:pPr>
          </w:p>
        </w:tc>
        <w:tc>
          <w:tcPr>
            <w:tcW w:w="1271"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8" w:type="dxa"/>
          </w:tcPr>
          <w:p>
            <w:pPr>
              <w:adjustRightInd w:val="0"/>
              <w:spacing w:line="440" w:lineRule="exact"/>
              <w:jc w:val="center"/>
              <w:textAlignment w:val="baseline"/>
              <w:rPr>
                <w:color w:val="auto"/>
                <w:szCs w:val="21"/>
              </w:rPr>
            </w:pPr>
          </w:p>
        </w:tc>
        <w:tc>
          <w:tcPr>
            <w:tcW w:w="786"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932" w:type="dxa"/>
          </w:tcPr>
          <w:p>
            <w:pPr>
              <w:adjustRightInd w:val="0"/>
              <w:spacing w:line="440" w:lineRule="exact"/>
              <w:jc w:val="center"/>
              <w:textAlignment w:val="baseline"/>
              <w:rPr>
                <w:color w:val="auto"/>
                <w:szCs w:val="21"/>
              </w:rPr>
            </w:pPr>
          </w:p>
        </w:tc>
        <w:tc>
          <w:tcPr>
            <w:tcW w:w="804"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tcPr>
          <w:p>
            <w:pPr>
              <w:adjustRightInd w:val="0"/>
              <w:spacing w:line="440" w:lineRule="exact"/>
              <w:jc w:val="center"/>
              <w:textAlignment w:val="baseline"/>
              <w:rPr>
                <w:color w:val="auto"/>
                <w:szCs w:val="21"/>
              </w:rPr>
            </w:pPr>
          </w:p>
        </w:tc>
        <w:tc>
          <w:tcPr>
            <w:tcW w:w="1271"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8" w:type="dxa"/>
          </w:tcPr>
          <w:p>
            <w:pPr>
              <w:adjustRightInd w:val="0"/>
              <w:spacing w:line="440" w:lineRule="exact"/>
              <w:jc w:val="center"/>
              <w:textAlignment w:val="baseline"/>
              <w:rPr>
                <w:color w:val="auto"/>
                <w:szCs w:val="21"/>
              </w:rPr>
            </w:pPr>
          </w:p>
        </w:tc>
        <w:tc>
          <w:tcPr>
            <w:tcW w:w="786"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932" w:type="dxa"/>
          </w:tcPr>
          <w:p>
            <w:pPr>
              <w:adjustRightInd w:val="0"/>
              <w:spacing w:line="440" w:lineRule="exact"/>
              <w:jc w:val="center"/>
              <w:textAlignment w:val="baseline"/>
              <w:rPr>
                <w:color w:val="auto"/>
                <w:szCs w:val="21"/>
              </w:rPr>
            </w:pPr>
          </w:p>
        </w:tc>
        <w:tc>
          <w:tcPr>
            <w:tcW w:w="804"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tcPr>
          <w:p>
            <w:pPr>
              <w:adjustRightInd w:val="0"/>
              <w:spacing w:line="440" w:lineRule="exact"/>
              <w:jc w:val="center"/>
              <w:textAlignment w:val="baseline"/>
              <w:rPr>
                <w:color w:val="auto"/>
                <w:szCs w:val="21"/>
              </w:rPr>
            </w:pPr>
          </w:p>
        </w:tc>
        <w:tc>
          <w:tcPr>
            <w:tcW w:w="1271"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8" w:type="dxa"/>
          </w:tcPr>
          <w:p>
            <w:pPr>
              <w:adjustRightInd w:val="0"/>
              <w:spacing w:line="440" w:lineRule="exact"/>
              <w:jc w:val="center"/>
              <w:textAlignment w:val="baseline"/>
              <w:rPr>
                <w:color w:val="auto"/>
                <w:szCs w:val="21"/>
              </w:rPr>
            </w:pPr>
          </w:p>
        </w:tc>
        <w:tc>
          <w:tcPr>
            <w:tcW w:w="786"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932" w:type="dxa"/>
          </w:tcPr>
          <w:p>
            <w:pPr>
              <w:adjustRightInd w:val="0"/>
              <w:spacing w:line="440" w:lineRule="exact"/>
              <w:jc w:val="center"/>
              <w:textAlignment w:val="baseline"/>
              <w:rPr>
                <w:color w:val="auto"/>
                <w:szCs w:val="21"/>
              </w:rPr>
            </w:pPr>
          </w:p>
        </w:tc>
        <w:tc>
          <w:tcPr>
            <w:tcW w:w="804"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tcPr>
          <w:p>
            <w:pPr>
              <w:adjustRightInd w:val="0"/>
              <w:spacing w:line="440" w:lineRule="exact"/>
              <w:jc w:val="center"/>
              <w:textAlignment w:val="baseline"/>
              <w:rPr>
                <w:color w:val="auto"/>
                <w:szCs w:val="21"/>
              </w:rPr>
            </w:pPr>
          </w:p>
        </w:tc>
        <w:tc>
          <w:tcPr>
            <w:tcW w:w="1271"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8" w:type="dxa"/>
          </w:tcPr>
          <w:p>
            <w:pPr>
              <w:adjustRightInd w:val="0"/>
              <w:spacing w:line="440" w:lineRule="exact"/>
              <w:jc w:val="center"/>
              <w:textAlignment w:val="baseline"/>
              <w:rPr>
                <w:color w:val="auto"/>
                <w:szCs w:val="21"/>
              </w:rPr>
            </w:pPr>
          </w:p>
        </w:tc>
        <w:tc>
          <w:tcPr>
            <w:tcW w:w="786"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932" w:type="dxa"/>
          </w:tcPr>
          <w:p>
            <w:pPr>
              <w:adjustRightInd w:val="0"/>
              <w:spacing w:line="440" w:lineRule="exact"/>
              <w:jc w:val="center"/>
              <w:textAlignment w:val="baseline"/>
              <w:rPr>
                <w:color w:val="auto"/>
                <w:szCs w:val="21"/>
              </w:rPr>
            </w:pPr>
          </w:p>
        </w:tc>
        <w:tc>
          <w:tcPr>
            <w:tcW w:w="804"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tcPr>
          <w:p>
            <w:pPr>
              <w:adjustRightInd w:val="0"/>
              <w:spacing w:line="440" w:lineRule="exact"/>
              <w:jc w:val="center"/>
              <w:textAlignment w:val="baseline"/>
              <w:rPr>
                <w:color w:val="auto"/>
                <w:szCs w:val="21"/>
              </w:rPr>
            </w:pPr>
          </w:p>
        </w:tc>
        <w:tc>
          <w:tcPr>
            <w:tcW w:w="1271"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8" w:type="dxa"/>
          </w:tcPr>
          <w:p>
            <w:pPr>
              <w:adjustRightInd w:val="0"/>
              <w:spacing w:line="440" w:lineRule="exact"/>
              <w:jc w:val="center"/>
              <w:textAlignment w:val="baseline"/>
              <w:rPr>
                <w:color w:val="auto"/>
                <w:szCs w:val="21"/>
              </w:rPr>
            </w:pPr>
          </w:p>
        </w:tc>
        <w:tc>
          <w:tcPr>
            <w:tcW w:w="786"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932" w:type="dxa"/>
          </w:tcPr>
          <w:p>
            <w:pPr>
              <w:adjustRightInd w:val="0"/>
              <w:spacing w:line="440" w:lineRule="exact"/>
              <w:jc w:val="center"/>
              <w:textAlignment w:val="baseline"/>
              <w:rPr>
                <w:color w:val="auto"/>
                <w:szCs w:val="21"/>
              </w:rPr>
            </w:pPr>
          </w:p>
        </w:tc>
        <w:tc>
          <w:tcPr>
            <w:tcW w:w="804"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tcPr>
          <w:p>
            <w:pPr>
              <w:adjustRightInd w:val="0"/>
              <w:spacing w:line="440" w:lineRule="exact"/>
              <w:jc w:val="center"/>
              <w:textAlignment w:val="baseline"/>
              <w:rPr>
                <w:color w:val="auto"/>
                <w:szCs w:val="21"/>
              </w:rPr>
            </w:pPr>
          </w:p>
        </w:tc>
        <w:tc>
          <w:tcPr>
            <w:tcW w:w="1271"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8" w:type="dxa"/>
          </w:tcPr>
          <w:p>
            <w:pPr>
              <w:adjustRightInd w:val="0"/>
              <w:spacing w:line="440" w:lineRule="exact"/>
              <w:jc w:val="center"/>
              <w:textAlignment w:val="baseline"/>
              <w:rPr>
                <w:color w:val="auto"/>
                <w:szCs w:val="21"/>
              </w:rPr>
            </w:pPr>
          </w:p>
        </w:tc>
        <w:tc>
          <w:tcPr>
            <w:tcW w:w="786"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932" w:type="dxa"/>
          </w:tcPr>
          <w:p>
            <w:pPr>
              <w:adjustRightInd w:val="0"/>
              <w:spacing w:line="440" w:lineRule="exact"/>
              <w:jc w:val="center"/>
              <w:textAlignment w:val="baseline"/>
              <w:rPr>
                <w:color w:val="auto"/>
                <w:szCs w:val="21"/>
              </w:rPr>
            </w:pPr>
          </w:p>
        </w:tc>
        <w:tc>
          <w:tcPr>
            <w:tcW w:w="804"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tcPr>
          <w:p>
            <w:pPr>
              <w:adjustRightInd w:val="0"/>
              <w:spacing w:line="440" w:lineRule="exact"/>
              <w:jc w:val="center"/>
              <w:textAlignment w:val="baseline"/>
              <w:rPr>
                <w:color w:val="auto"/>
                <w:szCs w:val="21"/>
              </w:rPr>
            </w:pPr>
          </w:p>
        </w:tc>
        <w:tc>
          <w:tcPr>
            <w:tcW w:w="1271"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8" w:type="dxa"/>
          </w:tcPr>
          <w:p>
            <w:pPr>
              <w:adjustRightInd w:val="0"/>
              <w:spacing w:line="440" w:lineRule="exact"/>
              <w:jc w:val="center"/>
              <w:textAlignment w:val="baseline"/>
              <w:rPr>
                <w:color w:val="auto"/>
                <w:szCs w:val="21"/>
              </w:rPr>
            </w:pPr>
          </w:p>
        </w:tc>
        <w:tc>
          <w:tcPr>
            <w:tcW w:w="786"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932" w:type="dxa"/>
          </w:tcPr>
          <w:p>
            <w:pPr>
              <w:adjustRightInd w:val="0"/>
              <w:spacing w:line="440" w:lineRule="exact"/>
              <w:jc w:val="center"/>
              <w:textAlignment w:val="baseline"/>
              <w:rPr>
                <w:color w:val="auto"/>
                <w:szCs w:val="21"/>
              </w:rPr>
            </w:pPr>
          </w:p>
        </w:tc>
        <w:tc>
          <w:tcPr>
            <w:tcW w:w="804"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tcPr>
          <w:p>
            <w:pPr>
              <w:adjustRightInd w:val="0"/>
              <w:spacing w:line="440" w:lineRule="exact"/>
              <w:jc w:val="center"/>
              <w:textAlignment w:val="baseline"/>
              <w:rPr>
                <w:color w:val="auto"/>
                <w:szCs w:val="21"/>
              </w:rPr>
            </w:pPr>
          </w:p>
        </w:tc>
        <w:tc>
          <w:tcPr>
            <w:tcW w:w="1271"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8" w:type="dxa"/>
          </w:tcPr>
          <w:p>
            <w:pPr>
              <w:adjustRightInd w:val="0"/>
              <w:spacing w:line="440" w:lineRule="exact"/>
              <w:jc w:val="center"/>
              <w:textAlignment w:val="baseline"/>
              <w:rPr>
                <w:color w:val="auto"/>
                <w:szCs w:val="21"/>
              </w:rPr>
            </w:pPr>
          </w:p>
        </w:tc>
        <w:tc>
          <w:tcPr>
            <w:tcW w:w="786"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932" w:type="dxa"/>
          </w:tcPr>
          <w:p>
            <w:pPr>
              <w:adjustRightInd w:val="0"/>
              <w:spacing w:line="440" w:lineRule="exact"/>
              <w:jc w:val="center"/>
              <w:textAlignment w:val="baseline"/>
              <w:rPr>
                <w:color w:val="auto"/>
                <w:szCs w:val="21"/>
              </w:rPr>
            </w:pPr>
          </w:p>
        </w:tc>
        <w:tc>
          <w:tcPr>
            <w:tcW w:w="804"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tcPr>
          <w:p>
            <w:pPr>
              <w:adjustRightInd w:val="0"/>
              <w:spacing w:line="440" w:lineRule="exact"/>
              <w:jc w:val="center"/>
              <w:textAlignment w:val="baseline"/>
              <w:rPr>
                <w:color w:val="auto"/>
                <w:szCs w:val="21"/>
              </w:rPr>
            </w:pPr>
          </w:p>
        </w:tc>
        <w:tc>
          <w:tcPr>
            <w:tcW w:w="1271"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8" w:type="dxa"/>
          </w:tcPr>
          <w:p>
            <w:pPr>
              <w:adjustRightInd w:val="0"/>
              <w:spacing w:line="440" w:lineRule="exact"/>
              <w:jc w:val="center"/>
              <w:textAlignment w:val="baseline"/>
              <w:rPr>
                <w:color w:val="auto"/>
                <w:szCs w:val="21"/>
              </w:rPr>
            </w:pPr>
          </w:p>
        </w:tc>
        <w:tc>
          <w:tcPr>
            <w:tcW w:w="786"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932" w:type="dxa"/>
          </w:tcPr>
          <w:p>
            <w:pPr>
              <w:adjustRightInd w:val="0"/>
              <w:spacing w:line="440" w:lineRule="exact"/>
              <w:jc w:val="center"/>
              <w:textAlignment w:val="baseline"/>
              <w:rPr>
                <w:color w:val="auto"/>
                <w:szCs w:val="21"/>
              </w:rPr>
            </w:pPr>
          </w:p>
        </w:tc>
        <w:tc>
          <w:tcPr>
            <w:tcW w:w="804"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tcPr>
          <w:p>
            <w:pPr>
              <w:adjustRightInd w:val="0"/>
              <w:spacing w:line="440" w:lineRule="exact"/>
              <w:jc w:val="center"/>
              <w:textAlignment w:val="baseline"/>
              <w:rPr>
                <w:color w:val="auto"/>
                <w:szCs w:val="21"/>
              </w:rPr>
            </w:pPr>
          </w:p>
        </w:tc>
        <w:tc>
          <w:tcPr>
            <w:tcW w:w="1271"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8" w:type="dxa"/>
          </w:tcPr>
          <w:p>
            <w:pPr>
              <w:adjustRightInd w:val="0"/>
              <w:spacing w:line="440" w:lineRule="exact"/>
              <w:jc w:val="center"/>
              <w:textAlignment w:val="baseline"/>
              <w:rPr>
                <w:color w:val="auto"/>
                <w:szCs w:val="21"/>
              </w:rPr>
            </w:pPr>
          </w:p>
        </w:tc>
        <w:tc>
          <w:tcPr>
            <w:tcW w:w="786"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932" w:type="dxa"/>
          </w:tcPr>
          <w:p>
            <w:pPr>
              <w:adjustRightInd w:val="0"/>
              <w:spacing w:line="440" w:lineRule="exact"/>
              <w:jc w:val="center"/>
              <w:textAlignment w:val="baseline"/>
              <w:rPr>
                <w:color w:val="auto"/>
                <w:szCs w:val="21"/>
              </w:rPr>
            </w:pPr>
          </w:p>
        </w:tc>
        <w:tc>
          <w:tcPr>
            <w:tcW w:w="804"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tcPr>
          <w:p>
            <w:pPr>
              <w:adjustRightInd w:val="0"/>
              <w:spacing w:line="440" w:lineRule="exact"/>
              <w:jc w:val="center"/>
              <w:textAlignment w:val="baseline"/>
              <w:rPr>
                <w:color w:val="auto"/>
                <w:szCs w:val="21"/>
              </w:rPr>
            </w:pPr>
          </w:p>
        </w:tc>
        <w:tc>
          <w:tcPr>
            <w:tcW w:w="1271"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8" w:type="dxa"/>
          </w:tcPr>
          <w:p>
            <w:pPr>
              <w:adjustRightInd w:val="0"/>
              <w:spacing w:line="440" w:lineRule="exact"/>
              <w:jc w:val="center"/>
              <w:textAlignment w:val="baseline"/>
              <w:rPr>
                <w:color w:val="auto"/>
                <w:szCs w:val="21"/>
              </w:rPr>
            </w:pPr>
          </w:p>
        </w:tc>
        <w:tc>
          <w:tcPr>
            <w:tcW w:w="786"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932" w:type="dxa"/>
          </w:tcPr>
          <w:p>
            <w:pPr>
              <w:adjustRightInd w:val="0"/>
              <w:spacing w:line="440" w:lineRule="exact"/>
              <w:jc w:val="center"/>
              <w:textAlignment w:val="baseline"/>
              <w:rPr>
                <w:color w:val="auto"/>
                <w:szCs w:val="21"/>
              </w:rPr>
            </w:pPr>
          </w:p>
        </w:tc>
        <w:tc>
          <w:tcPr>
            <w:tcW w:w="804"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tcPr>
          <w:p>
            <w:pPr>
              <w:adjustRightInd w:val="0"/>
              <w:spacing w:line="440" w:lineRule="exact"/>
              <w:jc w:val="center"/>
              <w:textAlignment w:val="baseline"/>
              <w:rPr>
                <w:color w:val="auto"/>
                <w:szCs w:val="21"/>
              </w:rPr>
            </w:pPr>
          </w:p>
        </w:tc>
        <w:tc>
          <w:tcPr>
            <w:tcW w:w="1271"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8" w:type="dxa"/>
          </w:tcPr>
          <w:p>
            <w:pPr>
              <w:adjustRightInd w:val="0"/>
              <w:spacing w:line="440" w:lineRule="exact"/>
              <w:jc w:val="center"/>
              <w:textAlignment w:val="baseline"/>
              <w:rPr>
                <w:color w:val="auto"/>
                <w:szCs w:val="21"/>
              </w:rPr>
            </w:pPr>
          </w:p>
        </w:tc>
        <w:tc>
          <w:tcPr>
            <w:tcW w:w="786"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932" w:type="dxa"/>
          </w:tcPr>
          <w:p>
            <w:pPr>
              <w:adjustRightInd w:val="0"/>
              <w:spacing w:line="440" w:lineRule="exact"/>
              <w:jc w:val="center"/>
              <w:textAlignment w:val="baseline"/>
              <w:rPr>
                <w:color w:val="auto"/>
                <w:szCs w:val="21"/>
              </w:rPr>
            </w:pPr>
          </w:p>
        </w:tc>
        <w:tc>
          <w:tcPr>
            <w:tcW w:w="804"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tcPr>
          <w:p>
            <w:pPr>
              <w:adjustRightInd w:val="0"/>
              <w:spacing w:line="440" w:lineRule="exact"/>
              <w:jc w:val="center"/>
              <w:textAlignment w:val="baseline"/>
              <w:rPr>
                <w:color w:val="auto"/>
                <w:szCs w:val="21"/>
              </w:rPr>
            </w:pPr>
          </w:p>
        </w:tc>
        <w:tc>
          <w:tcPr>
            <w:tcW w:w="1271"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8" w:type="dxa"/>
          </w:tcPr>
          <w:p>
            <w:pPr>
              <w:adjustRightInd w:val="0"/>
              <w:spacing w:line="440" w:lineRule="exact"/>
              <w:jc w:val="center"/>
              <w:textAlignment w:val="baseline"/>
              <w:rPr>
                <w:color w:val="auto"/>
                <w:szCs w:val="21"/>
              </w:rPr>
            </w:pPr>
          </w:p>
        </w:tc>
        <w:tc>
          <w:tcPr>
            <w:tcW w:w="786"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932" w:type="dxa"/>
          </w:tcPr>
          <w:p>
            <w:pPr>
              <w:adjustRightInd w:val="0"/>
              <w:spacing w:line="440" w:lineRule="exact"/>
              <w:jc w:val="center"/>
              <w:textAlignment w:val="baseline"/>
              <w:rPr>
                <w:color w:val="auto"/>
                <w:szCs w:val="21"/>
              </w:rPr>
            </w:pPr>
          </w:p>
        </w:tc>
        <w:tc>
          <w:tcPr>
            <w:tcW w:w="804"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tcPr>
          <w:p>
            <w:pPr>
              <w:adjustRightInd w:val="0"/>
              <w:spacing w:line="440" w:lineRule="exact"/>
              <w:jc w:val="center"/>
              <w:textAlignment w:val="baseline"/>
              <w:rPr>
                <w:color w:val="auto"/>
                <w:szCs w:val="21"/>
              </w:rPr>
            </w:pPr>
          </w:p>
        </w:tc>
        <w:tc>
          <w:tcPr>
            <w:tcW w:w="1271"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8" w:type="dxa"/>
          </w:tcPr>
          <w:p>
            <w:pPr>
              <w:adjustRightInd w:val="0"/>
              <w:spacing w:line="440" w:lineRule="exact"/>
              <w:jc w:val="center"/>
              <w:textAlignment w:val="baseline"/>
              <w:rPr>
                <w:color w:val="auto"/>
                <w:szCs w:val="21"/>
              </w:rPr>
            </w:pPr>
          </w:p>
        </w:tc>
        <w:tc>
          <w:tcPr>
            <w:tcW w:w="786"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932" w:type="dxa"/>
          </w:tcPr>
          <w:p>
            <w:pPr>
              <w:adjustRightInd w:val="0"/>
              <w:spacing w:line="440" w:lineRule="exact"/>
              <w:jc w:val="center"/>
              <w:textAlignment w:val="baseline"/>
              <w:rPr>
                <w:color w:val="auto"/>
                <w:szCs w:val="21"/>
              </w:rPr>
            </w:pPr>
          </w:p>
        </w:tc>
        <w:tc>
          <w:tcPr>
            <w:tcW w:w="804"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tcPr>
          <w:p>
            <w:pPr>
              <w:adjustRightInd w:val="0"/>
              <w:spacing w:line="440" w:lineRule="exact"/>
              <w:jc w:val="center"/>
              <w:textAlignment w:val="baseline"/>
              <w:rPr>
                <w:color w:val="auto"/>
                <w:szCs w:val="21"/>
              </w:rPr>
            </w:pPr>
          </w:p>
        </w:tc>
        <w:tc>
          <w:tcPr>
            <w:tcW w:w="1271"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8" w:type="dxa"/>
          </w:tcPr>
          <w:p>
            <w:pPr>
              <w:adjustRightInd w:val="0"/>
              <w:spacing w:line="440" w:lineRule="exact"/>
              <w:jc w:val="center"/>
              <w:textAlignment w:val="baseline"/>
              <w:rPr>
                <w:color w:val="auto"/>
                <w:szCs w:val="21"/>
              </w:rPr>
            </w:pPr>
          </w:p>
        </w:tc>
        <w:tc>
          <w:tcPr>
            <w:tcW w:w="786"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932" w:type="dxa"/>
          </w:tcPr>
          <w:p>
            <w:pPr>
              <w:adjustRightInd w:val="0"/>
              <w:spacing w:line="440" w:lineRule="exact"/>
              <w:jc w:val="center"/>
              <w:textAlignment w:val="baseline"/>
              <w:rPr>
                <w:color w:val="auto"/>
                <w:szCs w:val="21"/>
              </w:rPr>
            </w:pPr>
          </w:p>
        </w:tc>
        <w:tc>
          <w:tcPr>
            <w:tcW w:w="804"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tcPr>
          <w:p>
            <w:pPr>
              <w:adjustRightInd w:val="0"/>
              <w:spacing w:line="440" w:lineRule="exact"/>
              <w:jc w:val="center"/>
              <w:textAlignment w:val="baseline"/>
              <w:rPr>
                <w:color w:val="auto"/>
                <w:szCs w:val="21"/>
              </w:rPr>
            </w:pPr>
          </w:p>
        </w:tc>
        <w:tc>
          <w:tcPr>
            <w:tcW w:w="1271"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8" w:type="dxa"/>
          </w:tcPr>
          <w:p>
            <w:pPr>
              <w:adjustRightInd w:val="0"/>
              <w:spacing w:line="440" w:lineRule="exact"/>
              <w:jc w:val="center"/>
              <w:textAlignment w:val="baseline"/>
              <w:rPr>
                <w:color w:val="auto"/>
                <w:szCs w:val="21"/>
              </w:rPr>
            </w:pPr>
          </w:p>
        </w:tc>
        <w:tc>
          <w:tcPr>
            <w:tcW w:w="786"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932" w:type="dxa"/>
          </w:tcPr>
          <w:p>
            <w:pPr>
              <w:adjustRightInd w:val="0"/>
              <w:spacing w:line="440" w:lineRule="exact"/>
              <w:jc w:val="center"/>
              <w:textAlignment w:val="baseline"/>
              <w:rPr>
                <w:color w:val="auto"/>
                <w:szCs w:val="21"/>
              </w:rPr>
            </w:pPr>
          </w:p>
        </w:tc>
        <w:tc>
          <w:tcPr>
            <w:tcW w:w="804"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tcPr>
          <w:p>
            <w:pPr>
              <w:adjustRightInd w:val="0"/>
              <w:spacing w:line="440" w:lineRule="exact"/>
              <w:jc w:val="center"/>
              <w:textAlignment w:val="baseline"/>
              <w:rPr>
                <w:color w:val="auto"/>
                <w:szCs w:val="21"/>
              </w:rPr>
            </w:pPr>
          </w:p>
        </w:tc>
        <w:tc>
          <w:tcPr>
            <w:tcW w:w="1271"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8" w:type="dxa"/>
          </w:tcPr>
          <w:p>
            <w:pPr>
              <w:adjustRightInd w:val="0"/>
              <w:spacing w:line="440" w:lineRule="exact"/>
              <w:jc w:val="center"/>
              <w:textAlignment w:val="baseline"/>
              <w:rPr>
                <w:color w:val="auto"/>
                <w:szCs w:val="21"/>
              </w:rPr>
            </w:pPr>
          </w:p>
        </w:tc>
        <w:tc>
          <w:tcPr>
            <w:tcW w:w="786"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932" w:type="dxa"/>
          </w:tcPr>
          <w:p>
            <w:pPr>
              <w:adjustRightInd w:val="0"/>
              <w:spacing w:line="440" w:lineRule="exact"/>
              <w:jc w:val="center"/>
              <w:textAlignment w:val="baseline"/>
              <w:rPr>
                <w:color w:val="auto"/>
                <w:szCs w:val="21"/>
              </w:rPr>
            </w:pPr>
          </w:p>
        </w:tc>
        <w:tc>
          <w:tcPr>
            <w:tcW w:w="804"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tcPr>
          <w:p>
            <w:pPr>
              <w:adjustRightInd w:val="0"/>
              <w:spacing w:line="440" w:lineRule="exact"/>
              <w:jc w:val="center"/>
              <w:textAlignment w:val="baseline"/>
              <w:rPr>
                <w:color w:val="auto"/>
                <w:szCs w:val="21"/>
              </w:rPr>
            </w:pPr>
          </w:p>
        </w:tc>
        <w:tc>
          <w:tcPr>
            <w:tcW w:w="1271"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8" w:type="dxa"/>
          </w:tcPr>
          <w:p>
            <w:pPr>
              <w:adjustRightInd w:val="0"/>
              <w:spacing w:line="440" w:lineRule="exact"/>
              <w:jc w:val="center"/>
              <w:textAlignment w:val="baseline"/>
              <w:rPr>
                <w:color w:val="auto"/>
                <w:szCs w:val="21"/>
              </w:rPr>
            </w:pPr>
          </w:p>
        </w:tc>
        <w:tc>
          <w:tcPr>
            <w:tcW w:w="786"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932" w:type="dxa"/>
          </w:tcPr>
          <w:p>
            <w:pPr>
              <w:adjustRightInd w:val="0"/>
              <w:spacing w:line="440" w:lineRule="exact"/>
              <w:jc w:val="center"/>
              <w:textAlignment w:val="baseline"/>
              <w:rPr>
                <w:color w:val="auto"/>
                <w:szCs w:val="21"/>
              </w:rPr>
            </w:pPr>
          </w:p>
        </w:tc>
        <w:tc>
          <w:tcPr>
            <w:tcW w:w="804" w:type="dxa"/>
          </w:tcPr>
          <w:p>
            <w:pPr>
              <w:adjustRightInd w:val="0"/>
              <w:spacing w:line="440" w:lineRule="exact"/>
              <w:jc w:val="center"/>
              <w:textAlignment w:val="baseline"/>
              <w:rPr>
                <w:color w:val="auto"/>
                <w:szCs w:val="21"/>
              </w:rPr>
            </w:pPr>
          </w:p>
        </w:tc>
      </w:tr>
    </w:tbl>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pStyle w:val="69"/>
        <w:rPr>
          <w:color w:val="auto"/>
        </w:rPr>
      </w:pPr>
      <w:r>
        <w:rPr>
          <w:color w:val="auto"/>
        </w:rPr>
        <w:t>附表三：劳动力计划表</w:t>
      </w:r>
    </w:p>
    <w:p>
      <w:pPr>
        <w:spacing w:line="440" w:lineRule="exact"/>
        <w:ind w:right="200"/>
        <w:jc w:val="right"/>
        <w:rPr>
          <w:rFonts w:eastAsia="黑体"/>
          <w:color w:val="auto"/>
          <w:szCs w:val="21"/>
        </w:rPr>
      </w:pPr>
      <w:r>
        <w:rPr>
          <w:rFonts w:eastAsia="黑体"/>
          <w:color w:val="auto"/>
          <w:szCs w:val="21"/>
        </w:rPr>
        <w:t>单位：人</w:t>
      </w:r>
    </w:p>
    <w:tbl>
      <w:tblPr>
        <w:tblStyle w:val="37"/>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9"/>
        <w:gridCol w:w="1525"/>
        <w:gridCol w:w="1245"/>
        <w:gridCol w:w="1245"/>
        <w:gridCol w:w="1245"/>
        <w:gridCol w:w="1245"/>
        <w:gridCol w:w="1245"/>
        <w:gridCol w:w="12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vAlign w:val="center"/>
          </w:tcPr>
          <w:p>
            <w:pPr>
              <w:adjustRightInd w:val="0"/>
              <w:spacing w:line="440" w:lineRule="exact"/>
              <w:jc w:val="center"/>
              <w:textAlignment w:val="baseline"/>
              <w:rPr>
                <w:color w:val="auto"/>
                <w:szCs w:val="21"/>
              </w:rPr>
            </w:pPr>
            <w:r>
              <w:rPr>
                <w:color w:val="auto"/>
                <w:szCs w:val="21"/>
              </w:rPr>
              <w:t>工种</w:t>
            </w:r>
          </w:p>
        </w:tc>
        <w:tc>
          <w:tcPr>
            <w:tcW w:w="8993" w:type="dxa"/>
            <w:gridSpan w:val="7"/>
            <w:vAlign w:val="center"/>
          </w:tcPr>
          <w:p>
            <w:pPr>
              <w:adjustRightInd w:val="0"/>
              <w:spacing w:line="440" w:lineRule="exact"/>
              <w:jc w:val="center"/>
              <w:textAlignment w:val="baseline"/>
              <w:rPr>
                <w:color w:val="auto"/>
                <w:szCs w:val="21"/>
              </w:rPr>
            </w:pPr>
            <w:r>
              <w:rPr>
                <w:color w:val="auto"/>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vAlign w:val="center"/>
          </w:tcPr>
          <w:p>
            <w:pPr>
              <w:adjustRightInd w:val="0"/>
              <w:spacing w:line="440" w:lineRule="exact"/>
              <w:jc w:val="center"/>
              <w:textAlignment w:val="baseline"/>
              <w:rPr>
                <w:color w:val="auto"/>
                <w:szCs w:val="21"/>
              </w:rPr>
            </w:pPr>
          </w:p>
        </w:tc>
        <w:tc>
          <w:tcPr>
            <w:tcW w:w="1525" w:type="dxa"/>
            <w:vAlign w:val="center"/>
          </w:tcPr>
          <w:p>
            <w:pPr>
              <w:adjustRightInd w:val="0"/>
              <w:spacing w:line="440" w:lineRule="exact"/>
              <w:jc w:val="center"/>
              <w:textAlignment w:val="baseline"/>
              <w:rPr>
                <w:color w:val="auto"/>
                <w:szCs w:val="21"/>
              </w:rPr>
            </w:pPr>
          </w:p>
        </w:tc>
        <w:tc>
          <w:tcPr>
            <w:tcW w:w="1245" w:type="dxa"/>
            <w:vAlign w:val="center"/>
          </w:tcPr>
          <w:p>
            <w:pPr>
              <w:adjustRightInd w:val="0"/>
              <w:spacing w:line="440" w:lineRule="exact"/>
              <w:jc w:val="center"/>
              <w:textAlignment w:val="baseline"/>
              <w:rPr>
                <w:color w:val="auto"/>
                <w:szCs w:val="21"/>
              </w:rPr>
            </w:pPr>
          </w:p>
        </w:tc>
        <w:tc>
          <w:tcPr>
            <w:tcW w:w="1245" w:type="dxa"/>
            <w:vAlign w:val="center"/>
          </w:tcPr>
          <w:p>
            <w:pPr>
              <w:adjustRightInd w:val="0"/>
              <w:spacing w:line="440" w:lineRule="exact"/>
              <w:jc w:val="center"/>
              <w:textAlignment w:val="baseline"/>
              <w:rPr>
                <w:color w:val="auto"/>
                <w:szCs w:val="21"/>
              </w:rPr>
            </w:pPr>
          </w:p>
        </w:tc>
        <w:tc>
          <w:tcPr>
            <w:tcW w:w="1245" w:type="dxa"/>
            <w:vAlign w:val="center"/>
          </w:tcPr>
          <w:p>
            <w:pPr>
              <w:adjustRightInd w:val="0"/>
              <w:spacing w:line="440" w:lineRule="exact"/>
              <w:jc w:val="center"/>
              <w:textAlignment w:val="baseline"/>
              <w:rPr>
                <w:color w:val="auto"/>
                <w:szCs w:val="21"/>
              </w:rPr>
            </w:pPr>
          </w:p>
        </w:tc>
        <w:tc>
          <w:tcPr>
            <w:tcW w:w="1245" w:type="dxa"/>
            <w:vAlign w:val="center"/>
          </w:tcPr>
          <w:p>
            <w:pPr>
              <w:adjustRightInd w:val="0"/>
              <w:spacing w:line="440" w:lineRule="exact"/>
              <w:jc w:val="center"/>
              <w:textAlignment w:val="baseline"/>
              <w:rPr>
                <w:color w:val="auto"/>
                <w:szCs w:val="21"/>
              </w:rPr>
            </w:pPr>
          </w:p>
        </w:tc>
        <w:tc>
          <w:tcPr>
            <w:tcW w:w="1245" w:type="dxa"/>
            <w:vAlign w:val="center"/>
          </w:tcPr>
          <w:p>
            <w:pPr>
              <w:adjustRightInd w:val="0"/>
              <w:spacing w:line="440" w:lineRule="exact"/>
              <w:jc w:val="center"/>
              <w:textAlignment w:val="baseline"/>
              <w:rPr>
                <w:color w:val="auto"/>
                <w:szCs w:val="21"/>
              </w:rPr>
            </w:pPr>
          </w:p>
        </w:tc>
        <w:tc>
          <w:tcPr>
            <w:tcW w:w="1243" w:type="dxa"/>
            <w:vAlign w:val="center"/>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vAlign w:val="center"/>
          </w:tcPr>
          <w:p>
            <w:pPr>
              <w:adjustRightInd w:val="0"/>
              <w:spacing w:line="440" w:lineRule="exact"/>
              <w:jc w:val="center"/>
              <w:textAlignment w:val="baseline"/>
              <w:rPr>
                <w:color w:val="auto"/>
                <w:szCs w:val="21"/>
              </w:rPr>
            </w:pPr>
          </w:p>
        </w:tc>
        <w:tc>
          <w:tcPr>
            <w:tcW w:w="1525" w:type="dxa"/>
            <w:vAlign w:val="center"/>
          </w:tcPr>
          <w:p>
            <w:pPr>
              <w:adjustRightInd w:val="0"/>
              <w:spacing w:line="440" w:lineRule="exact"/>
              <w:jc w:val="center"/>
              <w:textAlignment w:val="baseline"/>
              <w:rPr>
                <w:color w:val="auto"/>
                <w:szCs w:val="21"/>
              </w:rPr>
            </w:pPr>
          </w:p>
        </w:tc>
        <w:tc>
          <w:tcPr>
            <w:tcW w:w="1245" w:type="dxa"/>
            <w:vAlign w:val="center"/>
          </w:tcPr>
          <w:p>
            <w:pPr>
              <w:adjustRightInd w:val="0"/>
              <w:spacing w:line="440" w:lineRule="exact"/>
              <w:jc w:val="center"/>
              <w:textAlignment w:val="baseline"/>
              <w:rPr>
                <w:color w:val="auto"/>
                <w:szCs w:val="21"/>
              </w:rPr>
            </w:pPr>
          </w:p>
        </w:tc>
        <w:tc>
          <w:tcPr>
            <w:tcW w:w="1245" w:type="dxa"/>
            <w:vAlign w:val="center"/>
          </w:tcPr>
          <w:p>
            <w:pPr>
              <w:adjustRightInd w:val="0"/>
              <w:spacing w:line="440" w:lineRule="exact"/>
              <w:jc w:val="center"/>
              <w:textAlignment w:val="baseline"/>
              <w:rPr>
                <w:color w:val="auto"/>
                <w:szCs w:val="21"/>
              </w:rPr>
            </w:pPr>
          </w:p>
        </w:tc>
        <w:tc>
          <w:tcPr>
            <w:tcW w:w="1245" w:type="dxa"/>
            <w:vAlign w:val="center"/>
          </w:tcPr>
          <w:p>
            <w:pPr>
              <w:adjustRightInd w:val="0"/>
              <w:spacing w:line="440" w:lineRule="exact"/>
              <w:jc w:val="center"/>
              <w:textAlignment w:val="baseline"/>
              <w:rPr>
                <w:color w:val="auto"/>
                <w:szCs w:val="21"/>
              </w:rPr>
            </w:pPr>
          </w:p>
        </w:tc>
        <w:tc>
          <w:tcPr>
            <w:tcW w:w="1245" w:type="dxa"/>
            <w:vAlign w:val="center"/>
          </w:tcPr>
          <w:p>
            <w:pPr>
              <w:adjustRightInd w:val="0"/>
              <w:spacing w:line="440" w:lineRule="exact"/>
              <w:jc w:val="center"/>
              <w:textAlignment w:val="baseline"/>
              <w:rPr>
                <w:color w:val="auto"/>
                <w:szCs w:val="21"/>
              </w:rPr>
            </w:pPr>
          </w:p>
        </w:tc>
        <w:tc>
          <w:tcPr>
            <w:tcW w:w="1245" w:type="dxa"/>
            <w:vAlign w:val="center"/>
          </w:tcPr>
          <w:p>
            <w:pPr>
              <w:adjustRightInd w:val="0"/>
              <w:spacing w:line="440" w:lineRule="exact"/>
              <w:jc w:val="center"/>
              <w:textAlignment w:val="baseline"/>
              <w:rPr>
                <w:color w:val="auto"/>
                <w:szCs w:val="21"/>
              </w:rPr>
            </w:pPr>
          </w:p>
        </w:tc>
        <w:tc>
          <w:tcPr>
            <w:tcW w:w="1243" w:type="dxa"/>
            <w:vAlign w:val="center"/>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Pr>
          <w:p>
            <w:pPr>
              <w:adjustRightInd w:val="0"/>
              <w:spacing w:line="440" w:lineRule="exact"/>
              <w:jc w:val="center"/>
              <w:textAlignment w:val="baseline"/>
              <w:rPr>
                <w:color w:val="auto"/>
                <w:szCs w:val="21"/>
              </w:rPr>
            </w:pPr>
          </w:p>
        </w:tc>
        <w:tc>
          <w:tcPr>
            <w:tcW w:w="152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3"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Pr>
          <w:p>
            <w:pPr>
              <w:adjustRightInd w:val="0"/>
              <w:spacing w:line="440" w:lineRule="exact"/>
              <w:jc w:val="center"/>
              <w:textAlignment w:val="baseline"/>
              <w:rPr>
                <w:color w:val="auto"/>
                <w:szCs w:val="21"/>
              </w:rPr>
            </w:pPr>
          </w:p>
        </w:tc>
        <w:tc>
          <w:tcPr>
            <w:tcW w:w="152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3"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Pr>
          <w:p>
            <w:pPr>
              <w:adjustRightInd w:val="0"/>
              <w:spacing w:line="440" w:lineRule="exact"/>
              <w:jc w:val="center"/>
              <w:textAlignment w:val="baseline"/>
              <w:rPr>
                <w:color w:val="auto"/>
                <w:szCs w:val="21"/>
              </w:rPr>
            </w:pPr>
          </w:p>
        </w:tc>
        <w:tc>
          <w:tcPr>
            <w:tcW w:w="152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3"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Pr>
          <w:p>
            <w:pPr>
              <w:adjustRightInd w:val="0"/>
              <w:spacing w:line="440" w:lineRule="exact"/>
              <w:jc w:val="center"/>
              <w:textAlignment w:val="baseline"/>
              <w:rPr>
                <w:color w:val="auto"/>
                <w:szCs w:val="21"/>
              </w:rPr>
            </w:pPr>
          </w:p>
        </w:tc>
        <w:tc>
          <w:tcPr>
            <w:tcW w:w="152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3"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Pr>
          <w:p>
            <w:pPr>
              <w:adjustRightInd w:val="0"/>
              <w:spacing w:line="440" w:lineRule="exact"/>
              <w:jc w:val="center"/>
              <w:textAlignment w:val="baseline"/>
              <w:rPr>
                <w:color w:val="auto"/>
                <w:szCs w:val="21"/>
              </w:rPr>
            </w:pPr>
          </w:p>
        </w:tc>
        <w:tc>
          <w:tcPr>
            <w:tcW w:w="152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3"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Pr>
          <w:p>
            <w:pPr>
              <w:adjustRightInd w:val="0"/>
              <w:spacing w:line="440" w:lineRule="exact"/>
              <w:jc w:val="center"/>
              <w:textAlignment w:val="baseline"/>
              <w:rPr>
                <w:color w:val="auto"/>
                <w:szCs w:val="21"/>
              </w:rPr>
            </w:pPr>
          </w:p>
        </w:tc>
        <w:tc>
          <w:tcPr>
            <w:tcW w:w="152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3"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Pr>
          <w:p>
            <w:pPr>
              <w:adjustRightInd w:val="0"/>
              <w:spacing w:line="440" w:lineRule="exact"/>
              <w:jc w:val="center"/>
              <w:textAlignment w:val="baseline"/>
              <w:rPr>
                <w:color w:val="auto"/>
                <w:szCs w:val="21"/>
              </w:rPr>
            </w:pPr>
          </w:p>
        </w:tc>
        <w:tc>
          <w:tcPr>
            <w:tcW w:w="152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3"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Pr>
          <w:p>
            <w:pPr>
              <w:adjustRightInd w:val="0"/>
              <w:spacing w:line="440" w:lineRule="exact"/>
              <w:jc w:val="center"/>
              <w:textAlignment w:val="baseline"/>
              <w:rPr>
                <w:color w:val="auto"/>
                <w:szCs w:val="21"/>
              </w:rPr>
            </w:pPr>
          </w:p>
        </w:tc>
        <w:tc>
          <w:tcPr>
            <w:tcW w:w="152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3"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Pr>
          <w:p>
            <w:pPr>
              <w:adjustRightInd w:val="0"/>
              <w:spacing w:line="440" w:lineRule="exact"/>
              <w:jc w:val="center"/>
              <w:textAlignment w:val="baseline"/>
              <w:rPr>
                <w:color w:val="auto"/>
                <w:szCs w:val="21"/>
              </w:rPr>
            </w:pPr>
          </w:p>
        </w:tc>
        <w:tc>
          <w:tcPr>
            <w:tcW w:w="152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3"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Pr>
          <w:p>
            <w:pPr>
              <w:adjustRightInd w:val="0"/>
              <w:spacing w:line="440" w:lineRule="exact"/>
              <w:jc w:val="center"/>
              <w:textAlignment w:val="baseline"/>
              <w:rPr>
                <w:color w:val="auto"/>
                <w:szCs w:val="21"/>
              </w:rPr>
            </w:pPr>
          </w:p>
        </w:tc>
        <w:tc>
          <w:tcPr>
            <w:tcW w:w="152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3"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Pr>
          <w:p>
            <w:pPr>
              <w:adjustRightInd w:val="0"/>
              <w:spacing w:line="440" w:lineRule="exact"/>
              <w:jc w:val="center"/>
              <w:textAlignment w:val="baseline"/>
              <w:rPr>
                <w:color w:val="auto"/>
                <w:szCs w:val="21"/>
              </w:rPr>
            </w:pPr>
          </w:p>
        </w:tc>
        <w:tc>
          <w:tcPr>
            <w:tcW w:w="152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3"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Pr>
          <w:p>
            <w:pPr>
              <w:adjustRightInd w:val="0"/>
              <w:spacing w:line="440" w:lineRule="exact"/>
              <w:jc w:val="center"/>
              <w:textAlignment w:val="baseline"/>
              <w:rPr>
                <w:color w:val="auto"/>
                <w:szCs w:val="21"/>
              </w:rPr>
            </w:pPr>
          </w:p>
        </w:tc>
        <w:tc>
          <w:tcPr>
            <w:tcW w:w="152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3"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Pr>
          <w:p>
            <w:pPr>
              <w:adjustRightInd w:val="0"/>
              <w:spacing w:line="440" w:lineRule="exact"/>
              <w:jc w:val="center"/>
              <w:textAlignment w:val="baseline"/>
              <w:rPr>
                <w:color w:val="auto"/>
                <w:szCs w:val="21"/>
              </w:rPr>
            </w:pPr>
          </w:p>
        </w:tc>
        <w:tc>
          <w:tcPr>
            <w:tcW w:w="152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3"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Pr>
          <w:p>
            <w:pPr>
              <w:adjustRightInd w:val="0"/>
              <w:spacing w:line="440" w:lineRule="exact"/>
              <w:jc w:val="center"/>
              <w:textAlignment w:val="baseline"/>
              <w:rPr>
                <w:color w:val="auto"/>
                <w:szCs w:val="21"/>
              </w:rPr>
            </w:pPr>
          </w:p>
        </w:tc>
        <w:tc>
          <w:tcPr>
            <w:tcW w:w="152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3"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Pr>
          <w:p>
            <w:pPr>
              <w:adjustRightInd w:val="0"/>
              <w:spacing w:line="440" w:lineRule="exact"/>
              <w:jc w:val="center"/>
              <w:textAlignment w:val="baseline"/>
              <w:rPr>
                <w:color w:val="auto"/>
                <w:szCs w:val="21"/>
              </w:rPr>
            </w:pPr>
          </w:p>
        </w:tc>
        <w:tc>
          <w:tcPr>
            <w:tcW w:w="152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3"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Pr>
          <w:p>
            <w:pPr>
              <w:adjustRightInd w:val="0"/>
              <w:spacing w:line="440" w:lineRule="exact"/>
              <w:jc w:val="center"/>
              <w:textAlignment w:val="baseline"/>
              <w:rPr>
                <w:color w:val="auto"/>
                <w:szCs w:val="21"/>
              </w:rPr>
            </w:pPr>
          </w:p>
        </w:tc>
        <w:tc>
          <w:tcPr>
            <w:tcW w:w="152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3"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Pr>
          <w:p>
            <w:pPr>
              <w:adjustRightInd w:val="0"/>
              <w:spacing w:line="440" w:lineRule="exact"/>
              <w:jc w:val="center"/>
              <w:textAlignment w:val="baseline"/>
              <w:rPr>
                <w:color w:val="auto"/>
                <w:szCs w:val="21"/>
              </w:rPr>
            </w:pPr>
          </w:p>
        </w:tc>
        <w:tc>
          <w:tcPr>
            <w:tcW w:w="152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3"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Pr>
          <w:p>
            <w:pPr>
              <w:adjustRightInd w:val="0"/>
              <w:spacing w:line="440" w:lineRule="exact"/>
              <w:jc w:val="center"/>
              <w:textAlignment w:val="baseline"/>
              <w:rPr>
                <w:color w:val="auto"/>
                <w:szCs w:val="21"/>
              </w:rPr>
            </w:pPr>
          </w:p>
        </w:tc>
        <w:tc>
          <w:tcPr>
            <w:tcW w:w="152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3"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Pr>
          <w:p>
            <w:pPr>
              <w:adjustRightInd w:val="0"/>
              <w:spacing w:line="440" w:lineRule="exact"/>
              <w:jc w:val="center"/>
              <w:textAlignment w:val="baseline"/>
              <w:rPr>
                <w:color w:val="auto"/>
                <w:szCs w:val="21"/>
              </w:rPr>
            </w:pPr>
          </w:p>
        </w:tc>
        <w:tc>
          <w:tcPr>
            <w:tcW w:w="152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3"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Pr>
          <w:p>
            <w:pPr>
              <w:adjustRightInd w:val="0"/>
              <w:spacing w:line="440" w:lineRule="exact"/>
              <w:jc w:val="center"/>
              <w:textAlignment w:val="baseline"/>
              <w:rPr>
                <w:color w:val="auto"/>
                <w:szCs w:val="21"/>
              </w:rPr>
            </w:pPr>
          </w:p>
        </w:tc>
        <w:tc>
          <w:tcPr>
            <w:tcW w:w="152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3"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Pr>
          <w:p>
            <w:pPr>
              <w:adjustRightInd w:val="0"/>
              <w:spacing w:line="440" w:lineRule="exact"/>
              <w:jc w:val="center"/>
              <w:textAlignment w:val="baseline"/>
              <w:rPr>
                <w:color w:val="auto"/>
                <w:szCs w:val="21"/>
              </w:rPr>
            </w:pPr>
          </w:p>
        </w:tc>
        <w:tc>
          <w:tcPr>
            <w:tcW w:w="152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3"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Pr>
          <w:p>
            <w:pPr>
              <w:adjustRightInd w:val="0"/>
              <w:spacing w:line="440" w:lineRule="exact"/>
              <w:jc w:val="center"/>
              <w:textAlignment w:val="baseline"/>
              <w:rPr>
                <w:color w:val="auto"/>
                <w:szCs w:val="21"/>
              </w:rPr>
            </w:pPr>
          </w:p>
        </w:tc>
        <w:tc>
          <w:tcPr>
            <w:tcW w:w="152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3"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Pr>
          <w:p>
            <w:pPr>
              <w:adjustRightInd w:val="0"/>
              <w:spacing w:line="440" w:lineRule="exact"/>
              <w:jc w:val="center"/>
              <w:textAlignment w:val="baseline"/>
              <w:rPr>
                <w:color w:val="auto"/>
                <w:szCs w:val="21"/>
              </w:rPr>
            </w:pPr>
          </w:p>
        </w:tc>
        <w:tc>
          <w:tcPr>
            <w:tcW w:w="152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3" w:type="dxa"/>
          </w:tcPr>
          <w:p>
            <w:pPr>
              <w:adjustRightInd w:val="0"/>
              <w:spacing w:line="440" w:lineRule="exact"/>
              <w:jc w:val="center"/>
              <w:textAlignment w:val="baseline"/>
              <w:rPr>
                <w:color w:val="auto"/>
                <w:szCs w:val="21"/>
              </w:rPr>
            </w:pPr>
          </w:p>
        </w:tc>
      </w:tr>
    </w:tbl>
    <w:p>
      <w:pPr>
        <w:spacing w:line="440" w:lineRule="exact"/>
        <w:rPr>
          <w:rFonts w:eastAsia="黑体"/>
          <w:color w:val="auto"/>
          <w:sz w:val="20"/>
          <w:szCs w:val="20"/>
        </w:rPr>
      </w:pPr>
    </w:p>
    <w:p>
      <w:pPr>
        <w:spacing w:line="440" w:lineRule="exact"/>
        <w:rPr>
          <w:rFonts w:eastAsia="黑体"/>
          <w:color w:val="auto"/>
          <w:sz w:val="20"/>
          <w:szCs w:val="20"/>
        </w:rPr>
      </w:pPr>
    </w:p>
    <w:p>
      <w:pPr>
        <w:topLinePunct/>
        <w:spacing w:line="440" w:lineRule="exact"/>
        <w:jc w:val="center"/>
        <w:rPr>
          <w:color w:val="auto"/>
        </w:rPr>
      </w:pPr>
    </w:p>
    <w:p>
      <w:pPr>
        <w:pStyle w:val="69"/>
        <w:rPr>
          <w:color w:val="auto"/>
        </w:rPr>
      </w:pPr>
      <w:r>
        <w:rPr>
          <w:color w:val="auto"/>
        </w:rPr>
        <w:t>附表四：计划开、</w:t>
      </w:r>
      <w:r>
        <w:rPr>
          <w:rFonts w:hint="eastAsia"/>
          <w:color w:val="auto"/>
        </w:rPr>
        <w:t>竣工</w:t>
      </w:r>
      <w:r>
        <w:rPr>
          <w:color w:val="auto"/>
        </w:rPr>
        <w:t>日期和施工进度网络图</w:t>
      </w:r>
    </w:p>
    <w:p>
      <w:pPr>
        <w:spacing w:line="440" w:lineRule="exact"/>
        <w:rPr>
          <w:rFonts w:eastAsia="黑体"/>
          <w:color w:val="auto"/>
          <w:sz w:val="20"/>
          <w:szCs w:val="20"/>
        </w:rPr>
      </w:pPr>
    </w:p>
    <w:p>
      <w:pPr>
        <w:spacing w:line="440" w:lineRule="exact"/>
        <w:ind w:firstLine="406" w:firstLineChars="200"/>
        <w:rPr>
          <w:color w:val="auto"/>
          <w:szCs w:val="21"/>
        </w:rPr>
      </w:pPr>
      <w:r>
        <w:rPr>
          <w:color w:val="auto"/>
          <w:szCs w:val="21"/>
        </w:rPr>
        <w:t>投标人应递交施工进度网络图，说明按招标文件要求的计划工期进行施工的各个关键日期。</w:t>
      </w:r>
    </w:p>
    <w:p>
      <w:pPr>
        <w:spacing w:line="440" w:lineRule="exact"/>
        <w:rPr>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pStyle w:val="69"/>
        <w:rPr>
          <w:color w:val="auto"/>
        </w:rPr>
      </w:pPr>
      <w:r>
        <w:rPr>
          <w:color w:val="auto"/>
        </w:rPr>
        <w:br w:type="page"/>
      </w:r>
      <w:r>
        <w:rPr>
          <w:color w:val="auto"/>
        </w:rPr>
        <w:t>附表五：施工总平面图</w:t>
      </w:r>
    </w:p>
    <w:p>
      <w:pPr>
        <w:spacing w:line="440" w:lineRule="exact"/>
        <w:rPr>
          <w:rFonts w:eastAsia="黑体"/>
          <w:color w:val="auto"/>
          <w:sz w:val="20"/>
          <w:szCs w:val="20"/>
        </w:rPr>
      </w:pPr>
      <w:r>
        <w:rPr>
          <w:rFonts w:eastAsia="黑体"/>
          <w:color w:val="auto"/>
          <w:sz w:val="20"/>
          <w:szCs w:val="20"/>
        </w:rPr>
        <w:tab/>
      </w:r>
    </w:p>
    <w:p>
      <w:pPr>
        <w:spacing w:line="440" w:lineRule="exact"/>
        <w:ind w:firstLine="406" w:firstLineChars="200"/>
        <w:rPr>
          <w:color w:val="auto"/>
          <w:szCs w:val="21"/>
        </w:rPr>
      </w:pPr>
      <w:r>
        <w:rPr>
          <w:color w:val="auto"/>
          <w:szCs w:val="21"/>
        </w:rPr>
        <w:t>投标人应递交一份施工总平面图，绘出现场临时设施布置图表并附文字说明，说明临时设施、加工车间、现场办公、设备及仓储、供电、供水、卫生、生活、道路、消防等设施的情况和布置。</w:t>
      </w: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pStyle w:val="69"/>
        <w:rPr>
          <w:color w:val="auto"/>
          <w:szCs w:val="23"/>
        </w:rPr>
      </w:pPr>
      <w:r>
        <w:rPr>
          <w:color w:val="auto"/>
          <w:szCs w:val="23"/>
        </w:rPr>
        <w:t>附表六</w:t>
      </w:r>
      <w:r>
        <w:rPr>
          <w:rFonts w:hint="eastAsia"/>
          <w:color w:val="auto"/>
          <w:szCs w:val="23"/>
        </w:rPr>
        <w:t>：</w:t>
      </w:r>
      <w:r>
        <w:rPr>
          <w:color w:val="auto"/>
          <w:szCs w:val="23"/>
        </w:rPr>
        <w:t>临时用地表</w:t>
      </w:r>
    </w:p>
    <w:p>
      <w:pPr>
        <w:spacing w:line="440" w:lineRule="exact"/>
        <w:jc w:val="center"/>
        <w:rPr>
          <w:color w:val="auto"/>
          <w:sz w:val="23"/>
          <w:szCs w:val="23"/>
        </w:rPr>
      </w:pPr>
    </w:p>
    <w:tbl>
      <w:tblPr>
        <w:tblStyle w:val="37"/>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0"/>
        <w:gridCol w:w="2490"/>
        <w:gridCol w:w="2491"/>
        <w:gridCol w:w="2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jc w:val="center"/>
              <w:textAlignment w:val="baseline"/>
              <w:rPr>
                <w:color w:val="auto"/>
                <w:szCs w:val="21"/>
              </w:rPr>
            </w:pPr>
            <w:r>
              <w:rPr>
                <w:color w:val="auto"/>
                <w:szCs w:val="21"/>
              </w:rPr>
              <w:t>用 途</w:t>
            </w:r>
          </w:p>
        </w:tc>
        <w:tc>
          <w:tcPr>
            <w:tcW w:w="2490" w:type="dxa"/>
          </w:tcPr>
          <w:p>
            <w:pPr>
              <w:adjustRightInd w:val="0"/>
              <w:spacing w:line="440" w:lineRule="exact"/>
              <w:jc w:val="center"/>
              <w:textAlignment w:val="baseline"/>
              <w:rPr>
                <w:color w:val="auto"/>
                <w:szCs w:val="21"/>
              </w:rPr>
            </w:pPr>
            <w:r>
              <w:rPr>
                <w:color w:val="auto"/>
                <w:szCs w:val="21"/>
              </w:rPr>
              <w:t>面 积（平方米）</w:t>
            </w:r>
          </w:p>
        </w:tc>
        <w:tc>
          <w:tcPr>
            <w:tcW w:w="2491" w:type="dxa"/>
          </w:tcPr>
          <w:p>
            <w:pPr>
              <w:adjustRightInd w:val="0"/>
              <w:spacing w:line="440" w:lineRule="exact"/>
              <w:jc w:val="center"/>
              <w:textAlignment w:val="baseline"/>
              <w:rPr>
                <w:color w:val="auto"/>
                <w:szCs w:val="21"/>
              </w:rPr>
            </w:pPr>
            <w:r>
              <w:rPr>
                <w:color w:val="auto"/>
                <w:szCs w:val="21"/>
              </w:rPr>
              <w:t>位 置</w:t>
            </w:r>
          </w:p>
        </w:tc>
        <w:tc>
          <w:tcPr>
            <w:tcW w:w="2491" w:type="dxa"/>
          </w:tcPr>
          <w:p>
            <w:pPr>
              <w:adjustRightInd w:val="0"/>
              <w:spacing w:line="440" w:lineRule="exact"/>
              <w:jc w:val="center"/>
              <w:textAlignment w:val="baseline"/>
              <w:rPr>
                <w:color w:val="auto"/>
                <w:szCs w:val="21"/>
              </w:rPr>
            </w:pPr>
            <w:r>
              <w:rPr>
                <w:color w:val="auto"/>
                <w:szCs w:val="21"/>
              </w:rPr>
              <w:t>需用时间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bl>
    <w:p>
      <w:pPr>
        <w:spacing w:line="440" w:lineRule="exact"/>
        <w:jc w:val="center"/>
        <w:rPr>
          <w:rFonts w:eastAsia="黑体"/>
          <w:color w:val="auto"/>
          <w:sz w:val="27"/>
          <w:szCs w:val="27"/>
        </w:rPr>
      </w:pPr>
    </w:p>
    <w:p>
      <w:pPr>
        <w:topLinePunct/>
        <w:spacing w:line="440" w:lineRule="exact"/>
        <w:rPr>
          <w:color w:val="auto"/>
        </w:rPr>
      </w:pPr>
    </w:p>
    <w:p>
      <w:pPr>
        <w:pStyle w:val="66"/>
        <w:jc w:val="center"/>
        <w:rPr>
          <w:color w:val="auto"/>
        </w:rPr>
      </w:pPr>
      <w:bookmarkStart w:id="231" w:name="_Toc10256_WPSOffice_Level1"/>
      <w:r>
        <w:rPr>
          <w:rFonts w:hint="eastAsia"/>
          <w:color w:val="auto"/>
        </w:rPr>
        <w:t>六</w:t>
      </w:r>
      <w:r>
        <w:rPr>
          <w:color w:val="auto"/>
        </w:rPr>
        <w:t>、项目管理机构</w:t>
      </w:r>
      <w:bookmarkEnd w:id="231"/>
    </w:p>
    <w:p>
      <w:pPr>
        <w:pStyle w:val="69"/>
        <w:spacing w:line="440" w:lineRule="exact"/>
        <w:rPr>
          <w:rFonts w:ascii="宋体" w:hAnsi="宋体" w:eastAsia="宋体"/>
          <w:b/>
          <w:color w:val="auto"/>
          <w:szCs w:val="24"/>
        </w:rPr>
      </w:pPr>
      <w:r>
        <w:rPr>
          <w:rFonts w:ascii="宋体" w:hAnsi="宋体" w:eastAsia="宋体"/>
          <w:b/>
          <w:color w:val="auto"/>
          <w:szCs w:val="24"/>
        </w:rPr>
        <w:t>（</w:t>
      </w:r>
      <w:r>
        <w:rPr>
          <w:rFonts w:hint="eastAsia" w:ascii="宋体" w:hAnsi="宋体" w:eastAsia="宋体"/>
          <w:b/>
          <w:color w:val="auto"/>
          <w:szCs w:val="24"/>
        </w:rPr>
        <w:t>一</w:t>
      </w:r>
      <w:r>
        <w:rPr>
          <w:rFonts w:ascii="宋体" w:hAnsi="宋体" w:eastAsia="宋体"/>
          <w:b/>
          <w:color w:val="auto"/>
          <w:szCs w:val="24"/>
        </w:rPr>
        <w:t>）主要人员简历表</w:t>
      </w:r>
    </w:p>
    <w:p>
      <w:pPr>
        <w:spacing w:line="440" w:lineRule="exact"/>
        <w:rPr>
          <w:rFonts w:ascii="宋体" w:hAnsi="宋体"/>
          <w:color w:val="auto"/>
          <w:sz w:val="24"/>
        </w:rPr>
      </w:pPr>
      <w:r>
        <w:rPr>
          <w:rFonts w:hint="eastAsia" w:ascii="宋体" w:hAnsi="宋体"/>
          <w:color w:val="auto"/>
          <w:sz w:val="24"/>
        </w:rPr>
        <w:t>附1：项目经理简历表</w:t>
      </w:r>
    </w:p>
    <w:p>
      <w:pPr>
        <w:spacing w:line="440" w:lineRule="exact"/>
        <w:rPr>
          <w:rFonts w:ascii="宋体" w:hAnsi="宋体"/>
          <w:color w:val="auto"/>
          <w:sz w:val="24"/>
        </w:rPr>
      </w:pPr>
      <w:r>
        <w:rPr>
          <w:rFonts w:hint="eastAsia" w:ascii="宋体" w:hAnsi="宋体"/>
          <w:color w:val="auto"/>
          <w:sz w:val="24"/>
        </w:rPr>
        <w:t>项目经理应附注册建造师证书、安全生产考核合格证书、身份证、社保证明扫描件。</w:t>
      </w:r>
    </w:p>
    <w:tbl>
      <w:tblPr>
        <w:tblStyle w:val="37"/>
        <w:tblW w:w="89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5"/>
        <w:gridCol w:w="250"/>
        <w:gridCol w:w="882"/>
        <w:gridCol w:w="972"/>
        <w:gridCol w:w="1117"/>
        <w:gridCol w:w="148"/>
        <w:gridCol w:w="1917"/>
        <w:gridCol w:w="169"/>
        <w:gridCol w:w="2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245" w:type="dxa"/>
            <w:vAlign w:val="center"/>
          </w:tcPr>
          <w:p>
            <w:pPr>
              <w:spacing w:line="440" w:lineRule="exact"/>
              <w:jc w:val="center"/>
              <w:rPr>
                <w:rFonts w:ascii="宋体" w:hAnsi="宋体"/>
                <w:color w:val="auto"/>
                <w:sz w:val="24"/>
              </w:rPr>
            </w:pPr>
            <w:r>
              <w:rPr>
                <w:rFonts w:ascii="宋体" w:hAnsi="宋体"/>
                <w:color w:val="auto"/>
                <w:sz w:val="24"/>
              </w:rPr>
              <w:t>姓  名</w:t>
            </w:r>
          </w:p>
        </w:tc>
        <w:tc>
          <w:tcPr>
            <w:tcW w:w="1132" w:type="dxa"/>
            <w:gridSpan w:val="2"/>
            <w:vAlign w:val="center"/>
          </w:tcPr>
          <w:p>
            <w:pPr>
              <w:spacing w:line="440" w:lineRule="exact"/>
              <w:jc w:val="center"/>
              <w:rPr>
                <w:rFonts w:ascii="宋体" w:hAnsi="宋体"/>
                <w:color w:val="auto"/>
                <w:sz w:val="24"/>
              </w:rPr>
            </w:pPr>
          </w:p>
        </w:tc>
        <w:tc>
          <w:tcPr>
            <w:tcW w:w="972" w:type="dxa"/>
            <w:vAlign w:val="center"/>
          </w:tcPr>
          <w:p>
            <w:pPr>
              <w:spacing w:line="440" w:lineRule="exact"/>
              <w:jc w:val="center"/>
              <w:rPr>
                <w:rFonts w:ascii="宋体" w:hAnsi="宋体"/>
                <w:color w:val="auto"/>
                <w:sz w:val="24"/>
              </w:rPr>
            </w:pPr>
            <w:r>
              <w:rPr>
                <w:rFonts w:ascii="宋体" w:hAnsi="宋体"/>
                <w:color w:val="auto"/>
                <w:sz w:val="24"/>
              </w:rPr>
              <w:t>年 龄</w:t>
            </w:r>
          </w:p>
        </w:tc>
        <w:tc>
          <w:tcPr>
            <w:tcW w:w="1117" w:type="dxa"/>
            <w:vAlign w:val="center"/>
          </w:tcPr>
          <w:p>
            <w:pPr>
              <w:spacing w:line="440" w:lineRule="exact"/>
              <w:jc w:val="center"/>
              <w:rPr>
                <w:rFonts w:ascii="宋体" w:hAnsi="宋体"/>
                <w:color w:val="auto"/>
                <w:sz w:val="24"/>
              </w:rPr>
            </w:pPr>
          </w:p>
        </w:tc>
        <w:tc>
          <w:tcPr>
            <w:tcW w:w="2234" w:type="dxa"/>
            <w:gridSpan w:val="3"/>
            <w:vAlign w:val="center"/>
          </w:tcPr>
          <w:p>
            <w:pPr>
              <w:spacing w:line="440" w:lineRule="exact"/>
              <w:jc w:val="center"/>
              <w:rPr>
                <w:rFonts w:ascii="宋体" w:hAnsi="宋体"/>
                <w:color w:val="auto"/>
                <w:sz w:val="24"/>
              </w:rPr>
            </w:pPr>
            <w:r>
              <w:rPr>
                <w:rFonts w:ascii="宋体" w:hAnsi="宋体"/>
                <w:color w:val="auto"/>
                <w:sz w:val="24"/>
              </w:rPr>
              <w:t>学历</w:t>
            </w:r>
          </w:p>
        </w:tc>
        <w:tc>
          <w:tcPr>
            <w:tcW w:w="2241" w:type="dxa"/>
            <w:vAlign w:val="center"/>
          </w:tcPr>
          <w:p>
            <w:pPr>
              <w:spacing w:line="440" w:lineRule="exact"/>
              <w:jc w:val="center"/>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245" w:type="dxa"/>
            <w:vAlign w:val="center"/>
          </w:tcPr>
          <w:p>
            <w:pPr>
              <w:spacing w:line="440" w:lineRule="exact"/>
              <w:jc w:val="center"/>
              <w:rPr>
                <w:rFonts w:ascii="宋体" w:hAnsi="宋体"/>
                <w:color w:val="auto"/>
                <w:sz w:val="24"/>
              </w:rPr>
            </w:pPr>
            <w:r>
              <w:rPr>
                <w:rFonts w:ascii="宋体" w:hAnsi="宋体"/>
                <w:color w:val="auto"/>
                <w:sz w:val="24"/>
              </w:rPr>
              <w:t>职  称</w:t>
            </w:r>
          </w:p>
        </w:tc>
        <w:tc>
          <w:tcPr>
            <w:tcW w:w="1132" w:type="dxa"/>
            <w:gridSpan w:val="2"/>
            <w:vAlign w:val="center"/>
          </w:tcPr>
          <w:p>
            <w:pPr>
              <w:spacing w:line="440" w:lineRule="exact"/>
              <w:jc w:val="center"/>
              <w:rPr>
                <w:rFonts w:ascii="宋体" w:hAnsi="宋体"/>
                <w:color w:val="auto"/>
                <w:sz w:val="24"/>
              </w:rPr>
            </w:pPr>
          </w:p>
        </w:tc>
        <w:tc>
          <w:tcPr>
            <w:tcW w:w="972" w:type="dxa"/>
            <w:vAlign w:val="center"/>
          </w:tcPr>
          <w:p>
            <w:pPr>
              <w:spacing w:line="440" w:lineRule="exact"/>
              <w:jc w:val="center"/>
              <w:rPr>
                <w:rFonts w:ascii="宋体" w:hAnsi="宋体"/>
                <w:color w:val="auto"/>
                <w:sz w:val="24"/>
              </w:rPr>
            </w:pPr>
            <w:r>
              <w:rPr>
                <w:rFonts w:ascii="宋体" w:hAnsi="宋体"/>
                <w:color w:val="auto"/>
                <w:sz w:val="24"/>
              </w:rPr>
              <w:t>职 务</w:t>
            </w:r>
          </w:p>
        </w:tc>
        <w:tc>
          <w:tcPr>
            <w:tcW w:w="1117" w:type="dxa"/>
            <w:vAlign w:val="center"/>
          </w:tcPr>
          <w:p>
            <w:pPr>
              <w:spacing w:line="440" w:lineRule="exact"/>
              <w:jc w:val="center"/>
              <w:rPr>
                <w:rFonts w:ascii="宋体" w:hAnsi="宋体"/>
                <w:color w:val="auto"/>
                <w:sz w:val="24"/>
              </w:rPr>
            </w:pPr>
          </w:p>
        </w:tc>
        <w:tc>
          <w:tcPr>
            <w:tcW w:w="2234" w:type="dxa"/>
            <w:gridSpan w:val="3"/>
            <w:vAlign w:val="center"/>
          </w:tcPr>
          <w:p>
            <w:pPr>
              <w:spacing w:line="440" w:lineRule="exact"/>
              <w:jc w:val="center"/>
              <w:rPr>
                <w:rFonts w:ascii="宋体" w:hAnsi="宋体"/>
                <w:color w:val="auto"/>
                <w:sz w:val="24"/>
              </w:rPr>
            </w:pPr>
            <w:r>
              <w:rPr>
                <w:rFonts w:ascii="宋体" w:hAnsi="宋体"/>
                <w:color w:val="auto"/>
                <w:sz w:val="24"/>
              </w:rPr>
              <w:t>拟在本合同任职</w:t>
            </w:r>
          </w:p>
        </w:tc>
        <w:tc>
          <w:tcPr>
            <w:tcW w:w="2241" w:type="dxa"/>
            <w:vAlign w:val="center"/>
          </w:tcPr>
          <w:p>
            <w:pPr>
              <w:spacing w:line="440" w:lineRule="exact"/>
              <w:jc w:val="center"/>
              <w:rPr>
                <w:rFonts w:ascii="宋体" w:hAnsi="宋体"/>
                <w:color w:val="auto"/>
                <w:sz w:val="24"/>
              </w:rPr>
            </w:pPr>
            <w:r>
              <w:rPr>
                <w:rFonts w:hint="eastAsia" w:ascii="宋体" w:hAnsi="宋体"/>
                <w:color w:val="auto"/>
                <w:sz w:val="24"/>
              </w:rPr>
              <w:t>项目经理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3349" w:type="dxa"/>
            <w:gridSpan w:val="4"/>
            <w:vAlign w:val="center"/>
          </w:tcPr>
          <w:p>
            <w:pPr>
              <w:spacing w:line="440" w:lineRule="exact"/>
              <w:jc w:val="center"/>
              <w:rPr>
                <w:rFonts w:ascii="宋体" w:hAnsi="宋体"/>
                <w:color w:val="auto"/>
                <w:sz w:val="24"/>
              </w:rPr>
            </w:pPr>
            <w:r>
              <w:rPr>
                <w:rFonts w:hint="eastAsia" w:ascii="宋体" w:hAnsi="宋体"/>
                <w:color w:val="auto"/>
                <w:sz w:val="24"/>
              </w:rPr>
              <w:t>注册建造师执业资格等级</w:t>
            </w:r>
          </w:p>
        </w:tc>
        <w:tc>
          <w:tcPr>
            <w:tcW w:w="1117" w:type="dxa"/>
            <w:vAlign w:val="center"/>
          </w:tcPr>
          <w:p>
            <w:pPr>
              <w:spacing w:line="440" w:lineRule="exact"/>
              <w:jc w:val="center"/>
              <w:rPr>
                <w:rFonts w:ascii="宋体" w:hAnsi="宋体"/>
                <w:color w:val="auto"/>
                <w:sz w:val="24"/>
              </w:rPr>
            </w:pPr>
            <w:r>
              <w:rPr>
                <w:rFonts w:hint="eastAsia" w:ascii="宋体" w:hAnsi="宋体"/>
                <w:color w:val="auto"/>
                <w:sz w:val="24"/>
              </w:rPr>
              <w:t xml:space="preserve">   级</w:t>
            </w:r>
          </w:p>
        </w:tc>
        <w:tc>
          <w:tcPr>
            <w:tcW w:w="2234" w:type="dxa"/>
            <w:gridSpan w:val="3"/>
            <w:vAlign w:val="center"/>
          </w:tcPr>
          <w:p>
            <w:pPr>
              <w:spacing w:line="440" w:lineRule="exact"/>
              <w:jc w:val="center"/>
              <w:rPr>
                <w:rFonts w:ascii="宋体" w:hAnsi="宋体"/>
                <w:color w:val="auto"/>
                <w:sz w:val="24"/>
              </w:rPr>
            </w:pPr>
            <w:r>
              <w:rPr>
                <w:rFonts w:hint="eastAsia" w:ascii="宋体" w:hAnsi="宋体"/>
                <w:color w:val="auto"/>
                <w:sz w:val="24"/>
              </w:rPr>
              <w:t>建造师专业</w:t>
            </w:r>
          </w:p>
        </w:tc>
        <w:tc>
          <w:tcPr>
            <w:tcW w:w="2241" w:type="dxa"/>
            <w:vAlign w:val="center"/>
          </w:tcPr>
          <w:p>
            <w:pPr>
              <w:spacing w:line="440" w:lineRule="exact"/>
              <w:jc w:val="center"/>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3349" w:type="dxa"/>
            <w:gridSpan w:val="4"/>
            <w:vAlign w:val="center"/>
          </w:tcPr>
          <w:p>
            <w:pPr>
              <w:spacing w:line="440" w:lineRule="exact"/>
              <w:jc w:val="center"/>
              <w:rPr>
                <w:rFonts w:ascii="宋体" w:hAnsi="宋体"/>
                <w:color w:val="auto"/>
                <w:sz w:val="24"/>
              </w:rPr>
            </w:pPr>
            <w:r>
              <w:rPr>
                <w:rFonts w:hint="eastAsia" w:ascii="宋体" w:hAnsi="宋体"/>
                <w:color w:val="auto"/>
                <w:sz w:val="24"/>
              </w:rPr>
              <w:t>安全生产考核合格证书</w:t>
            </w:r>
          </w:p>
        </w:tc>
        <w:tc>
          <w:tcPr>
            <w:tcW w:w="5592" w:type="dxa"/>
            <w:gridSpan w:val="5"/>
            <w:vAlign w:val="center"/>
          </w:tcPr>
          <w:p>
            <w:pPr>
              <w:spacing w:line="440" w:lineRule="exact"/>
              <w:jc w:val="center"/>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3349" w:type="dxa"/>
            <w:gridSpan w:val="4"/>
            <w:vAlign w:val="center"/>
          </w:tcPr>
          <w:p>
            <w:pPr>
              <w:spacing w:line="440" w:lineRule="exact"/>
              <w:jc w:val="center"/>
              <w:rPr>
                <w:rFonts w:ascii="宋体" w:hAnsi="宋体"/>
                <w:color w:val="auto"/>
                <w:sz w:val="24"/>
              </w:rPr>
            </w:pPr>
            <w:r>
              <w:rPr>
                <w:rFonts w:hint="eastAsia" w:ascii="宋体" w:hAnsi="宋体"/>
                <w:color w:val="auto"/>
                <w:sz w:val="24"/>
              </w:rPr>
              <w:t>毕业学校</w:t>
            </w:r>
          </w:p>
        </w:tc>
        <w:tc>
          <w:tcPr>
            <w:tcW w:w="5592" w:type="dxa"/>
            <w:gridSpan w:val="5"/>
            <w:vAlign w:val="center"/>
          </w:tcPr>
          <w:p>
            <w:pPr>
              <w:spacing w:line="440" w:lineRule="exact"/>
              <w:jc w:val="left"/>
              <w:rPr>
                <w:rFonts w:ascii="宋体" w:hAnsi="宋体"/>
                <w:color w:val="auto"/>
                <w:sz w:val="24"/>
              </w:rPr>
            </w:pPr>
            <w:r>
              <w:rPr>
                <w:rFonts w:hint="eastAsia" w:ascii="宋体" w:hAnsi="宋体"/>
                <w:color w:val="auto"/>
                <w:sz w:val="24"/>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8941" w:type="dxa"/>
            <w:gridSpan w:val="9"/>
            <w:vAlign w:val="center"/>
          </w:tcPr>
          <w:p>
            <w:pPr>
              <w:spacing w:line="440" w:lineRule="exact"/>
              <w:jc w:val="center"/>
              <w:rPr>
                <w:rFonts w:ascii="宋体" w:hAnsi="宋体"/>
                <w:color w:val="auto"/>
                <w:sz w:val="24"/>
              </w:rPr>
            </w:pPr>
            <w:r>
              <w:rPr>
                <w:rFonts w:ascii="宋体" w:hAnsi="宋体"/>
                <w:color w:val="auto"/>
                <w:sz w:val="24"/>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 w:hRule="atLeast"/>
          <w:jc w:val="center"/>
        </w:trPr>
        <w:tc>
          <w:tcPr>
            <w:tcW w:w="1495" w:type="dxa"/>
            <w:gridSpan w:val="2"/>
            <w:vAlign w:val="center"/>
          </w:tcPr>
          <w:p>
            <w:pPr>
              <w:spacing w:line="440" w:lineRule="exact"/>
              <w:jc w:val="center"/>
              <w:rPr>
                <w:rFonts w:ascii="宋体" w:hAnsi="宋体"/>
                <w:color w:val="auto"/>
                <w:sz w:val="24"/>
              </w:rPr>
            </w:pPr>
            <w:r>
              <w:rPr>
                <w:rFonts w:ascii="宋体" w:hAnsi="宋体"/>
                <w:color w:val="auto"/>
                <w:sz w:val="24"/>
              </w:rPr>
              <w:t>时  间</w:t>
            </w:r>
          </w:p>
        </w:tc>
        <w:tc>
          <w:tcPr>
            <w:tcW w:w="3119" w:type="dxa"/>
            <w:gridSpan w:val="4"/>
            <w:vAlign w:val="center"/>
          </w:tcPr>
          <w:p>
            <w:pPr>
              <w:spacing w:line="440" w:lineRule="exact"/>
              <w:jc w:val="center"/>
              <w:rPr>
                <w:rFonts w:ascii="宋体" w:hAnsi="宋体"/>
                <w:color w:val="auto"/>
                <w:sz w:val="24"/>
              </w:rPr>
            </w:pPr>
            <w:r>
              <w:rPr>
                <w:rFonts w:ascii="宋体" w:hAnsi="宋体"/>
                <w:color w:val="auto"/>
                <w:sz w:val="24"/>
              </w:rPr>
              <w:t>参加过的类似项目</w:t>
            </w:r>
            <w:r>
              <w:rPr>
                <w:rFonts w:hint="eastAsia" w:ascii="宋体" w:hAnsi="宋体"/>
                <w:color w:val="auto"/>
                <w:sz w:val="24"/>
              </w:rPr>
              <w:t>名称</w:t>
            </w:r>
          </w:p>
        </w:tc>
        <w:tc>
          <w:tcPr>
            <w:tcW w:w="1917" w:type="dxa"/>
            <w:vAlign w:val="center"/>
          </w:tcPr>
          <w:p>
            <w:pPr>
              <w:spacing w:line="440" w:lineRule="exact"/>
              <w:rPr>
                <w:rFonts w:ascii="宋体" w:hAnsi="宋体"/>
                <w:color w:val="auto"/>
                <w:sz w:val="24"/>
              </w:rPr>
            </w:pPr>
            <w:r>
              <w:rPr>
                <w:rFonts w:hint="eastAsia" w:ascii="宋体" w:hAnsi="宋体"/>
                <w:color w:val="auto"/>
                <w:sz w:val="24"/>
              </w:rPr>
              <w:t>工程概况说明</w:t>
            </w:r>
          </w:p>
        </w:tc>
        <w:tc>
          <w:tcPr>
            <w:tcW w:w="2410" w:type="dxa"/>
            <w:gridSpan w:val="2"/>
            <w:vAlign w:val="center"/>
          </w:tcPr>
          <w:p>
            <w:pPr>
              <w:spacing w:line="440" w:lineRule="exact"/>
              <w:jc w:val="center"/>
              <w:rPr>
                <w:rFonts w:ascii="宋体" w:hAnsi="宋体"/>
                <w:color w:val="auto"/>
                <w:sz w:val="24"/>
              </w:rPr>
            </w:pPr>
            <w:r>
              <w:rPr>
                <w:rFonts w:ascii="宋体" w:hAnsi="宋体"/>
                <w:color w:val="auto"/>
                <w:sz w:val="24"/>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1495" w:type="dxa"/>
            <w:gridSpan w:val="2"/>
          </w:tcPr>
          <w:p>
            <w:pPr>
              <w:spacing w:line="440" w:lineRule="exact"/>
              <w:rPr>
                <w:rFonts w:ascii="宋体" w:hAnsi="宋体"/>
                <w:color w:val="auto"/>
                <w:sz w:val="24"/>
              </w:rPr>
            </w:pPr>
          </w:p>
        </w:tc>
        <w:tc>
          <w:tcPr>
            <w:tcW w:w="3119" w:type="dxa"/>
            <w:gridSpan w:val="4"/>
          </w:tcPr>
          <w:p>
            <w:pPr>
              <w:spacing w:line="440" w:lineRule="exact"/>
              <w:rPr>
                <w:rFonts w:ascii="宋体" w:hAnsi="宋体"/>
                <w:color w:val="auto"/>
                <w:sz w:val="24"/>
              </w:rPr>
            </w:pPr>
          </w:p>
        </w:tc>
        <w:tc>
          <w:tcPr>
            <w:tcW w:w="1917" w:type="dxa"/>
          </w:tcPr>
          <w:p>
            <w:pPr>
              <w:spacing w:line="440" w:lineRule="exact"/>
              <w:rPr>
                <w:rFonts w:ascii="宋体" w:hAnsi="宋体"/>
                <w:color w:val="auto"/>
                <w:sz w:val="24"/>
              </w:rPr>
            </w:pPr>
          </w:p>
        </w:tc>
        <w:tc>
          <w:tcPr>
            <w:tcW w:w="2410" w:type="dxa"/>
            <w:gridSpan w:val="2"/>
          </w:tcPr>
          <w:p>
            <w:pPr>
              <w:spacing w:line="440" w:lineRule="exact"/>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1495" w:type="dxa"/>
            <w:gridSpan w:val="2"/>
          </w:tcPr>
          <w:p>
            <w:pPr>
              <w:spacing w:line="440" w:lineRule="exact"/>
              <w:rPr>
                <w:rFonts w:ascii="宋体" w:hAnsi="宋体"/>
                <w:color w:val="auto"/>
                <w:sz w:val="24"/>
              </w:rPr>
            </w:pPr>
          </w:p>
        </w:tc>
        <w:tc>
          <w:tcPr>
            <w:tcW w:w="3119" w:type="dxa"/>
            <w:gridSpan w:val="4"/>
          </w:tcPr>
          <w:p>
            <w:pPr>
              <w:spacing w:line="440" w:lineRule="exact"/>
              <w:rPr>
                <w:rFonts w:ascii="宋体" w:hAnsi="宋体"/>
                <w:color w:val="auto"/>
                <w:sz w:val="24"/>
              </w:rPr>
            </w:pPr>
          </w:p>
        </w:tc>
        <w:tc>
          <w:tcPr>
            <w:tcW w:w="1917" w:type="dxa"/>
          </w:tcPr>
          <w:p>
            <w:pPr>
              <w:spacing w:line="440" w:lineRule="exact"/>
              <w:rPr>
                <w:rFonts w:ascii="宋体" w:hAnsi="宋体"/>
                <w:color w:val="auto"/>
                <w:sz w:val="24"/>
              </w:rPr>
            </w:pPr>
          </w:p>
        </w:tc>
        <w:tc>
          <w:tcPr>
            <w:tcW w:w="2410" w:type="dxa"/>
            <w:gridSpan w:val="2"/>
          </w:tcPr>
          <w:p>
            <w:pPr>
              <w:spacing w:line="440" w:lineRule="exact"/>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1495" w:type="dxa"/>
            <w:gridSpan w:val="2"/>
          </w:tcPr>
          <w:p>
            <w:pPr>
              <w:spacing w:line="440" w:lineRule="exact"/>
              <w:rPr>
                <w:rFonts w:ascii="宋体" w:hAnsi="宋体"/>
                <w:color w:val="auto"/>
                <w:sz w:val="24"/>
              </w:rPr>
            </w:pPr>
          </w:p>
        </w:tc>
        <w:tc>
          <w:tcPr>
            <w:tcW w:w="3119" w:type="dxa"/>
            <w:gridSpan w:val="4"/>
          </w:tcPr>
          <w:p>
            <w:pPr>
              <w:spacing w:line="440" w:lineRule="exact"/>
              <w:rPr>
                <w:rFonts w:ascii="宋体" w:hAnsi="宋体"/>
                <w:color w:val="auto"/>
                <w:sz w:val="24"/>
              </w:rPr>
            </w:pPr>
          </w:p>
        </w:tc>
        <w:tc>
          <w:tcPr>
            <w:tcW w:w="1917" w:type="dxa"/>
          </w:tcPr>
          <w:p>
            <w:pPr>
              <w:spacing w:line="440" w:lineRule="exact"/>
              <w:rPr>
                <w:rFonts w:ascii="宋体" w:hAnsi="宋体"/>
                <w:color w:val="auto"/>
                <w:sz w:val="24"/>
              </w:rPr>
            </w:pPr>
          </w:p>
        </w:tc>
        <w:tc>
          <w:tcPr>
            <w:tcW w:w="2410" w:type="dxa"/>
            <w:gridSpan w:val="2"/>
          </w:tcPr>
          <w:p>
            <w:pPr>
              <w:spacing w:line="440" w:lineRule="exact"/>
              <w:rPr>
                <w:rFonts w:ascii="宋体" w:hAnsi="宋体"/>
                <w:color w:val="auto"/>
                <w:sz w:val="24"/>
              </w:rPr>
            </w:pPr>
          </w:p>
        </w:tc>
      </w:tr>
    </w:tbl>
    <w:p>
      <w:pPr>
        <w:spacing w:line="440" w:lineRule="exact"/>
        <w:ind w:firstLine="466" w:firstLineChars="200"/>
        <w:rPr>
          <w:rFonts w:ascii="宋体" w:hAnsi="宋体"/>
          <w:color w:val="auto"/>
          <w:sz w:val="24"/>
        </w:rPr>
      </w:pPr>
    </w:p>
    <w:p>
      <w:pPr>
        <w:pStyle w:val="69"/>
        <w:spacing w:line="360" w:lineRule="auto"/>
        <w:rPr>
          <w:color w:val="auto"/>
          <w:szCs w:val="23"/>
        </w:rPr>
      </w:pPr>
      <w:r>
        <w:rPr>
          <w:color w:val="auto"/>
          <w:szCs w:val="23"/>
        </w:rPr>
        <w:t>（</w:t>
      </w:r>
      <w:r>
        <w:rPr>
          <w:rFonts w:hint="eastAsia"/>
          <w:color w:val="auto"/>
          <w:szCs w:val="23"/>
        </w:rPr>
        <w:t>二</w:t>
      </w:r>
      <w:r>
        <w:rPr>
          <w:color w:val="auto"/>
          <w:szCs w:val="23"/>
        </w:rPr>
        <w:t>）</w:t>
      </w:r>
      <w:r>
        <w:rPr>
          <w:rFonts w:hint="eastAsia"/>
          <w:color w:val="auto"/>
          <w:szCs w:val="23"/>
        </w:rPr>
        <w:t>项目经理无在建承诺书</w:t>
      </w:r>
    </w:p>
    <w:p>
      <w:pPr>
        <w:spacing w:line="360" w:lineRule="auto"/>
        <w:rPr>
          <w:color w:val="auto"/>
        </w:rPr>
      </w:pPr>
    </w:p>
    <w:p>
      <w:pPr>
        <w:keepNext w:val="0"/>
        <w:keepLines w:val="0"/>
        <w:pageBreakBefore w:val="0"/>
        <w:widowControl w:val="0"/>
        <w:kinsoku/>
        <w:wordWrap/>
        <w:overflowPunct/>
        <w:autoSpaceDE/>
        <w:autoSpaceDN/>
        <w:bidi w:val="0"/>
        <w:adjustRightInd/>
        <w:snapToGrid/>
        <w:spacing w:line="240" w:lineRule="auto"/>
        <w:jc w:val="center"/>
        <w:textAlignment w:val="auto"/>
        <w:rPr>
          <w:b/>
          <w:color w:val="auto"/>
          <w:sz w:val="24"/>
        </w:rPr>
      </w:pPr>
      <w:r>
        <w:rPr>
          <w:rFonts w:hint="eastAsia"/>
          <w:b/>
          <w:color w:val="auto"/>
          <w:sz w:val="24"/>
          <w:szCs w:val="23"/>
        </w:rPr>
        <w:t>承 诺 书</w:t>
      </w:r>
    </w:p>
    <w:p>
      <w:pPr>
        <w:keepNext w:val="0"/>
        <w:keepLines w:val="0"/>
        <w:pageBreakBefore w:val="0"/>
        <w:widowControl w:val="0"/>
        <w:kinsoku/>
        <w:wordWrap/>
        <w:overflowPunct/>
        <w:autoSpaceDE/>
        <w:autoSpaceDN/>
        <w:bidi w:val="0"/>
        <w:adjustRightInd/>
        <w:snapToGrid/>
        <w:spacing w:line="240" w:lineRule="auto"/>
        <w:textAlignment w:val="auto"/>
        <w:rPr>
          <w:color w:val="auto"/>
        </w:rPr>
      </w:pPr>
      <w:r>
        <w:rPr>
          <w:rFonts w:hint="eastAsia"/>
          <w:color w:val="auto"/>
        </w:rPr>
        <w:t>致：</w:t>
      </w:r>
      <w:r>
        <w:rPr>
          <w:rFonts w:hint="eastAsia"/>
          <w:color w:val="auto"/>
          <w:u w:val="single"/>
        </w:rPr>
        <w:t xml:space="preserve">        （招标人）          </w:t>
      </w:r>
    </w:p>
    <w:p>
      <w:pPr>
        <w:pStyle w:val="2"/>
        <w:keepNext w:val="0"/>
        <w:keepLines w:val="0"/>
        <w:pageBreakBefore w:val="0"/>
        <w:widowControl w:val="0"/>
        <w:tabs>
          <w:tab w:val="left" w:pos="6251"/>
        </w:tabs>
        <w:kinsoku/>
        <w:wordWrap/>
        <w:overflowPunct/>
        <w:autoSpaceDE/>
        <w:autoSpaceDN/>
        <w:bidi w:val="0"/>
        <w:adjustRightInd/>
        <w:snapToGrid/>
        <w:spacing w:after="0" w:line="240" w:lineRule="auto"/>
        <w:ind w:right="456" w:firstLine="406" w:firstLineChars="200"/>
        <w:textAlignment w:val="auto"/>
        <w:rPr>
          <w:rFonts w:ascii="宋体" w:hAnsi="宋体" w:cs="仿宋"/>
          <w:color w:val="auto"/>
        </w:rPr>
      </w:pPr>
      <w:r>
        <w:rPr>
          <w:rFonts w:hint="eastAsia"/>
          <w:color w:val="auto"/>
        </w:rPr>
        <w:t>我方在此声明，我方拟派往</w:t>
      </w:r>
      <w:r>
        <w:rPr>
          <w:color w:val="auto"/>
          <w:u w:val="single"/>
        </w:rPr>
        <w:t xml:space="preserve">     </w:t>
      </w:r>
      <w:r>
        <w:rPr>
          <w:rFonts w:hint="eastAsia"/>
          <w:color w:val="auto"/>
          <w:u w:val="single"/>
        </w:rPr>
        <w:t>（项目名称）</w:t>
      </w:r>
      <w:r>
        <w:rPr>
          <w:rFonts w:hint="eastAsia"/>
          <w:color w:val="auto"/>
        </w:rPr>
        <w:t>的项目经理</w:t>
      </w:r>
      <w:r>
        <w:rPr>
          <w:color w:val="auto"/>
          <w:u w:val="single"/>
        </w:rPr>
        <w:t xml:space="preserve">          </w:t>
      </w:r>
      <w:r>
        <w:rPr>
          <w:rFonts w:hint="eastAsia"/>
          <w:color w:val="auto"/>
        </w:rPr>
        <w:t>现阶段没有担任任何在施建设工程项目的项目经理。</w:t>
      </w:r>
    </w:p>
    <w:p>
      <w:pPr>
        <w:pStyle w:val="2"/>
        <w:keepNext w:val="0"/>
        <w:keepLines w:val="0"/>
        <w:pageBreakBefore w:val="0"/>
        <w:widowControl w:val="0"/>
        <w:kinsoku/>
        <w:wordWrap/>
        <w:overflowPunct/>
        <w:autoSpaceDE/>
        <w:autoSpaceDN/>
        <w:bidi w:val="0"/>
        <w:adjustRightInd/>
        <w:snapToGrid/>
        <w:spacing w:after="0" w:line="240" w:lineRule="auto"/>
        <w:ind w:left="252" w:right="468" w:firstLine="614"/>
        <w:textAlignment w:val="auto"/>
        <w:rPr>
          <w:rFonts w:ascii="宋体" w:hAnsi="宋体" w:cs="仿宋"/>
          <w:color w:val="auto"/>
        </w:rPr>
      </w:pPr>
      <w:r>
        <w:rPr>
          <w:rFonts w:hint="eastAsia" w:ascii="宋体" w:hAnsi="宋体" w:cs="仿宋"/>
          <w:color w:val="auto"/>
        </w:rPr>
        <w:t>我方保证上述信息的真实准确，并愿意承担我方就此弄虚作假所引起的一切法律后果。</w:t>
      </w:r>
    </w:p>
    <w:p>
      <w:pPr>
        <w:keepNext w:val="0"/>
        <w:keepLines w:val="0"/>
        <w:pageBreakBefore w:val="0"/>
        <w:widowControl w:val="0"/>
        <w:kinsoku/>
        <w:wordWrap/>
        <w:overflowPunct/>
        <w:topLinePunct/>
        <w:autoSpaceDE/>
        <w:autoSpaceDN/>
        <w:bidi w:val="0"/>
        <w:adjustRightInd/>
        <w:snapToGrid/>
        <w:spacing w:line="240" w:lineRule="auto"/>
        <w:textAlignment w:val="auto"/>
        <w:rPr>
          <w:color w:val="auto"/>
        </w:rPr>
      </w:pPr>
      <w:r>
        <w:rPr>
          <w:rFonts w:hint="eastAsia" w:ascii="宋体" w:hAnsi="宋体" w:cs="仿宋"/>
          <w:color w:val="auto"/>
        </w:rPr>
        <w:t>特此承诺！</w:t>
      </w:r>
    </w:p>
    <w:p>
      <w:pPr>
        <w:keepNext w:val="0"/>
        <w:keepLines w:val="0"/>
        <w:pageBreakBefore w:val="0"/>
        <w:widowControl w:val="0"/>
        <w:kinsoku/>
        <w:wordWrap/>
        <w:overflowPunct/>
        <w:autoSpaceDE/>
        <w:autoSpaceDN/>
        <w:bidi w:val="0"/>
        <w:adjustRightInd/>
        <w:snapToGrid/>
        <w:spacing w:line="240" w:lineRule="auto"/>
        <w:textAlignment w:val="auto"/>
        <w:rPr>
          <w:color w:val="auto"/>
        </w:rPr>
      </w:pPr>
    </w:p>
    <w:p>
      <w:pPr>
        <w:keepNext w:val="0"/>
        <w:keepLines w:val="0"/>
        <w:pageBreakBefore w:val="0"/>
        <w:widowControl w:val="0"/>
        <w:kinsoku/>
        <w:wordWrap/>
        <w:overflowPunct/>
        <w:autoSpaceDE/>
        <w:autoSpaceDN/>
        <w:bidi w:val="0"/>
        <w:adjustRightInd/>
        <w:snapToGrid/>
        <w:spacing w:line="240" w:lineRule="auto"/>
        <w:textAlignment w:val="auto"/>
        <w:rPr>
          <w:color w:val="auto"/>
        </w:rPr>
      </w:pPr>
    </w:p>
    <w:p>
      <w:pPr>
        <w:keepNext w:val="0"/>
        <w:keepLines w:val="0"/>
        <w:pageBreakBefore w:val="0"/>
        <w:widowControl w:val="0"/>
        <w:kinsoku/>
        <w:wordWrap/>
        <w:overflowPunct/>
        <w:autoSpaceDE/>
        <w:autoSpaceDN/>
        <w:bidi w:val="0"/>
        <w:adjustRightInd/>
        <w:snapToGrid/>
        <w:spacing w:line="240" w:lineRule="auto"/>
        <w:ind w:firstLine="4365" w:firstLineChars="2150"/>
        <w:textAlignment w:val="auto"/>
        <w:rPr>
          <w:color w:val="auto"/>
          <w:szCs w:val="21"/>
        </w:rPr>
      </w:pPr>
      <w:r>
        <w:rPr>
          <w:color w:val="auto"/>
        </w:rPr>
        <w:tab/>
      </w:r>
      <w:r>
        <w:rPr>
          <w:color w:val="auto"/>
          <w:szCs w:val="21"/>
        </w:rPr>
        <w:t>投 标 人：</w:t>
      </w:r>
      <w:r>
        <w:rPr>
          <w:color w:val="auto"/>
          <w:szCs w:val="21"/>
          <w:u w:val="single"/>
        </w:rPr>
        <w:t xml:space="preserve">                      </w:t>
      </w:r>
      <w:r>
        <w:rPr>
          <w:color w:val="auto"/>
          <w:szCs w:val="21"/>
        </w:rPr>
        <w:t>（盖单位章）</w:t>
      </w:r>
    </w:p>
    <w:p>
      <w:pPr>
        <w:keepNext w:val="0"/>
        <w:keepLines w:val="0"/>
        <w:pageBreakBefore w:val="0"/>
        <w:widowControl w:val="0"/>
        <w:kinsoku/>
        <w:wordWrap/>
        <w:overflowPunct/>
        <w:autoSpaceDE/>
        <w:autoSpaceDN/>
        <w:bidi w:val="0"/>
        <w:adjustRightInd/>
        <w:snapToGrid/>
        <w:spacing w:line="240" w:lineRule="auto"/>
        <w:ind w:firstLine="4466" w:firstLineChars="2200"/>
        <w:textAlignment w:val="auto"/>
        <w:rPr>
          <w:color w:val="auto"/>
          <w:szCs w:val="21"/>
        </w:rPr>
      </w:pPr>
      <w:r>
        <w:rPr>
          <w:color w:val="auto"/>
          <w:szCs w:val="21"/>
        </w:rPr>
        <w:t>法定代表人或其委托代理人：</w:t>
      </w:r>
      <w:r>
        <w:rPr>
          <w:color w:val="auto"/>
          <w:szCs w:val="21"/>
          <w:u w:val="single"/>
        </w:rPr>
        <w:t xml:space="preserve">       </w:t>
      </w:r>
      <w:r>
        <w:rPr>
          <w:color w:val="auto"/>
          <w:szCs w:val="21"/>
        </w:rPr>
        <w:t>（</w:t>
      </w:r>
      <w:r>
        <w:rPr>
          <w:rFonts w:hint="eastAsia" w:ascii="宋体" w:hAnsi="宋体" w:cs="宋体"/>
          <w:color w:val="auto"/>
          <w:szCs w:val="21"/>
        </w:rPr>
        <w:t>签字或盖电子章</w:t>
      </w:r>
      <w:r>
        <w:rPr>
          <w:color w:val="auto"/>
          <w:szCs w:val="21"/>
        </w:rPr>
        <w:t>）</w:t>
      </w:r>
    </w:p>
    <w:p>
      <w:pPr>
        <w:keepNext w:val="0"/>
        <w:keepLines w:val="0"/>
        <w:pageBreakBefore w:val="0"/>
        <w:widowControl w:val="0"/>
        <w:kinsoku/>
        <w:wordWrap/>
        <w:overflowPunct/>
        <w:autoSpaceDE/>
        <w:autoSpaceDN/>
        <w:bidi w:val="0"/>
        <w:adjustRightInd/>
        <w:snapToGrid/>
        <w:spacing w:line="240" w:lineRule="auto"/>
        <w:ind w:firstLine="4466" w:firstLineChars="2200"/>
        <w:textAlignment w:val="auto"/>
        <w:rPr>
          <w:rFonts w:eastAsia="黑体"/>
          <w:color w:val="auto"/>
          <w:sz w:val="20"/>
          <w:szCs w:val="20"/>
        </w:rPr>
      </w:pPr>
      <w:r>
        <w:rPr>
          <w:rFonts w:hint="eastAsia"/>
          <w:color w:val="auto"/>
          <w:szCs w:val="21"/>
        </w:rPr>
        <w:t>注册建造师：</w:t>
      </w:r>
      <w:r>
        <w:rPr>
          <w:color w:val="auto"/>
          <w:szCs w:val="21"/>
          <w:u w:val="single"/>
        </w:rPr>
        <w:t xml:space="preserve">                      </w:t>
      </w:r>
      <w:r>
        <w:rPr>
          <w:color w:val="auto"/>
          <w:szCs w:val="21"/>
        </w:rPr>
        <w:t>（</w:t>
      </w:r>
      <w:r>
        <w:rPr>
          <w:rFonts w:hint="eastAsia"/>
          <w:color w:val="auto"/>
          <w:szCs w:val="21"/>
        </w:rPr>
        <w:t>签字</w:t>
      </w:r>
      <w:r>
        <w:rPr>
          <w:color w:val="auto"/>
          <w:szCs w:val="21"/>
        </w:rPr>
        <w:t>）</w:t>
      </w:r>
    </w:p>
    <w:p>
      <w:pPr>
        <w:keepNext w:val="0"/>
        <w:keepLines w:val="0"/>
        <w:pageBreakBefore w:val="0"/>
        <w:widowControl w:val="0"/>
        <w:tabs>
          <w:tab w:val="left" w:pos="2475"/>
        </w:tabs>
        <w:kinsoku/>
        <w:wordWrap/>
        <w:overflowPunct/>
        <w:topLinePunct/>
        <w:autoSpaceDE/>
        <w:autoSpaceDN/>
        <w:bidi w:val="0"/>
        <w:adjustRightInd/>
        <w:snapToGrid/>
        <w:spacing w:line="240" w:lineRule="auto"/>
        <w:textAlignment w:val="auto"/>
        <w:rPr>
          <w:color w:val="auto"/>
        </w:rPr>
      </w:pPr>
      <w:r>
        <w:rPr>
          <w:rFonts w:hint="eastAsia"/>
          <w:color w:val="auto"/>
          <w:szCs w:val="21"/>
        </w:rPr>
        <w:t xml:space="preserve">                                                      </w:t>
      </w:r>
      <w:r>
        <w:rPr>
          <w:rFonts w:hint="eastAsia"/>
          <w:color w:val="auto"/>
          <w:szCs w:val="21"/>
          <w:u w:val="single"/>
        </w:rPr>
        <w:t xml:space="preserve">     </w:t>
      </w:r>
      <w:r>
        <w:rPr>
          <w:color w:val="auto"/>
          <w:szCs w:val="21"/>
        </w:rPr>
        <w:t>年</w:t>
      </w:r>
      <w:r>
        <w:rPr>
          <w:rFonts w:hint="eastAsia"/>
          <w:color w:val="auto"/>
          <w:szCs w:val="21"/>
          <w:u w:val="single"/>
        </w:rPr>
        <w:t xml:space="preserve">     </w:t>
      </w:r>
      <w:r>
        <w:rPr>
          <w:color w:val="auto"/>
          <w:szCs w:val="21"/>
        </w:rPr>
        <w:t>月</w:t>
      </w:r>
      <w:r>
        <w:rPr>
          <w:rFonts w:hint="eastAsia"/>
          <w:color w:val="auto"/>
          <w:szCs w:val="21"/>
          <w:u w:val="single"/>
        </w:rPr>
        <w:t xml:space="preserve">     </w:t>
      </w:r>
      <w:r>
        <w:rPr>
          <w:color w:val="auto"/>
          <w:szCs w:val="21"/>
        </w:rPr>
        <w:t>日</w:t>
      </w:r>
    </w:p>
    <w:p>
      <w:pPr>
        <w:spacing w:line="440" w:lineRule="exact"/>
        <w:jc w:val="center"/>
        <w:rPr>
          <w:rFonts w:eastAsia="黑体"/>
          <w:color w:val="auto"/>
          <w:sz w:val="23"/>
          <w:szCs w:val="23"/>
        </w:rPr>
      </w:pPr>
    </w:p>
    <w:p>
      <w:pPr>
        <w:pStyle w:val="69"/>
        <w:rPr>
          <w:rFonts w:ascii="宋体" w:hAnsi="宋体" w:eastAsia="宋体"/>
          <w:b/>
          <w:color w:val="auto"/>
          <w:szCs w:val="24"/>
        </w:rPr>
      </w:pPr>
      <w:r>
        <w:rPr>
          <w:rFonts w:ascii="宋体" w:hAnsi="宋体" w:eastAsia="宋体"/>
          <w:b/>
          <w:color w:val="auto"/>
          <w:szCs w:val="24"/>
        </w:rPr>
        <w:t>（</w:t>
      </w:r>
      <w:r>
        <w:rPr>
          <w:rFonts w:hint="eastAsia" w:ascii="宋体" w:hAnsi="宋体" w:eastAsia="宋体"/>
          <w:b/>
          <w:color w:val="auto"/>
          <w:szCs w:val="24"/>
        </w:rPr>
        <w:t>三</w:t>
      </w:r>
      <w:r>
        <w:rPr>
          <w:rFonts w:ascii="宋体" w:hAnsi="宋体" w:eastAsia="宋体"/>
          <w:b/>
          <w:color w:val="auto"/>
          <w:szCs w:val="24"/>
        </w:rPr>
        <w:t>）项目管理机构组成表</w:t>
      </w:r>
    </w:p>
    <w:p>
      <w:pPr>
        <w:spacing w:line="440" w:lineRule="exact"/>
        <w:ind w:firstLine="466" w:firstLineChars="200"/>
        <w:rPr>
          <w:rFonts w:ascii="宋体" w:hAnsi="宋体"/>
          <w:color w:val="auto"/>
          <w:sz w:val="24"/>
        </w:rPr>
      </w:pPr>
      <w:r>
        <w:rPr>
          <w:rFonts w:hint="eastAsia" w:ascii="宋体" w:hAnsi="宋体"/>
          <w:color w:val="auto"/>
          <w:sz w:val="24"/>
        </w:rPr>
        <w:t>附2：主要项目管理人员简历表</w:t>
      </w:r>
    </w:p>
    <w:p>
      <w:pPr>
        <w:spacing w:line="440" w:lineRule="exact"/>
        <w:ind w:firstLine="466" w:firstLineChars="200"/>
        <w:rPr>
          <w:rFonts w:ascii="宋体" w:hAnsi="宋体" w:cs="宋体"/>
          <w:color w:val="auto"/>
          <w:sz w:val="24"/>
        </w:rPr>
      </w:pPr>
      <w:r>
        <w:rPr>
          <w:rFonts w:hint="eastAsia" w:ascii="宋体" w:hAnsi="宋体"/>
          <w:color w:val="auto"/>
          <w:sz w:val="24"/>
        </w:rPr>
        <w:t>主要项目管理人员中的</w:t>
      </w:r>
      <w:r>
        <w:rPr>
          <w:rFonts w:hint="eastAsia" w:ascii="宋体" w:hAnsi="宋体" w:cs="宋体"/>
          <w:color w:val="auto"/>
          <w:sz w:val="24"/>
        </w:rPr>
        <w:t>技术负责人应附身份证、社保证明（至少应包括养老保险证明）、职称证扫描件。</w:t>
      </w:r>
    </w:p>
    <w:p>
      <w:pPr>
        <w:spacing w:line="440" w:lineRule="exact"/>
        <w:ind w:firstLine="466" w:firstLineChars="200"/>
        <w:rPr>
          <w:rFonts w:ascii="宋体" w:hAnsi="宋体" w:cs="宋体"/>
          <w:color w:val="auto"/>
          <w:sz w:val="24"/>
        </w:rPr>
      </w:pPr>
      <w:r>
        <w:rPr>
          <w:rFonts w:hint="eastAsia" w:ascii="宋体" w:hAnsi="宋体"/>
          <w:color w:val="auto"/>
          <w:sz w:val="24"/>
        </w:rPr>
        <w:t>主要项目管理人员中的其他主要人员应附身</w:t>
      </w:r>
      <w:r>
        <w:rPr>
          <w:rFonts w:hint="eastAsia" w:ascii="宋体" w:hAnsi="宋体" w:cs="宋体"/>
          <w:color w:val="auto"/>
          <w:sz w:val="24"/>
        </w:rPr>
        <w:t>份证、执业证书或上岗证书、社保证明（至少应包括养老保险证明）扫描件。</w:t>
      </w:r>
    </w:p>
    <w:tbl>
      <w:tblPr>
        <w:tblStyle w:val="37"/>
        <w:tblW w:w="90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7"/>
        <w:gridCol w:w="761"/>
        <w:gridCol w:w="760"/>
        <w:gridCol w:w="1142"/>
        <w:gridCol w:w="760"/>
        <w:gridCol w:w="762"/>
        <w:gridCol w:w="760"/>
        <w:gridCol w:w="2665"/>
        <w:gridCol w:w="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7" w:type="dxa"/>
            <w:vMerge w:val="restart"/>
            <w:vAlign w:val="center"/>
          </w:tcPr>
          <w:p>
            <w:pPr>
              <w:adjustRightInd w:val="0"/>
              <w:spacing w:line="440" w:lineRule="exact"/>
              <w:jc w:val="center"/>
              <w:textAlignment w:val="baseline"/>
              <w:rPr>
                <w:rFonts w:ascii="宋体" w:hAnsi="宋体"/>
                <w:color w:val="auto"/>
                <w:sz w:val="24"/>
              </w:rPr>
            </w:pPr>
            <w:r>
              <w:rPr>
                <w:rFonts w:ascii="宋体" w:hAnsi="宋体"/>
                <w:color w:val="auto"/>
                <w:sz w:val="24"/>
              </w:rPr>
              <w:t>职务</w:t>
            </w:r>
          </w:p>
        </w:tc>
        <w:tc>
          <w:tcPr>
            <w:tcW w:w="761" w:type="dxa"/>
            <w:vMerge w:val="restart"/>
            <w:vAlign w:val="center"/>
          </w:tcPr>
          <w:p>
            <w:pPr>
              <w:adjustRightInd w:val="0"/>
              <w:spacing w:line="440" w:lineRule="exact"/>
              <w:jc w:val="center"/>
              <w:textAlignment w:val="baseline"/>
              <w:rPr>
                <w:rFonts w:ascii="宋体" w:hAnsi="宋体"/>
                <w:color w:val="auto"/>
                <w:sz w:val="24"/>
              </w:rPr>
            </w:pPr>
            <w:r>
              <w:rPr>
                <w:rFonts w:ascii="宋体" w:hAnsi="宋体"/>
                <w:color w:val="auto"/>
                <w:sz w:val="24"/>
              </w:rPr>
              <w:t>姓名</w:t>
            </w:r>
          </w:p>
        </w:tc>
        <w:tc>
          <w:tcPr>
            <w:tcW w:w="760" w:type="dxa"/>
            <w:vMerge w:val="restart"/>
            <w:vAlign w:val="center"/>
          </w:tcPr>
          <w:p>
            <w:pPr>
              <w:adjustRightInd w:val="0"/>
              <w:spacing w:line="440" w:lineRule="exact"/>
              <w:jc w:val="center"/>
              <w:textAlignment w:val="baseline"/>
              <w:rPr>
                <w:rFonts w:ascii="宋体" w:hAnsi="宋体"/>
                <w:color w:val="auto"/>
                <w:sz w:val="24"/>
              </w:rPr>
            </w:pPr>
            <w:r>
              <w:rPr>
                <w:rFonts w:ascii="宋体" w:hAnsi="宋体"/>
                <w:color w:val="auto"/>
                <w:sz w:val="24"/>
              </w:rPr>
              <w:t>职称</w:t>
            </w:r>
          </w:p>
        </w:tc>
        <w:tc>
          <w:tcPr>
            <w:tcW w:w="6089" w:type="dxa"/>
            <w:gridSpan w:val="5"/>
            <w:vAlign w:val="center"/>
          </w:tcPr>
          <w:p>
            <w:pPr>
              <w:adjustRightInd w:val="0"/>
              <w:spacing w:line="440" w:lineRule="exact"/>
              <w:jc w:val="center"/>
              <w:textAlignment w:val="baseline"/>
              <w:rPr>
                <w:rFonts w:ascii="宋体" w:hAnsi="宋体"/>
                <w:color w:val="auto"/>
                <w:sz w:val="24"/>
              </w:rPr>
            </w:pPr>
            <w:r>
              <w:rPr>
                <w:rFonts w:ascii="宋体" w:hAnsi="宋体"/>
                <w:color w:val="auto"/>
                <w:sz w:val="24"/>
              </w:rPr>
              <w:t>执业或职业资格证明</w:t>
            </w:r>
          </w:p>
        </w:tc>
        <w:tc>
          <w:tcPr>
            <w:tcW w:w="706" w:type="dxa"/>
            <w:vAlign w:val="center"/>
          </w:tcPr>
          <w:p>
            <w:pPr>
              <w:adjustRightInd w:val="0"/>
              <w:spacing w:line="440" w:lineRule="exact"/>
              <w:jc w:val="center"/>
              <w:textAlignment w:val="baseline"/>
              <w:rPr>
                <w:rFonts w:ascii="宋体" w:hAnsi="宋体"/>
                <w:color w:val="auto"/>
                <w:sz w:val="24"/>
              </w:rPr>
            </w:pPr>
            <w:r>
              <w:rPr>
                <w:rFonts w:ascii="宋体" w:hAnsi="宋体"/>
                <w:color w:val="auto"/>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7" w:type="dxa"/>
            <w:vMerge w:val="continue"/>
            <w:vAlign w:val="center"/>
          </w:tcPr>
          <w:p>
            <w:pPr>
              <w:adjustRightInd w:val="0"/>
              <w:spacing w:line="440" w:lineRule="exact"/>
              <w:jc w:val="center"/>
              <w:textAlignment w:val="baseline"/>
              <w:rPr>
                <w:rFonts w:ascii="宋体" w:hAnsi="宋体"/>
                <w:color w:val="auto"/>
                <w:sz w:val="24"/>
              </w:rPr>
            </w:pPr>
          </w:p>
        </w:tc>
        <w:tc>
          <w:tcPr>
            <w:tcW w:w="761" w:type="dxa"/>
            <w:vMerge w:val="continue"/>
            <w:vAlign w:val="center"/>
          </w:tcPr>
          <w:p>
            <w:pPr>
              <w:adjustRightInd w:val="0"/>
              <w:spacing w:line="440" w:lineRule="exact"/>
              <w:jc w:val="center"/>
              <w:textAlignment w:val="baseline"/>
              <w:rPr>
                <w:rFonts w:ascii="宋体" w:hAnsi="宋体"/>
                <w:color w:val="auto"/>
                <w:sz w:val="24"/>
              </w:rPr>
            </w:pPr>
          </w:p>
        </w:tc>
        <w:tc>
          <w:tcPr>
            <w:tcW w:w="760" w:type="dxa"/>
            <w:vMerge w:val="continue"/>
            <w:vAlign w:val="center"/>
          </w:tcPr>
          <w:p>
            <w:pPr>
              <w:adjustRightInd w:val="0"/>
              <w:spacing w:line="440" w:lineRule="exact"/>
              <w:jc w:val="center"/>
              <w:textAlignment w:val="baseline"/>
              <w:rPr>
                <w:rFonts w:ascii="宋体" w:hAnsi="宋体"/>
                <w:color w:val="auto"/>
                <w:sz w:val="24"/>
              </w:rPr>
            </w:pPr>
          </w:p>
        </w:tc>
        <w:tc>
          <w:tcPr>
            <w:tcW w:w="1142" w:type="dxa"/>
            <w:vAlign w:val="center"/>
          </w:tcPr>
          <w:p>
            <w:pPr>
              <w:adjustRightInd w:val="0"/>
              <w:spacing w:line="440" w:lineRule="exact"/>
              <w:jc w:val="center"/>
              <w:textAlignment w:val="baseline"/>
              <w:rPr>
                <w:rFonts w:ascii="宋体" w:hAnsi="宋体"/>
                <w:color w:val="auto"/>
                <w:sz w:val="24"/>
              </w:rPr>
            </w:pPr>
            <w:r>
              <w:rPr>
                <w:rFonts w:ascii="宋体" w:hAnsi="宋体"/>
                <w:color w:val="auto"/>
                <w:sz w:val="24"/>
              </w:rPr>
              <w:t>证书名称</w:t>
            </w:r>
          </w:p>
        </w:tc>
        <w:tc>
          <w:tcPr>
            <w:tcW w:w="760" w:type="dxa"/>
            <w:vAlign w:val="center"/>
          </w:tcPr>
          <w:p>
            <w:pPr>
              <w:adjustRightInd w:val="0"/>
              <w:spacing w:line="440" w:lineRule="exact"/>
              <w:jc w:val="center"/>
              <w:textAlignment w:val="baseline"/>
              <w:rPr>
                <w:rFonts w:ascii="宋体" w:hAnsi="宋体"/>
                <w:color w:val="auto"/>
                <w:sz w:val="24"/>
              </w:rPr>
            </w:pPr>
            <w:r>
              <w:rPr>
                <w:rFonts w:ascii="宋体" w:hAnsi="宋体"/>
                <w:color w:val="auto"/>
                <w:sz w:val="24"/>
              </w:rPr>
              <w:t>级别</w:t>
            </w:r>
          </w:p>
        </w:tc>
        <w:tc>
          <w:tcPr>
            <w:tcW w:w="762" w:type="dxa"/>
            <w:vAlign w:val="center"/>
          </w:tcPr>
          <w:p>
            <w:pPr>
              <w:adjustRightInd w:val="0"/>
              <w:spacing w:line="440" w:lineRule="exact"/>
              <w:jc w:val="center"/>
              <w:textAlignment w:val="baseline"/>
              <w:rPr>
                <w:rFonts w:ascii="宋体" w:hAnsi="宋体"/>
                <w:color w:val="auto"/>
                <w:sz w:val="24"/>
              </w:rPr>
            </w:pPr>
            <w:r>
              <w:rPr>
                <w:rFonts w:ascii="宋体" w:hAnsi="宋体"/>
                <w:color w:val="auto"/>
                <w:sz w:val="24"/>
              </w:rPr>
              <w:t>证号</w:t>
            </w:r>
          </w:p>
        </w:tc>
        <w:tc>
          <w:tcPr>
            <w:tcW w:w="760" w:type="dxa"/>
            <w:vAlign w:val="center"/>
          </w:tcPr>
          <w:p>
            <w:pPr>
              <w:adjustRightInd w:val="0"/>
              <w:spacing w:line="440" w:lineRule="exact"/>
              <w:jc w:val="center"/>
              <w:textAlignment w:val="baseline"/>
              <w:rPr>
                <w:rFonts w:ascii="宋体" w:hAnsi="宋体"/>
                <w:color w:val="auto"/>
                <w:sz w:val="24"/>
              </w:rPr>
            </w:pPr>
            <w:r>
              <w:rPr>
                <w:rFonts w:ascii="宋体" w:hAnsi="宋体"/>
                <w:color w:val="auto"/>
                <w:sz w:val="24"/>
              </w:rPr>
              <w:t>专业</w:t>
            </w:r>
          </w:p>
        </w:tc>
        <w:tc>
          <w:tcPr>
            <w:tcW w:w="2665" w:type="dxa"/>
            <w:vAlign w:val="center"/>
          </w:tcPr>
          <w:p>
            <w:pPr>
              <w:adjustRightInd w:val="0"/>
              <w:spacing w:line="440" w:lineRule="exact"/>
              <w:jc w:val="center"/>
              <w:textAlignment w:val="baseline"/>
              <w:rPr>
                <w:rFonts w:ascii="宋体" w:hAnsi="宋体"/>
                <w:color w:val="auto"/>
                <w:sz w:val="24"/>
              </w:rPr>
            </w:pPr>
            <w:r>
              <w:rPr>
                <w:rFonts w:hint="eastAsia" w:ascii="宋体" w:hAnsi="宋体"/>
                <w:color w:val="auto"/>
                <w:sz w:val="24"/>
              </w:rPr>
              <w:t>社保证明</w:t>
            </w:r>
          </w:p>
        </w:tc>
        <w:tc>
          <w:tcPr>
            <w:tcW w:w="706" w:type="dxa"/>
            <w:vAlign w:val="center"/>
          </w:tcPr>
          <w:p>
            <w:pPr>
              <w:adjustRightInd w:val="0"/>
              <w:spacing w:line="440" w:lineRule="exact"/>
              <w:jc w:val="center"/>
              <w:textAlignment w:val="baseline"/>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7" w:type="dxa"/>
            <w:vAlign w:val="center"/>
          </w:tcPr>
          <w:p>
            <w:pPr>
              <w:adjustRightInd w:val="0"/>
              <w:spacing w:line="440" w:lineRule="exact"/>
              <w:jc w:val="center"/>
              <w:textAlignment w:val="baseline"/>
              <w:rPr>
                <w:rFonts w:ascii="宋体" w:hAnsi="宋体"/>
                <w:color w:val="auto"/>
                <w:sz w:val="24"/>
              </w:rPr>
            </w:pPr>
          </w:p>
        </w:tc>
        <w:tc>
          <w:tcPr>
            <w:tcW w:w="761" w:type="dxa"/>
            <w:vAlign w:val="center"/>
          </w:tcPr>
          <w:p>
            <w:pPr>
              <w:adjustRightInd w:val="0"/>
              <w:spacing w:line="440" w:lineRule="exact"/>
              <w:jc w:val="center"/>
              <w:textAlignment w:val="baseline"/>
              <w:rPr>
                <w:rFonts w:ascii="宋体" w:hAnsi="宋体"/>
                <w:color w:val="auto"/>
                <w:sz w:val="24"/>
              </w:rPr>
            </w:pPr>
          </w:p>
        </w:tc>
        <w:tc>
          <w:tcPr>
            <w:tcW w:w="760" w:type="dxa"/>
            <w:vAlign w:val="center"/>
          </w:tcPr>
          <w:p>
            <w:pPr>
              <w:adjustRightInd w:val="0"/>
              <w:spacing w:line="440" w:lineRule="exact"/>
              <w:jc w:val="center"/>
              <w:textAlignment w:val="baseline"/>
              <w:rPr>
                <w:rFonts w:ascii="宋体" w:hAnsi="宋体"/>
                <w:color w:val="auto"/>
                <w:sz w:val="24"/>
              </w:rPr>
            </w:pPr>
          </w:p>
        </w:tc>
        <w:tc>
          <w:tcPr>
            <w:tcW w:w="1142" w:type="dxa"/>
            <w:vAlign w:val="center"/>
          </w:tcPr>
          <w:p>
            <w:pPr>
              <w:adjustRightInd w:val="0"/>
              <w:spacing w:line="440" w:lineRule="exact"/>
              <w:jc w:val="center"/>
              <w:textAlignment w:val="baseline"/>
              <w:rPr>
                <w:rFonts w:ascii="宋体" w:hAnsi="宋体"/>
                <w:color w:val="auto"/>
                <w:sz w:val="24"/>
              </w:rPr>
            </w:pPr>
          </w:p>
        </w:tc>
        <w:tc>
          <w:tcPr>
            <w:tcW w:w="760" w:type="dxa"/>
            <w:vAlign w:val="center"/>
          </w:tcPr>
          <w:p>
            <w:pPr>
              <w:adjustRightInd w:val="0"/>
              <w:spacing w:line="440" w:lineRule="exact"/>
              <w:jc w:val="center"/>
              <w:textAlignment w:val="baseline"/>
              <w:rPr>
                <w:rFonts w:ascii="宋体" w:hAnsi="宋体"/>
                <w:color w:val="auto"/>
                <w:sz w:val="24"/>
              </w:rPr>
            </w:pPr>
          </w:p>
        </w:tc>
        <w:tc>
          <w:tcPr>
            <w:tcW w:w="762" w:type="dxa"/>
            <w:vAlign w:val="center"/>
          </w:tcPr>
          <w:p>
            <w:pPr>
              <w:adjustRightInd w:val="0"/>
              <w:spacing w:line="440" w:lineRule="exact"/>
              <w:jc w:val="center"/>
              <w:textAlignment w:val="baseline"/>
              <w:rPr>
                <w:rFonts w:ascii="宋体" w:hAnsi="宋体"/>
                <w:color w:val="auto"/>
                <w:sz w:val="24"/>
              </w:rPr>
            </w:pPr>
          </w:p>
        </w:tc>
        <w:tc>
          <w:tcPr>
            <w:tcW w:w="760" w:type="dxa"/>
            <w:vAlign w:val="center"/>
          </w:tcPr>
          <w:p>
            <w:pPr>
              <w:adjustRightInd w:val="0"/>
              <w:spacing w:line="440" w:lineRule="exact"/>
              <w:jc w:val="center"/>
              <w:textAlignment w:val="baseline"/>
              <w:rPr>
                <w:rFonts w:ascii="宋体" w:hAnsi="宋体"/>
                <w:color w:val="auto"/>
                <w:sz w:val="24"/>
              </w:rPr>
            </w:pPr>
          </w:p>
        </w:tc>
        <w:tc>
          <w:tcPr>
            <w:tcW w:w="2665" w:type="dxa"/>
            <w:vAlign w:val="center"/>
          </w:tcPr>
          <w:p>
            <w:pPr>
              <w:adjustRightInd w:val="0"/>
              <w:spacing w:line="440" w:lineRule="exact"/>
              <w:jc w:val="center"/>
              <w:textAlignment w:val="baseline"/>
              <w:rPr>
                <w:rFonts w:ascii="宋体" w:hAnsi="宋体"/>
                <w:color w:val="auto"/>
                <w:sz w:val="24"/>
              </w:rPr>
            </w:pPr>
          </w:p>
        </w:tc>
        <w:tc>
          <w:tcPr>
            <w:tcW w:w="706" w:type="dxa"/>
            <w:vAlign w:val="center"/>
          </w:tcPr>
          <w:p>
            <w:pPr>
              <w:adjustRightInd w:val="0"/>
              <w:spacing w:line="440" w:lineRule="exact"/>
              <w:jc w:val="center"/>
              <w:textAlignment w:val="baseline"/>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7" w:type="dxa"/>
          </w:tcPr>
          <w:p>
            <w:pPr>
              <w:adjustRightInd w:val="0"/>
              <w:spacing w:line="440" w:lineRule="exact"/>
              <w:jc w:val="center"/>
              <w:textAlignment w:val="baseline"/>
              <w:rPr>
                <w:rFonts w:ascii="宋体" w:hAnsi="宋体"/>
                <w:color w:val="auto"/>
                <w:sz w:val="24"/>
              </w:rPr>
            </w:pPr>
          </w:p>
        </w:tc>
        <w:tc>
          <w:tcPr>
            <w:tcW w:w="761" w:type="dxa"/>
          </w:tcPr>
          <w:p>
            <w:pPr>
              <w:adjustRightInd w:val="0"/>
              <w:spacing w:line="440" w:lineRule="exact"/>
              <w:jc w:val="center"/>
              <w:textAlignment w:val="baseline"/>
              <w:rPr>
                <w:rFonts w:ascii="宋体" w:hAnsi="宋体"/>
                <w:color w:val="auto"/>
                <w:sz w:val="24"/>
              </w:rPr>
            </w:pPr>
          </w:p>
        </w:tc>
        <w:tc>
          <w:tcPr>
            <w:tcW w:w="760" w:type="dxa"/>
          </w:tcPr>
          <w:p>
            <w:pPr>
              <w:adjustRightInd w:val="0"/>
              <w:spacing w:line="440" w:lineRule="exact"/>
              <w:jc w:val="center"/>
              <w:textAlignment w:val="baseline"/>
              <w:rPr>
                <w:rFonts w:ascii="宋体" w:hAnsi="宋体"/>
                <w:color w:val="auto"/>
                <w:sz w:val="24"/>
              </w:rPr>
            </w:pPr>
          </w:p>
        </w:tc>
        <w:tc>
          <w:tcPr>
            <w:tcW w:w="1142" w:type="dxa"/>
          </w:tcPr>
          <w:p>
            <w:pPr>
              <w:adjustRightInd w:val="0"/>
              <w:spacing w:line="440" w:lineRule="exact"/>
              <w:jc w:val="center"/>
              <w:textAlignment w:val="baseline"/>
              <w:rPr>
                <w:rFonts w:ascii="宋体" w:hAnsi="宋体"/>
                <w:color w:val="auto"/>
                <w:sz w:val="24"/>
              </w:rPr>
            </w:pPr>
          </w:p>
        </w:tc>
        <w:tc>
          <w:tcPr>
            <w:tcW w:w="760" w:type="dxa"/>
          </w:tcPr>
          <w:p>
            <w:pPr>
              <w:adjustRightInd w:val="0"/>
              <w:spacing w:line="440" w:lineRule="exact"/>
              <w:jc w:val="center"/>
              <w:textAlignment w:val="baseline"/>
              <w:rPr>
                <w:rFonts w:ascii="宋体" w:hAnsi="宋体"/>
                <w:color w:val="auto"/>
                <w:sz w:val="24"/>
              </w:rPr>
            </w:pPr>
          </w:p>
        </w:tc>
        <w:tc>
          <w:tcPr>
            <w:tcW w:w="762" w:type="dxa"/>
          </w:tcPr>
          <w:p>
            <w:pPr>
              <w:adjustRightInd w:val="0"/>
              <w:spacing w:line="440" w:lineRule="exact"/>
              <w:jc w:val="center"/>
              <w:textAlignment w:val="baseline"/>
              <w:rPr>
                <w:rFonts w:ascii="宋体" w:hAnsi="宋体"/>
                <w:color w:val="auto"/>
                <w:sz w:val="24"/>
              </w:rPr>
            </w:pPr>
          </w:p>
        </w:tc>
        <w:tc>
          <w:tcPr>
            <w:tcW w:w="760" w:type="dxa"/>
          </w:tcPr>
          <w:p>
            <w:pPr>
              <w:adjustRightInd w:val="0"/>
              <w:spacing w:line="440" w:lineRule="exact"/>
              <w:jc w:val="center"/>
              <w:textAlignment w:val="baseline"/>
              <w:rPr>
                <w:rFonts w:ascii="宋体" w:hAnsi="宋体"/>
                <w:color w:val="auto"/>
                <w:sz w:val="24"/>
              </w:rPr>
            </w:pPr>
          </w:p>
        </w:tc>
        <w:tc>
          <w:tcPr>
            <w:tcW w:w="2665" w:type="dxa"/>
          </w:tcPr>
          <w:p>
            <w:pPr>
              <w:adjustRightInd w:val="0"/>
              <w:spacing w:line="440" w:lineRule="exact"/>
              <w:jc w:val="center"/>
              <w:textAlignment w:val="baseline"/>
              <w:rPr>
                <w:rFonts w:ascii="宋体" w:hAnsi="宋体"/>
                <w:color w:val="auto"/>
                <w:sz w:val="24"/>
              </w:rPr>
            </w:pPr>
          </w:p>
        </w:tc>
        <w:tc>
          <w:tcPr>
            <w:tcW w:w="706" w:type="dxa"/>
          </w:tcPr>
          <w:p>
            <w:pPr>
              <w:adjustRightInd w:val="0"/>
              <w:spacing w:line="440" w:lineRule="exact"/>
              <w:jc w:val="center"/>
              <w:textAlignment w:val="baseline"/>
              <w:rPr>
                <w:rFonts w:ascii="宋体" w:hAnsi="宋体"/>
                <w:color w:val="auto"/>
                <w:sz w:val="24"/>
              </w:rPr>
            </w:pPr>
          </w:p>
        </w:tc>
      </w:tr>
    </w:tbl>
    <w:p>
      <w:pPr>
        <w:topLinePunct/>
        <w:spacing w:line="440" w:lineRule="exact"/>
        <w:rPr>
          <w:rFonts w:ascii="宋体" w:hAnsi="宋体"/>
          <w:color w:val="auto"/>
          <w:sz w:val="24"/>
        </w:rPr>
      </w:pPr>
    </w:p>
    <w:p>
      <w:pPr>
        <w:topLinePunct/>
        <w:spacing w:line="440" w:lineRule="exact"/>
        <w:rPr>
          <w:color w:val="auto"/>
        </w:rPr>
      </w:pPr>
    </w:p>
    <w:p>
      <w:pPr>
        <w:topLinePunct/>
        <w:spacing w:line="440" w:lineRule="exact"/>
        <w:rPr>
          <w:color w:val="auto"/>
        </w:rPr>
      </w:pPr>
    </w:p>
    <w:p>
      <w:pPr>
        <w:topLinePunct/>
        <w:spacing w:line="440" w:lineRule="exact"/>
        <w:rPr>
          <w:color w:val="auto"/>
        </w:rPr>
      </w:pPr>
    </w:p>
    <w:p>
      <w:pPr>
        <w:topLinePunct/>
        <w:spacing w:line="440" w:lineRule="exact"/>
        <w:rPr>
          <w:color w:val="auto"/>
        </w:rPr>
      </w:pPr>
    </w:p>
    <w:p>
      <w:pPr>
        <w:topLinePunct/>
        <w:spacing w:line="440" w:lineRule="exact"/>
        <w:rPr>
          <w:color w:val="auto"/>
        </w:rPr>
      </w:pPr>
    </w:p>
    <w:p>
      <w:pPr>
        <w:topLinePunct/>
        <w:spacing w:line="440" w:lineRule="exact"/>
        <w:rPr>
          <w:color w:val="auto"/>
        </w:rPr>
      </w:pPr>
    </w:p>
    <w:p>
      <w:pPr>
        <w:topLinePunct/>
        <w:spacing w:line="440" w:lineRule="exact"/>
        <w:rPr>
          <w:color w:val="auto"/>
        </w:rPr>
      </w:pPr>
    </w:p>
    <w:p>
      <w:pPr>
        <w:topLinePunct/>
        <w:spacing w:line="440" w:lineRule="exact"/>
        <w:rPr>
          <w:color w:val="auto"/>
        </w:rPr>
      </w:pPr>
    </w:p>
    <w:p>
      <w:pPr>
        <w:topLinePunct/>
        <w:spacing w:line="440" w:lineRule="exact"/>
        <w:rPr>
          <w:color w:val="auto"/>
        </w:rPr>
      </w:pPr>
    </w:p>
    <w:p>
      <w:pPr>
        <w:topLinePunct/>
        <w:spacing w:line="440" w:lineRule="exact"/>
        <w:rPr>
          <w:color w:val="auto"/>
        </w:rPr>
      </w:pPr>
    </w:p>
    <w:p>
      <w:pPr>
        <w:topLinePunct/>
        <w:spacing w:line="440" w:lineRule="exact"/>
        <w:rPr>
          <w:color w:val="auto"/>
        </w:rPr>
      </w:pPr>
    </w:p>
    <w:p>
      <w:pPr>
        <w:topLinePunct/>
        <w:spacing w:line="440" w:lineRule="exact"/>
        <w:rPr>
          <w:color w:val="auto"/>
        </w:rPr>
      </w:pPr>
    </w:p>
    <w:p>
      <w:pPr>
        <w:topLinePunct/>
        <w:spacing w:line="440" w:lineRule="exact"/>
        <w:rPr>
          <w:color w:val="auto"/>
        </w:rPr>
      </w:pPr>
    </w:p>
    <w:p>
      <w:pPr>
        <w:topLinePunct/>
        <w:spacing w:line="440" w:lineRule="exact"/>
        <w:rPr>
          <w:color w:val="auto"/>
        </w:rPr>
      </w:pPr>
    </w:p>
    <w:p>
      <w:pPr>
        <w:topLinePunct/>
        <w:spacing w:line="440" w:lineRule="exact"/>
        <w:rPr>
          <w:color w:val="auto"/>
        </w:rPr>
      </w:pPr>
    </w:p>
    <w:p>
      <w:pPr>
        <w:topLinePunct/>
        <w:spacing w:line="440" w:lineRule="exact"/>
        <w:rPr>
          <w:color w:val="auto"/>
        </w:rPr>
      </w:pPr>
    </w:p>
    <w:p>
      <w:pPr>
        <w:topLinePunct/>
        <w:spacing w:line="440" w:lineRule="exact"/>
        <w:rPr>
          <w:color w:val="auto"/>
        </w:rPr>
      </w:pPr>
    </w:p>
    <w:p>
      <w:pPr>
        <w:topLinePunct/>
        <w:spacing w:line="440" w:lineRule="exact"/>
        <w:rPr>
          <w:color w:val="auto"/>
        </w:rPr>
      </w:pPr>
    </w:p>
    <w:p>
      <w:pPr>
        <w:pStyle w:val="66"/>
        <w:jc w:val="center"/>
        <w:rPr>
          <w:color w:val="auto"/>
        </w:rPr>
      </w:pPr>
      <w:bookmarkStart w:id="232" w:name="_Toc19691_WPSOffice_Level1"/>
      <w:r>
        <w:rPr>
          <w:rFonts w:hint="eastAsia"/>
          <w:color w:val="auto"/>
        </w:rPr>
        <w:t>七</w:t>
      </w:r>
      <w:r>
        <w:rPr>
          <w:color w:val="auto"/>
        </w:rPr>
        <w:t>、资格审查资料</w:t>
      </w:r>
      <w:bookmarkEnd w:id="232"/>
    </w:p>
    <w:p>
      <w:pPr>
        <w:topLinePunct/>
        <w:spacing w:line="440" w:lineRule="exact"/>
        <w:jc w:val="center"/>
        <w:rPr>
          <w:rFonts w:eastAsia="黑体"/>
          <w:color w:val="auto"/>
          <w:sz w:val="23"/>
          <w:szCs w:val="23"/>
        </w:rPr>
      </w:pPr>
    </w:p>
    <w:p>
      <w:pPr>
        <w:pStyle w:val="69"/>
        <w:rPr>
          <w:color w:val="auto"/>
          <w:szCs w:val="23"/>
        </w:rPr>
      </w:pPr>
      <w:r>
        <w:rPr>
          <w:color w:val="auto"/>
          <w:szCs w:val="23"/>
        </w:rPr>
        <w:t>（一）投标人基本情况表</w:t>
      </w:r>
    </w:p>
    <w:p>
      <w:pPr>
        <w:topLinePunct/>
        <w:spacing w:line="440" w:lineRule="exact"/>
        <w:jc w:val="center"/>
        <w:rPr>
          <w:rFonts w:eastAsia="黑体"/>
          <w:color w:val="auto"/>
          <w:sz w:val="23"/>
          <w:szCs w:val="23"/>
        </w:rPr>
      </w:pPr>
    </w:p>
    <w:tbl>
      <w:tblPr>
        <w:tblStyle w:val="37"/>
        <w:tblW w:w="9889"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809"/>
        <w:gridCol w:w="993"/>
        <w:gridCol w:w="992"/>
        <w:gridCol w:w="1276"/>
        <w:gridCol w:w="78"/>
        <w:gridCol w:w="1078"/>
        <w:gridCol w:w="490"/>
        <w:gridCol w:w="860"/>
        <w:gridCol w:w="45"/>
        <w:gridCol w:w="226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80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投标人名称</w:t>
            </w:r>
          </w:p>
        </w:tc>
        <w:tc>
          <w:tcPr>
            <w:tcW w:w="8080" w:type="dxa"/>
            <w:gridSpan w:val="9"/>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80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注册地址</w:t>
            </w:r>
          </w:p>
        </w:tc>
        <w:tc>
          <w:tcPr>
            <w:tcW w:w="333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邮政编码</w:t>
            </w:r>
          </w:p>
        </w:tc>
        <w:tc>
          <w:tcPr>
            <w:tcW w:w="3663"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809"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联系方式</w:t>
            </w:r>
          </w:p>
        </w:tc>
        <w:tc>
          <w:tcPr>
            <w:tcW w:w="993"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联系人</w:t>
            </w:r>
          </w:p>
        </w:tc>
        <w:tc>
          <w:tcPr>
            <w:tcW w:w="2346"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电 话</w:t>
            </w:r>
          </w:p>
        </w:tc>
        <w:tc>
          <w:tcPr>
            <w:tcW w:w="3663"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809"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c>
          <w:tcPr>
            <w:tcW w:w="993"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传  真</w:t>
            </w:r>
          </w:p>
        </w:tc>
        <w:tc>
          <w:tcPr>
            <w:tcW w:w="2346"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网 址</w:t>
            </w:r>
          </w:p>
        </w:tc>
        <w:tc>
          <w:tcPr>
            <w:tcW w:w="3663"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80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组织结构</w:t>
            </w:r>
          </w:p>
        </w:tc>
        <w:tc>
          <w:tcPr>
            <w:tcW w:w="8080" w:type="dxa"/>
            <w:gridSpan w:val="9"/>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80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法定代表人</w:t>
            </w:r>
          </w:p>
        </w:tc>
        <w:tc>
          <w:tcPr>
            <w:tcW w:w="993"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姓名</w:t>
            </w:r>
          </w:p>
        </w:tc>
        <w:tc>
          <w:tcPr>
            <w:tcW w:w="99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技术职称</w:t>
            </w:r>
          </w:p>
        </w:tc>
        <w:tc>
          <w:tcPr>
            <w:tcW w:w="1646"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c>
          <w:tcPr>
            <w:tcW w:w="86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电话</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80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技术负责人</w:t>
            </w:r>
          </w:p>
        </w:tc>
        <w:tc>
          <w:tcPr>
            <w:tcW w:w="993"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姓名</w:t>
            </w:r>
          </w:p>
        </w:tc>
        <w:tc>
          <w:tcPr>
            <w:tcW w:w="99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技术职称</w:t>
            </w:r>
          </w:p>
        </w:tc>
        <w:tc>
          <w:tcPr>
            <w:tcW w:w="1646"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c>
          <w:tcPr>
            <w:tcW w:w="86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电话</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80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成立时间</w:t>
            </w:r>
          </w:p>
        </w:tc>
        <w:tc>
          <w:tcPr>
            <w:tcW w:w="1985"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c>
          <w:tcPr>
            <w:tcW w:w="6095" w:type="dxa"/>
            <w:gridSpan w:val="7"/>
            <w:tcBorders>
              <w:top w:val="single" w:color="auto" w:sz="4" w:space="0"/>
              <w:left w:val="single" w:color="auto" w:sz="4" w:space="0"/>
              <w:bottom w:val="single" w:color="auto" w:sz="4" w:space="0"/>
              <w:right w:val="single" w:color="auto" w:sz="4" w:space="0"/>
            </w:tcBorders>
            <w:vAlign w:val="center"/>
          </w:tcPr>
          <w:p>
            <w:pPr>
              <w:topLinePunct/>
              <w:spacing w:line="440" w:lineRule="exact"/>
              <w:ind w:firstLine="102" w:firstLineChars="50"/>
              <w:jc w:val="center"/>
              <w:rPr>
                <w:color w:val="auto"/>
                <w:szCs w:val="21"/>
              </w:rPr>
            </w:pPr>
            <w:r>
              <w:rPr>
                <w:color w:val="auto"/>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80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eastAsia="宋体"/>
                <w:color w:val="auto"/>
                <w:szCs w:val="21"/>
                <w:lang w:val="en-US" w:eastAsia="zh-CN"/>
              </w:rPr>
            </w:pPr>
            <w:r>
              <w:rPr>
                <w:color w:val="auto"/>
                <w:szCs w:val="21"/>
              </w:rPr>
              <w:t>企业资质等级</w:t>
            </w:r>
            <w:r>
              <w:rPr>
                <w:rFonts w:hint="eastAsia"/>
                <w:color w:val="auto"/>
                <w:szCs w:val="21"/>
                <w:lang w:val="en-US" w:eastAsia="zh-CN"/>
              </w:rPr>
              <w:t>及</w:t>
            </w:r>
            <w:r>
              <w:rPr>
                <w:rFonts w:hint="eastAsia"/>
                <w:b/>
                <w:bCs/>
                <w:color w:val="auto"/>
                <w:szCs w:val="21"/>
                <w:lang w:val="en-US" w:eastAsia="zh-CN"/>
              </w:rPr>
              <w:t>证书编号</w:t>
            </w:r>
          </w:p>
        </w:tc>
        <w:tc>
          <w:tcPr>
            <w:tcW w:w="1985"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c>
          <w:tcPr>
            <w:tcW w:w="1276"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其中</w:t>
            </w:r>
          </w:p>
        </w:tc>
        <w:tc>
          <w:tcPr>
            <w:tcW w:w="2551" w:type="dxa"/>
            <w:gridSpan w:val="5"/>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项目经理</w:t>
            </w:r>
          </w:p>
        </w:tc>
        <w:tc>
          <w:tcPr>
            <w:tcW w:w="226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80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营业执照号</w:t>
            </w:r>
          </w:p>
        </w:tc>
        <w:tc>
          <w:tcPr>
            <w:tcW w:w="1985"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c>
          <w:tcPr>
            <w:tcW w:w="2551" w:type="dxa"/>
            <w:gridSpan w:val="5"/>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高级职称人员</w:t>
            </w:r>
          </w:p>
        </w:tc>
        <w:tc>
          <w:tcPr>
            <w:tcW w:w="226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80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注册资金</w:t>
            </w:r>
          </w:p>
        </w:tc>
        <w:tc>
          <w:tcPr>
            <w:tcW w:w="1985"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c>
          <w:tcPr>
            <w:tcW w:w="2551" w:type="dxa"/>
            <w:gridSpan w:val="5"/>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中级职称人员</w:t>
            </w:r>
          </w:p>
        </w:tc>
        <w:tc>
          <w:tcPr>
            <w:tcW w:w="226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80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开户银行</w:t>
            </w:r>
          </w:p>
        </w:tc>
        <w:tc>
          <w:tcPr>
            <w:tcW w:w="1985"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c>
          <w:tcPr>
            <w:tcW w:w="2551" w:type="dxa"/>
            <w:gridSpan w:val="5"/>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初级职称人员</w:t>
            </w:r>
          </w:p>
        </w:tc>
        <w:tc>
          <w:tcPr>
            <w:tcW w:w="226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80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账号</w:t>
            </w:r>
          </w:p>
        </w:tc>
        <w:tc>
          <w:tcPr>
            <w:tcW w:w="1985"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c>
          <w:tcPr>
            <w:tcW w:w="2551" w:type="dxa"/>
            <w:gridSpan w:val="5"/>
            <w:tcBorders>
              <w:top w:val="single" w:color="auto" w:sz="4" w:space="0"/>
              <w:left w:val="single" w:color="auto" w:sz="4" w:space="0"/>
              <w:bottom w:val="single" w:color="auto" w:sz="4" w:space="0"/>
              <w:right w:val="single" w:color="auto" w:sz="4" w:space="0"/>
            </w:tcBorders>
            <w:vAlign w:val="center"/>
          </w:tcPr>
          <w:p>
            <w:pPr>
              <w:pStyle w:val="26"/>
              <w:rPr>
                <w:color w:val="auto"/>
              </w:rPr>
            </w:pPr>
            <w:r>
              <w:rPr>
                <w:color w:val="auto"/>
              </w:rPr>
              <w:t>技</w:t>
            </w:r>
            <w:r>
              <w:rPr>
                <w:rFonts w:hint="eastAsia"/>
                <w:color w:val="auto"/>
              </w:rPr>
              <w:t xml:space="preserve">  </w:t>
            </w:r>
            <w:r>
              <w:rPr>
                <w:color w:val="auto"/>
              </w:rPr>
              <w:t>工</w:t>
            </w:r>
          </w:p>
        </w:tc>
        <w:tc>
          <w:tcPr>
            <w:tcW w:w="226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809" w:type="dxa"/>
            <w:tcBorders>
              <w:top w:val="single" w:color="auto" w:sz="4" w:space="0"/>
              <w:left w:val="single" w:color="auto" w:sz="4" w:space="0"/>
              <w:right w:val="single" w:color="auto" w:sz="4" w:space="0"/>
            </w:tcBorders>
            <w:vAlign w:val="center"/>
          </w:tcPr>
          <w:p>
            <w:pPr>
              <w:topLinePunct/>
              <w:spacing w:line="440" w:lineRule="exact"/>
              <w:ind w:firstLine="203" w:firstLineChars="100"/>
              <w:jc w:val="center"/>
              <w:rPr>
                <w:color w:val="auto"/>
                <w:szCs w:val="21"/>
              </w:rPr>
            </w:pPr>
            <w:r>
              <w:rPr>
                <w:color w:val="auto"/>
                <w:szCs w:val="21"/>
              </w:rPr>
              <w:t>经营范围</w:t>
            </w:r>
          </w:p>
        </w:tc>
        <w:tc>
          <w:tcPr>
            <w:tcW w:w="8080" w:type="dxa"/>
            <w:gridSpan w:val="9"/>
            <w:tcBorders>
              <w:top w:val="single" w:color="auto" w:sz="4" w:space="0"/>
              <w:left w:val="single" w:color="auto" w:sz="4" w:space="0"/>
              <w:right w:val="single" w:color="auto" w:sz="4" w:space="0"/>
            </w:tcBorders>
            <w:vAlign w:val="center"/>
          </w:tcPr>
          <w:p>
            <w:pPr>
              <w:topLinePunct/>
              <w:spacing w:line="440" w:lineRule="exact"/>
              <w:jc w:val="center"/>
              <w:rPr>
                <w:color w:val="auto"/>
                <w:szCs w:val="21"/>
              </w:rPr>
            </w:pPr>
          </w:p>
          <w:p>
            <w:pPr>
              <w:topLinePunct/>
              <w:spacing w:line="440" w:lineRule="exact"/>
              <w:jc w:val="center"/>
              <w:rPr>
                <w:color w:val="auto"/>
                <w:szCs w:val="21"/>
              </w:rPr>
            </w:pPr>
          </w:p>
          <w:p>
            <w:pPr>
              <w:topLinePunct/>
              <w:spacing w:line="440" w:lineRule="exact"/>
              <w:jc w:val="center"/>
              <w:rPr>
                <w:color w:val="auto"/>
                <w:szCs w:val="21"/>
              </w:rPr>
            </w:pPr>
          </w:p>
          <w:p>
            <w:pPr>
              <w:topLinePunct/>
              <w:spacing w:line="440" w:lineRule="exact"/>
              <w:jc w:val="center"/>
              <w:rPr>
                <w:color w:val="auto"/>
                <w:szCs w:val="21"/>
              </w:rPr>
            </w:pPr>
          </w:p>
          <w:p>
            <w:pPr>
              <w:topLinePunct/>
              <w:spacing w:line="440" w:lineRule="exact"/>
              <w:rPr>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80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备注</w:t>
            </w:r>
          </w:p>
        </w:tc>
        <w:tc>
          <w:tcPr>
            <w:tcW w:w="8080" w:type="dxa"/>
            <w:gridSpan w:val="9"/>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r>
    </w:tbl>
    <w:p>
      <w:pPr>
        <w:topLinePunct/>
        <w:spacing w:line="440" w:lineRule="exact"/>
        <w:rPr>
          <w:color w:val="auto"/>
          <w:sz w:val="20"/>
        </w:rPr>
      </w:pPr>
    </w:p>
    <w:p>
      <w:pPr>
        <w:spacing w:line="440" w:lineRule="exact"/>
        <w:jc w:val="both"/>
        <w:rPr>
          <w:rFonts w:eastAsia="黑体"/>
          <w:color w:val="auto"/>
          <w:sz w:val="23"/>
          <w:szCs w:val="23"/>
        </w:rPr>
      </w:pPr>
    </w:p>
    <w:p>
      <w:pPr>
        <w:pStyle w:val="69"/>
        <w:keepNext w:val="0"/>
        <w:keepLines w:val="0"/>
        <w:rPr>
          <w:color w:val="auto"/>
          <w:szCs w:val="23"/>
        </w:rPr>
      </w:pPr>
      <w:r>
        <w:rPr>
          <w:rFonts w:hint="eastAsia"/>
          <w:color w:val="auto"/>
          <w:szCs w:val="23"/>
        </w:rPr>
        <w:t>（</w:t>
      </w:r>
      <w:r>
        <w:rPr>
          <w:rFonts w:hint="eastAsia"/>
          <w:color w:val="auto"/>
          <w:szCs w:val="23"/>
          <w:lang w:val="en-US" w:eastAsia="zh-CN"/>
        </w:rPr>
        <w:t>二</w:t>
      </w:r>
      <w:r>
        <w:rPr>
          <w:rFonts w:hint="eastAsia"/>
          <w:color w:val="auto"/>
          <w:szCs w:val="23"/>
        </w:rPr>
        <w:t>）资格审查资料</w:t>
      </w:r>
    </w:p>
    <w:p>
      <w:pPr>
        <w:autoSpaceDE w:val="0"/>
        <w:autoSpaceDN w:val="0"/>
        <w:adjustRightInd w:val="0"/>
        <w:spacing w:line="360" w:lineRule="auto"/>
        <w:jc w:val="left"/>
        <w:outlineLvl w:val="9"/>
        <w:rPr>
          <w:rFonts w:hint="eastAsia" w:ascii="宋体" w:hAnsi="宋体" w:cs="TimesNewRomanPSMT"/>
          <w:color w:val="auto"/>
          <w:kern w:val="0"/>
          <w:sz w:val="21"/>
          <w:szCs w:val="21"/>
          <w:highlight w:val="none"/>
        </w:rPr>
      </w:pPr>
      <w:r>
        <w:rPr>
          <w:rFonts w:hint="eastAsia" w:ascii="宋体" w:hAnsi="宋体" w:cs="宋体"/>
          <w:color w:val="auto"/>
          <w:kern w:val="0"/>
          <w:sz w:val="21"/>
          <w:szCs w:val="21"/>
          <w:highlight w:val="none"/>
        </w:rPr>
        <w:t>注：在投标文件中附扫描件</w:t>
      </w:r>
    </w:p>
    <w:p>
      <w:pPr>
        <w:jc w:val="center"/>
        <w:rPr>
          <w:rFonts w:ascii="宋体" w:cs="宋体"/>
          <w:b/>
          <w:color w:val="auto"/>
          <w:kern w:val="0"/>
          <w:sz w:val="28"/>
          <w:szCs w:val="28"/>
        </w:rPr>
      </w:pPr>
    </w:p>
    <w:p>
      <w:pPr>
        <w:pStyle w:val="69"/>
        <w:outlineLvl w:val="9"/>
        <w:rPr>
          <w:color w:val="auto"/>
          <w:szCs w:val="23"/>
        </w:rPr>
      </w:pPr>
    </w:p>
    <w:p>
      <w:pPr>
        <w:rPr>
          <w:rStyle w:val="40"/>
          <w:color w:val="auto"/>
        </w:rPr>
      </w:pPr>
    </w:p>
    <w:p>
      <w:pPr>
        <w:pStyle w:val="6"/>
        <w:outlineLvl w:val="9"/>
        <w:rPr>
          <w:color w:val="auto"/>
        </w:rPr>
      </w:pPr>
    </w:p>
    <w:p>
      <w:pPr>
        <w:spacing w:line="400" w:lineRule="exact"/>
        <w:rPr>
          <w:color w:val="auto"/>
        </w:rPr>
      </w:pPr>
    </w:p>
    <w:p>
      <w:pPr>
        <w:jc w:val="center"/>
        <w:rPr>
          <w:b/>
          <w:bCs/>
          <w:color w:val="auto"/>
          <w:sz w:val="21"/>
          <w:szCs w:val="21"/>
        </w:rPr>
      </w:pPr>
      <w:r>
        <w:rPr>
          <w:color w:val="auto"/>
        </w:rPr>
        <w:br w:type="page"/>
      </w:r>
      <w:bookmarkStart w:id="233" w:name="_Toc6612_WPSOffice_Level1"/>
      <w:r>
        <w:rPr>
          <w:rFonts w:hint="eastAsia" w:ascii="宋体" w:hAnsi="宋体" w:cs="宋体"/>
          <w:b/>
          <w:color w:val="auto"/>
          <w:kern w:val="0"/>
          <w:sz w:val="28"/>
          <w:szCs w:val="28"/>
        </w:rPr>
        <w:t>八、其他资料</w:t>
      </w:r>
      <w:bookmarkEnd w:id="233"/>
    </w:p>
    <w:p>
      <w:pPr>
        <w:rPr>
          <w:rFonts w:hint="default"/>
          <w:b w:val="0"/>
          <w:bCs w:val="0"/>
          <w:color w:val="auto"/>
          <w:lang w:val="en-US" w:eastAsia="zh-CN"/>
        </w:rPr>
      </w:pPr>
    </w:p>
    <w:p>
      <w:pPr>
        <w:rPr>
          <w:rFonts w:hint="eastAsia" w:ascii="宋体" w:hAnsi="宋体" w:eastAsia="宋体" w:cs="宋体"/>
          <w:color w:val="auto"/>
          <w:szCs w:val="21"/>
          <w:lang w:eastAsia="zh-CN"/>
        </w:rPr>
      </w:pPr>
      <w:r>
        <w:rPr>
          <w:rFonts w:hint="eastAsia" w:ascii="宋体" w:hAnsi="宋体" w:eastAsia="宋体" w:cs="宋体"/>
          <w:color w:val="auto"/>
          <w:szCs w:val="21"/>
          <w:lang w:eastAsia="zh-CN"/>
        </w:rPr>
        <w:br w:type="page"/>
      </w:r>
    </w:p>
    <w:p>
      <w:pPr>
        <w:jc w:val="left"/>
        <w:rPr>
          <w:rFonts w:hint="eastAsia" w:ascii="宋体" w:hAnsi="宋体" w:eastAsia="宋体"/>
          <w:b/>
          <w:bCs/>
          <w:color w:val="auto"/>
          <w:sz w:val="28"/>
          <w:szCs w:val="28"/>
          <w:lang w:val="en-US" w:eastAsia="zh-CN"/>
        </w:rPr>
      </w:pPr>
      <w:r>
        <w:rPr>
          <w:rFonts w:hint="eastAsia" w:ascii="宋体" w:hAnsi="宋体"/>
          <w:b/>
          <w:bCs/>
          <w:color w:val="auto"/>
          <w:sz w:val="28"/>
          <w:szCs w:val="28"/>
        </w:rPr>
        <w:t>附件</w:t>
      </w:r>
      <w:r>
        <w:rPr>
          <w:rFonts w:hint="eastAsia" w:ascii="宋体" w:hAnsi="宋体"/>
          <w:b/>
          <w:bCs/>
          <w:color w:val="auto"/>
          <w:sz w:val="28"/>
          <w:szCs w:val="28"/>
          <w:lang w:val="en-US" w:eastAsia="zh-CN"/>
        </w:rPr>
        <w:t>:</w:t>
      </w:r>
    </w:p>
    <w:p>
      <w:pPr>
        <w:jc w:val="center"/>
        <w:rPr>
          <w:rFonts w:ascii="宋体" w:hAnsi="宋体"/>
          <w:b/>
          <w:bCs/>
          <w:color w:val="auto"/>
          <w:sz w:val="24"/>
        </w:rPr>
      </w:pPr>
      <w:r>
        <w:rPr>
          <w:rFonts w:hint="eastAsia" w:ascii="宋体" w:hAnsi="宋体"/>
          <w:b/>
          <w:bCs/>
          <w:color w:val="auto"/>
          <w:sz w:val="28"/>
          <w:szCs w:val="28"/>
        </w:rPr>
        <w:t>投标人远程述标信息表</w:t>
      </w:r>
    </w:p>
    <w:p>
      <w:pPr>
        <w:jc w:val="center"/>
        <w:rPr>
          <w:rFonts w:ascii="宋体" w:hAnsi="宋体" w:cs="宋体"/>
          <w:b/>
          <w:color w:val="auto"/>
          <w:sz w:val="24"/>
        </w:rPr>
      </w:pPr>
    </w:p>
    <w:p>
      <w:pPr>
        <w:jc w:val="center"/>
        <w:rPr>
          <w:rFonts w:ascii="宋体" w:hAnsi="宋体" w:cs="宋体"/>
          <w:b/>
          <w:color w:val="auto"/>
          <w:sz w:val="24"/>
        </w:rPr>
      </w:pPr>
      <w:r>
        <w:rPr>
          <w:rFonts w:hint="eastAsia" w:ascii="宋体" w:hAnsi="宋体" w:cs="宋体"/>
          <w:b/>
          <w:color w:val="auto"/>
          <w:sz w:val="24"/>
        </w:rPr>
        <w:t>投标人远程述标信息表</w:t>
      </w:r>
    </w:p>
    <w:p>
      <w:pPr>
        <w:jc w:val="center"/>
        <w:rPr>
          <w:rFonts w:ascii="宋体" w:hAnsi="宋体" w:cs="宋体"/>
          <w:b/>
          <w:color w:val="auto"/>
          <w:sz w:val="24"/>
        </w:rPr>
      </w:pPr>
    </w:p>
    <w:tbl>
      <w:tblPr>
        <w:tblStyle w:val="3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35"/>
        <w:gridCol w:w="5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jc w:val="center"/>
        </w:trPr>
        <w:tc>
          <w:tcPr>
            <w:tcW w:w="2635" w:type="dxa"/>
            <w:noWrap w:val="0"/>
            <w:vAlign w:val="center"/>
          </w:tcPr>
          <w:p>
            <w:pPr>
              <w:jc w:val="center"/>
              <w:rPr>
                <w:rFonts w:ascii="宋体" w:hAnsi="宋体" w:cs="宋体"/>
                <w:color w:val="auto"/>
                <w:sz w:val="24"/>
              </w:rPr>
            </w:pPr>
            <w:r>
              <w:rPr>
                <w:rFonts w:hint="eastAsia" w:ascii="宋体" w:hAnsi="宋体" w:cs="宋体"/>
                <w:color w:val="auto"/>
                <w:sz w:val="24"/>
              </w:rPr>
              <w:t>项目名称</w:t>
            </w:r>
          </w:p>
        </w:tc>
        <w:tc>
          <w:tcPr>
            <w:tcW w:w="5103" w:type="dxa"/>
            <w:noWrap w:val="0"/>
            <w:vAlign w:val="center"/>
          </w:tcPr>
          <w:p>
            <w:pP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jc w:val="center"/>
        </w:trPr>
        <w:tc>
          <w:tcPr>
            <w:tcW w:w="2635" w:type="dxa"/>
            <w:noWrap w:val="0"/>
            <w:vAlign w:val="center"/>
          </w:tcPr>
          <w:p>
            <w:pPr>
              <w:jc w:val="center"/>
              <w:rPr>
                <w:rFonts w:ascii="宋体" w:hAnsi="宋体" w:cs="宋体"/>
                <w:color w:val="auto"/>
                <w:sz w:val="24"/>
              </w:rPr>
            </w:pPr>
            <w:r>
              <w:rPr>
                <w:rFonts w:hint="eastAsia" w:ascii="宋体" w:hAnsi="宋体" w:cs="宋体"/>
                <w:color w:val="auto"/>
                <w:sz w:val="24"/>
              </w:rPr>
              <w:t>法定代表人</w:t>
            </w:r>
          </w:p>
          <w:p>
            <w:pPr>
              <w:jc w:val="center"/>
              <w:rPr>
                <w:rFonts w:ascii="宋体" w:hAnsi="宋体" w:cs="宋体"/>
                <w:color w:val="auto"/>
                <w:sz w:val="24"/>
              </w:rPr>
            </w:pPr>
            <w:r>
              <w:rPr>
                <w:rFonts w:hint="eastAsia" w:ascii="宋体" w:hAnsi="宋体" w:cs="宋体"/>
                <w:color w:val="auto"/>
                <w:sz w:val="24"/>
              </w:rPr>
              <w:t>或委托代理人</w:t>
            </w:r>
          </w:p>
        </w:tc>
        <w:tc>
          <w:tcPr>
            <w:tcW w:w="5103" w:type="dxa"/>
            <w:noWrap w:val="0"/>
            <w:vAlign w:val="center"/>
          </w:tcPr>
          <w:p>
            <w:pPr>
              <w:rPr>
                <w:rFonts w:ascii="宋体" w:hAnsi="宋体" w:cs="宋体"/>
                <w:color w:val="auto"/>
                <w:sz w:val="24"/>
              </w:rPr>
            </w:pPr>
            <w:r>
              <w:rPr>
                <w:rFonts w:hint="eastAsia" w:ascii="宋体" w:hAnsi="宋体" w:cs="宋体"/>
                <w:color w:val="auto"/>
                <w:sz w:val="24"/>
              </w:rPr>
              <w:t>姓名：</w:t>
            </w:r>
          </w:p>
          <w:p>
            <w:pPr>
              <w:rPr>
                <w:rFonts w:ascii="宋体" w:hAnsi="宋体" w:cs="宋体"/>
                <w:color w:val="auto"/>
                <w:sz w:val="24"/>
              </w:rPr>
            </w:pPr>
            <w:r>
              <w:rPr>
                <w:rFonts w:hint="eastAsia" w:ascii="宋体" w:hAnsi="宋体" w:cs="宋体"/>
                <w:color w:val="auto"/>
                <w:sz w:val="24"/>
              </w:rPr>
              <w:t>联系电话（手机号）：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5" w:type="dxa"/>
            <w:noWrap w:val="0"/>
            <w:vAlign w:val="center"/>
          </w:tcPr>
          <w:p>
            <w:pPr>
              <w:jc w:val="center"/>
              <w:rPr>
                <w:rFonts w:ascii="宋体" w:hAnsi="宋体" w:cs="宋体"/>
                <w:color w:val="auto"/>
                <w:sz w:val="24"/>
              </w:rPr>
            </w:pPr>
            <w:r>
              <w:rPr>
                <w:rFonts w:hint="eastAsia" w:ascii="宋体" w:hAnsi="宋体" w:cs="宋体"/>
                <w:color w:val="auto"/>
                <w:sz w:val="24"/>
              </w:rPr>
              <w:t>项目经理</w:t>
            </w:r>
          </w:p>
        </w:tc>
        <w:tc>
          <w:tcPr>
            <w:tcW w:w="5103" w:type="dxa"/>
            <w:noWrap w:val="0"/>
            <w:vAlign w:val="center"/>
          </w:tcPr>
          <w:p>
            <w:pPr>
              <w:rPr>
                <w:rFonts w:ascii="宋体" w:hAnsi="宋体" w:cs="宋体"/>
                <w:color w:val="auto"/>
                <w:sz w:val="24"/>
              </w:rPr>
            </w:pPr>
            <w:r>
              <w:rPr>
                <w:rFonts w:hint="eastAsia" w:ascii="宋体" w:hAnsi="宋体" w:cs="宋体"/>
                <w:color w:val="auto"/>
                <w:sz w:val="24"/>
              </w:rPr>
              <w:t>姓名：</w:t>
            </w:r>
          </w:p>
          <w:p>
            <w:pPr>
              <w:rPr>
                <w:rFonts w:ascii="宋体" w:hAnsi="宋体" w:cs="宋体"/>
                <w:color w:val="auto"/>
                <w:sz w:val="24"/>
              </w:rPr>
            </w:pPr>
            <w:r>
              <w:rPr>
                <w:rFonts w:hint="eastAsia" w:ascii="宋体" w:hAnsi="宋体" w:cs="宋体"/>
                <w:color w:val="auto"/>
                <w:sz w:val="24"/>
              </w:rPr>
              <w:t>联系电话（手机号）：</w:t>
            </w:r>
          </w:p>
          <w:p>
            <w:pPr>
              <w:rPr>
                <w:rFonts w:ascii="宋体" w:hAnsi="宋体" w:cs="宋体"/>
                <w:color w:val="auto"/>
                <w:sz w:val="24"/>
              </w:rPr>
            </w:pPr>
            <w:r>
              <w:rPr>
                <w:rFonts w:hint="eastAsia" w:ascii="宋体" w:hAnsi="宋体" w:cs="宋体"/>
                <w:color w:val="auto"/>
                <w:sz w:val="24"/>
              </w:rPr>
              <w:t>QQ号：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2" w:hRule="atLeast"/>
          <w:jc w:val="center"/>
        </w:trPr>
        <w:tc>
          <w:tcPr>
            <w:tcW w:w="2635" w:type="dxa"/>
            <w:noWrap w:val="0"/>
            <w:vAlign w:val="center"/>
          </w:tcPr>
          <w:p>
            <w:pPr>
              <w:jc w:val="center"/>
              <w:rPr>
                <w:rFonts w:ascii="宋体" w:hAnsi="宋体" w:cs="宋体"/>
                <w:color w:val="auto"/>
                <w:sz w:val="24"/>
              </w:rPr>
            </w:pPr>
            <w:r>
              <w:rPr>
                <w:rFonts w:hint="eastAsia" w:ascii="宋体" w:hAnsi="宋体" w:cs="宋体"/>
                <w:color w:val="auto"/>
                <w:sz w:val="24"/>
              </w:rPr>
              <w:t>备注</w:t>
            </w:r>
          </w:p>
        </w:tc>
        <w:tc>
          <w:tcPr>
            <w:tcW w:w="5103" w:type="dxa"/>
            <w:noWrap w:val="0"/>
            <w:vAlign w:val="center"/>
          </w:tcPr>
          <w:p>
            <w:pPr>
              <w:jc w:val="center"/>
              <w:rPr>
                <w:rFonts w:ascii="宋体" w:hAnsi="宋体" w:cs="宋体"/>
                <w:color w:val="auto"/>
                <w:sz w:val="24"/>
              </w:rPr>
            </w:pPr>
          </w:p>
        </w:tc>
      </w:tr>
    </w:tbl>
    <w:p>
      <w:pPr>
        <w:jc w:val="center"/>
        <w:rPr>
          <w:rFonts w:ascii="宋体" w:hAnsi="宋体" w:cs="宋体"/>
          <w:color w:val="auto"/>
          <w:sz w:val="24"/>
        </w:rPr>
      </w:pPr>
    </w:p>
    <w:p>
      <w:pPr>
        <w:pStyle w:val="32"/>
        <w:widowControl/>
        <w:wordWrap w:val="0"/>
        <w:ind w:firstLine="564"/>
        <w:jc w:val="right"/>
        <w:rPr>
          <w:rFonts w:ascii="宋体" w:hAnsi="宋体"/>
          <w:color w:val="auto"/>
        </w:rPr>
      </w:pPr>
      <w:r>
        <w:rPr>
          <w:rFonts w:ascii="宋体" w:hAnsi="宋体"/>
          <w:color w:val="auto"/>
        </w:rPr>
        <w:tab/>
      </w:r>
      <w:r>
        <w:rPr>
          <w:rFonts w:hint="eastAsia" w:ascii="宋体" w:hAnsi="宋体"/>
          <w:color w:val="auto"/>
        </w:rPr>
        <w:t xml:space="preserve"> </w:t>
      </w:r>
      <w:r>
        <w:rPr>
          <w:rFonts w:ascii="宋体" w:hAnsi="宋体"/>
          <w:color w:val="auto"/>
        </w:rPr>
        <w:t>投 标 人：</w:t>
      </w:r>
      <w:r>
        <w:rPr>
          <w:rFonts w:ascii="宋体" w:hAnsi="宋体"/>
          <w:color w:val="auto"/>
          <w:u w:val="single"/>
        </w:rPr>
        <w:t xml:space="preserve"> </w:t>
      </w:r>
      <w:r>
        <w:rPr>
          <w:rFonts w:hint="eastAsia" w:ascii="宋体" w:hAnsi="宋体"/>
          <w:color w:val="auto"/>
          <w:u w:val="single"/>
        </w:rPr>
        <w:t xml:space="preserve">       </w:t>
      </w:r>
      <w:r>
        <w:rPr>
          <w:rFonts w:ascii="宋体" w:hAnsi="宋体"/>
          <w:color w:val="auto"/>
          <w:u w:val="single"/>
        </w:rPr>
        <w:t xml:space="preserve">   </w:t>
      </w:r>
      <w:r>
        <w:rPr>
          <w:rFonts w:hint="eastAsia" w:ascii="宋体" w:hAnsi="宋体"/>
          <w:color w:val="auto"/>
          <w:u w:val="single"/>
        </w:rPr>
        <w:t xml:space="preserve"> </w:t>
      </w:r>
      <w:r>
        <w:rPr>
          <w:rFonts w:ascii="宋体" w:hAnsi="宋体"/>
          <w:color w:val="auto"/>
        </w:rPr>
        <w:t>（盖单位</w:t>
      </w:r>
      <w:r>
        <w:rPr>
          <w:rFonts w:hint="eastAsia" w:ascii="宋体" w:hAnsi="宋体"/>
          <w:color w:val="auto"/>
        </w:rPr>
        <w:t>电子</w:t>
      </w:r>
      <w:r>
        <w:rPr>
          <w:rFonts w:ascii="宋体" w:hAnsi="宋体"/>
          <w:color w:val="auto"/>
        </w:rPr>
        <w:t>章）</w:t>
      </w:r>
    </w:p>
    <w:p>
      <w:pPr>
        <w:pStyle w:val="32"/>
        <w:widowControl/>
        <w:rPr>
          <w:rFonts w:ascii="宋体" w:hAnsi="宋体"/>
          <w:color w:val="auto"/>
        </w:rPr>
      </w:pPr>
    </w:p>
    <w:p>
      <w:pPr>
        <w:pStyle w:val="2"/>
        <w:jc w:val="right"/>
        <w:rPr>
          <w:rFonts w:ascii="宋体" w:hAnsi="宋体"/>
          <w:color w:val="auto"/>
        </w:rPr>
      </w:pPr>
      <w:r>
        <w:rPr>
          <w:rFonts w:ascii="宋体" w:hAnsi="宋体"/>
          <w:color w:val="auto"/>
        </w:rPr>
        <w:t>年</w:t>
      </w:r>
      <w:r>
        <w:rPr>
          <w:rFonts w:hint="eastAsia" w:ascii="宋体" w:hAnsi="宋体"/>
          <w:color w:val="auto"/>
        </w:rPr>
        <w:t xml:space="preserve">     </w:t>
      </w:r>
      <w:r>
        <w:rPr>
          <w:rFonts w:ascii="宋体" w:hAnsi="宋体"/>
          <w:color w:val="auto"/>
        </w:rPr>
        <w:t>月</w:t>
      </w:r>
      <w:r>
        <w:rPr>
          <w:rFonts w:hint="eastAsia" w:ascii="宋体" w:hAnsi="宋体"/>
          <w:color w:val="auto"/>
        </w:rPr>
        <w:t xml:space="preserve">     </w:t>
      </w:r>
      <w:r>
        <w:rPr>
          <w:rFonts w:ascii="宋体" w:hAnsi="宋体"/>
          <w:color w:val="auto"/>
        </w:rPr>
        <w:t>日</w:t>
      </w:r>
    </w:p>
    <w:p>
      <w:pPr>
        <w:pStyle w:val="3"/>
        <w:rPr>
          <w:rFonts w:ascii="宋体" w:hAnsi="宋体"/>
          <w:color w:val="auto"/>
        </w:rPr>
      </w:pPr>
    </w:p>
    <w:p>
      <w:pPr>
        <w:pStyle w:val="3"/>
        <w:rPr>
          <w:rFonts w:ascii="宋体" w:hAnsi="宋体"/>
          <w:color w:val="auto"/>
        </w:rPr>
      </w:pPr>
    </w:p>
    <w:p>
      <w:pPr>
        <w:pStyle w:val="3"/>
        <w:rPr>
          <w:rFonts w:ascii="宋体" w:hAnsi="宋体"/>
          <w:color w:val="auto"/>
        </w:rPr>
      </w:pPr>
    </w:p>
    <w:p>
      <w:pPr>
        <w:pStyle w:val="3"/>
        <w:rPr>
          <w:rFonts w:ascii="宋体" w:hAnsi="宋体"/>
          <w:color w:val="auto"/>
        </w:rPr>
      </w:pPr>
    </w:p>
    <w:p>
      <w:pPr>
        <w:pStyle w:val="3"/>
        <w:rPr>
          <w:rFonts w:ascii="宋体" w:hAnsi="宋体"/>
          <w:color w:val="auto"/>
        </w:rPr>
      </w:pPr>
    </w:p>
    <w:p>
      <w:pPr>
        <w:pStyle w:val="34"/>
        <w:jc w:val="left"/>
        <w:outlineLvl w:val="0"/>
        <w:rPr>
          <w:rFonts w:hint="eastAsia" w:ascii="仿宋" w:hAnsi="仿宋" w:eastAsia="仿宋" w:cs="仿宋"/>
          <w:b/>
          <w:bCs/>
          <w:color w:val="auto"/>
          <w:kern w:val="28"/>
          <w:sz w:val="30"/>
          <w:szCs w:val="30"/>
          <w:highlight w:val="none"/>
          <w:lang w:val="en-US" w:eastAsia="zh-CN" w:bidi="en-US"/>
        </w:rPr>
      </w:pPr>
      <w:bookmarkStart w:id="234" w:name="_Toc9909"/>
      <w:bookmarkStart w:id="235" w:name="_Toc22263"/>
      <w:r>
        <w:rPr>
          <w:rFonts w:hint="eastAsia" w:ascii="仿宋" w:hAnsi="仿宋" w:eastAsia="仿宋" w:cs="仿宋"/>
          <w:b/>
          <w:bCs/>
          <w:color w:val="auto"/>
          <w:kern w:val="28"/>
          <w:sz w:val="30"/>
          <w:szCs w:val="30"/>
          <w:highlight w:val="none"/>
          <w:lang w:val="en-US" w:eastAsia="zh-CN" w:bidi="en-US"/>
        </w:rPr>
        <w:t>附1：</w:t>
      </w:r>
      <w:bookmarkEnd w:id="234"/>
      <w:r>
        <w:rPr>
          <w:rFonts w:hint="eastAsia" w:ascii="仿宋" w:hAnsi="仿宋" w:eastAsia="仿宋" w:cs="仿宋"/>
          <w:b/>
          <w:bCs/>
          <w:color w:val="auto"/>
          <w:kern w:val="28"/>
          <w:sz w:val="30"/>
          <w:szCs w:val="30"/>
          <w:highlight w:val="none"/>
          <w:lang w:val="en-US" w:eastAsia="zh-CN" w:bidi="en-US"/>
        </w:rPr>
        <w:t>洛阳市政府采购合同融资政策告知函</w:t>
      </w:r>
      <w:bookmarkEnd w:id="235"/>
    </w:p>
    <w:p>
      <w:pP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各供应商：</w:t>
      </w:r>
    </w:p>
    <w:p>
      <w:pPr>
        <w:ind w:firstLine="466"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欢迎贵公司参与洛阳市政府采购活动！</w:t>
      </w:r>
    </w:p>
    <w:p>
      <w:pPr>
        <w:ind w:firstLine="457" w:firstLineChars="196"/>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政府采购合同融资是洛阳市财政局联合人民银行洛阳市中心支行支持中小微企业发展，针对参与政府采购活动的供应商融资难、融资贵问题推出的一项融资政策。贵公司若成为本次政府采购项目的中标（成交）供应商，可持政府采购合同向金融机构申请贷款，无需抵押、担保，金融机构将根据《洛阳市财政局、中国人民银行洛阳市中心支行关于印发深入推进政府采购合同融资工作实施方案》（洛财购〔2021〕4号），按照双方自愿的原则提供便捷、优惠的贷款服务。</w:t>
      </w:r>
    </w:p>
    <w:p>
      <w:pPr>
        <w:pStyle w:val="56"/>
        <w:keepNext w:val="0"/>
        <w:keepLines w:val="0"/>
        <w:pageBreakBefore w:val="0"/>
        <w:kinsoku/>
        <w:wordWrap/>
        <w:overflowPunct/>
        <w:topLinePunct w:val="0"/>
        <w:bidi w:val="0"/>
        <w:snapToGrid/>
        <w:spacing w:before="120" w:after="120" w:line="480" w:lineRule="exact"/>
        <w:ind w:firstLine="699" w:firstLineChars="300"/>
        <w:textAlignment w:val="auto"/>
        <w:rPr>
          <w:rFonts w:hint="eastAsia" w:ascii="仿宋" w:hAnsi="仿宋" w:eastAsia="仿宋" w:cs="仿宋"/>
          <w:color w:val="auto"/>
          <w:kern w:val="2"/>
          <w:sz w:val="24"/>
          <w:szCs w:val="24"/>
          <w:highlight w:val="none"/>
          <w:lang w:val="en-US" w:eastAsia="zh-CN" w:bidi="ar-SA"/>
        </w:rPr>
        <w:sectPr>
          <w:pgSz w:w="11905" w:h="16838"/>
          <w:pgMar w:top="1440" w:right="1247" w:bottom="1440" w:left="1247" w:header="850" w:footer="992" w:gutter="0"/>
          <w:pgNumType w:fmt="decimal"/>
          <w:cols w:space="720" w:num="1"/>
          <w:rtlGutter w:val="0"/>
          <w:docGrid w:type="linesAndChars" w:linePitch="465" w:charSpace="-1638"/>
        </w:sectPr>
      </w:pPr>
      <w:r>
        <w:rPr>
          <w:rFonts w:hint="eastAsia" w:ascii="仿宋" w:hAnsi="仿宋" w:eastAsia="仿宋" w:cs="仿宋"/>
          <w:color w:val="auto"/>
          <w:sz w:val="24"/>
          <w:szCs w:val="24"/>
          <w:highlight w:val="none"/>
          <w:lang w:eastAsia="zh-CN"/>
        </w:rPr>
        <w:t>贷款渠道和提供贷款的金融机构，可在河南省政府采购网“河南省政府采购合同融资平台”</w:t>
      </w:r>
      <w:r>
        <w:rPr>
          <w:rFonts w:hint="eastAsia" w:ascii="仿宋" w:hAnsi="仿宋" w:eastAsia="仿宋" w:cs="仿宋"/>
          <w:color w:val="auto"/>
          <w:sz w:val="24"/>
          <w:szCs w:val="24"/>
          <w:highlight w:val="none"/>
          <w:lang w:val="en-US" w:eastAsia="zh-CN"/>
        </w:rPr>
        <w:t>或洛阳市</w:t>
      </w:r>
      <w:r>
        <w:rPr>
          <w:rFonts w:hint="eastAsia" w:ascii="仿宋" w:hAnsi="仿宋" w:eastAsia="仿宋" w:cs="仿宋"/>
          <w:color w:val="auto"/>
          <w:sz w:val="24"/>
          <w:szCs w:val="24"/>
          <w:highlight w:val="none"/>
          <w:lang w:eastAsia="zh-CN"/>
        </w:rPr>
        <w:t>政府采购网“政府采购合同融资</w:t>
      </w:r>
      <w:r>
        <w:rPr>
          <w:rFonts w:hint="eastAsia" w:ascii="仿宋" w:hAnsi="仿宋" w:eastAsia="仿宋" w:cs="仿宋"/>
          <w:color w:val="auto"/>
          <w:sz w:val="24"/>
          <w:szCs w:val="24"/>
          <w:highlight w:val="none"/>
          <w:lang w:val="en-US" w:eastAsia="zh-CN"/>
        </w:rPr>
        <w:t>业务入口</w:t>
      </w:r>
      <w:r>
        <w:rPr>
          <w:rFonts w:hint="eastAsia" w:ascii="仿宋" w:hAnsi="仿宋" w:eastAsia="仿宋" w:cs="仿宋"/>
          <w:color w:val="auto"/>
          <w:sz w:val="24"/>
          <w:szCs w:val="24"/>
          <w:highlight w:val="none"/>
          <w:lang w:eastAsia="zh-CN"/>
        </w:rPr>
        <w:t>”查询联系。</w:t>
      </w:r>
    </w:p>
    <w:p>
      <w:pPr>
        <w:pStyle w:val="34"/>
        <w:jc w:val="left"/>
        <w:outlineLvl w:val="0"/>
        <w:rPr>
          <w:rFonts w:hint="eastAsia" w:ascii="仿宋" w:hAnsi="仿宋" w:eastAsia="仿宋" w:cs="仿宋"/>
          <w:b/>
          <w:bCs/>
          <w:color w:val="auto"/>
          <w:kern w:val="28"/>
          <w:sz w:val="30"/>
          <w:szCs w:val="30"/>
          <w:highlight w:val="none"/>
          <w:lang w:val="en-US" w:eastAsia="zh-CN" w:bidi="en-US"/>
        </w:rPr>
      </w:pPr>
      <w:bookmarkStart w:id="236" w:name="_Toc14759"/>
      <w:bookmarkStart w:id="237" w:name="_Toc23585"/>
      <w:bookmarkStart w:id="238" w:name="_Toc11400"/>
      <w:r>
        <w:rPr>
          <w:rFonts w:hint="eastAsia" w:ascii="仿宋" w:hAnsi="仿宋" w:eastAsia="仿宋" w:cs="仿宋"/>
          <w:b/>
          <w:bCs/>
          <w:color w:val="auto"/>
          <w:kern w:val="28"/>
          <w:sz w:val="30"/>
          <w:szCs w:val="30"/>
          <w:highlight w:val="none"/>
          <w:lang w:val="en-US" w:eastAsia="zh-CN" w:bidi="en-US"/>
        </w:rPr>
        <w:t>附2：洛阳市政府采购融资贷联系方式及融资产品介绍</w:t>
      </w:r>
      <w:bookmarkEnd w:id="236"/>
      <w:bookmarkEnd w:id="237"/>
      <w:bookmarkEnd w:id="238"/>
    </w:p>
    <w:p>
      <w:pPr>
        <w:rPr>
          <w:rFonts w:hint="eastAsia" w:ascii="仿宋" w:hAnsi="仿宋" w:eastAsia="仿宋" w:cs="仿宋"/>
          <w:color w:val="auto"/>
          <w:sz w:val="21"/>
          <w:szCs w:val="21"/>
          <w:highlight w:val="none"/>
        </w:rPr>
      </w:pPr>
    </w:p>
    <w:p>
      <w:pPr>
        <w:wordWrap w:val="0"/>
        <w:jc w:val="center"/>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郑州银行股份有限公司洛阳分行政府采购融资贷</w:t>
      </w:r>
    </w:p>
    <w:p>
      <w:pPr>
        <w:wordWrap w:val="0"/>
        <w:jc w:val="center"/>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联系方式及融资产品介绍</w:t>
      </w:r>
    </w:p>
    <w:p>
      <w:pPr>
        <w:wordWrap w:val="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 xml:space="preserve">    一、联系方式：</w:t>
      </w:r>
    </w:p>
    <w:tbl>
      <w:tblPr>
        <w:tblStyle w:val="3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noWrap w:val="0"/>
            <w:vAlign w:val="top"/>
          </w:tcPr>
          <w:p>
            <w:pPr>
              <w:wordWrap w:val="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联系人</w:t>
            </w:r>
          </w:p>
        </w:tc>
        <w:tc>
          <w:tcPr>
            <w:tcW w:w="2130" w:type="dxa"/>
            <w:noWrap w:val="0"/>
            <w:vAlign w:val="top"/>
          </w:tcPr>
          <w:p>
            <w:pPr>
              <w:wordWrap w:val="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职务</w:t>
            </w:r>
          </w:p>
        </w:tc>
        <w:tc>
          <w:tcPr>
            <w:tcW w:w="2131" w:type="dxa"/>
            <w:noWrap w:val="0"/>
            <w:vAlign w:val="top"/>
          </w:tcPr>
          <w:p>
            <w:pPr>
              <w:wordWrap w:val="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地址</w:t>
            </w:r>
          </w:p>
        </w:tc>
        <w:tc>
          <w:tcPr>
            <w:tcW w:w="2131" w:type="dxa"/>
            <w:noWrap w:val="0"/>
            <w:vAlign w:val="top"/>
          </w:tcPr>
          <w:p>
            <w:pPr>
              <w:wordWrap w:val="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4" w:hRule="atLeast"/>
        </w:trPr>
        <w:tc>
          <w:tcPr>
            <w:tcW w:w="2130" w:type="dxa"/>
            <w:noWrap w:val="0"/>
            <w:vAlign w:val="top"/>
          </w:tcPr>
          <w:p>
            <w:pPr>
              <w:wordWrap w:val="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王剑</w:t>
            </w:r>
          </w:p>
        </w:tc>
        <w:tc>
          <w:tcPr>
            <w:tcW w:w="2130" w:type="dxa"/>
            <w:noWrap w:val="0"/>
            <w:vAlign w:val="top"/>
          </w:tcPr>
          <w:p>
            <w:pPr>
              <w:wordWrap w:val="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主任</w:t>
            </w:r>
          </w:p>
        </w:tc>
        <w:tc>
          <w:tcPr>
            <w:tcW w:w="2131" w:type="dxa"/>
            <w:vMerge w:val="restart"/>
            <w:noWrap w:val="0"/>
            <w:vAlign w:val="top"/>
          </w:tcPr>
          <w:p>
            <w:pPr>
              <w:wordWrap w:val="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洛阳市洛龙区关林路与厚载门街交叉口隆安大厦</w:t>
            </w:r>
          </w:p>
        </w:tc>
        <w:tc>
          <w:tcPr>
            <w:tcW w:w="2131" w:type="dxa"/>
            <w:noWrap w:val="0"/>
            <w:vAlign w:val="top"/>
          </w:tcPr>
          <w:p>
            <w:pPr>
              <w:wordWrap w:val="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13838808890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4" w:hRule="atLeast"/>
        </w:trPr>
        <w:tc>
          <w:tcPr>
            <w:tcW w:w="2130" w:type="dxa"/>
            <w:noWrap w:val="0"/>
            <w:vAlign w:val="top"/>
          </w:tcPr>
          <w:p>
            <w:pPr>
              <w:wordWrap w:val="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杨洋</w:t>
            </w:r>
          </w:p>
        </w:tc>
        <w:tc>
          <w:tcPr>
            <w:tcW w:w="2130" w:type="dxa"/>
            <w:noWrap w:val="0"/>
            <w:vAlign w:val="top"/>
          </w:tcPr>
          <w:p>
            <w:pPr>
              <w:wordWrap w:val="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业务负责人</w:t>
            </w:r>
          </w:p>
        </w:tc>
        <w:tc>
          <w:tcPr>
            <w:tcW w:w="2131" w:type="dxa"/>
            <w:vMerge w:val="continue"/>
            <w:noWrap w:val="0"/>
            <w:vAlign w:val="top"/>
          </w:tcPr>
          <w:p>
            <w:pPr>
              <w:wordWrap w:val="0"/>
              <w:jc w:val="left"/>
              <w:rPr>
                <w:rFonts w:hint="eastAsia" w:ascii="仿宋" w:hAnsi="仿宋" w:eastAsia="仿宋" w:cs="仿宋"/>
                <w:color w:val="auto"/>
                <w:sz w:val="30"/>
                <w:szCs w:val="30"/>
                <w:highlight w:val="none"/>
              </w:rPr>
            </w:pPr>
          </w:p>
        </w:tc>
        <w:tc>
          <w:tcPr>
            <w:tcW w:w="2131" w:type="dxa"/>
            <w:noWrap w:val="0"/>
            <w:vAlign w:val="top"/>
          </w:tcPr>
          <w:p>
            <w:pPr>
              <w:wordWrap w:val="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15896531927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noWrap w:val="0"/>
            <w:vAlign w:val="top"/>
          </w:tcPr>
          <w:p>
            <w:pPr>
              <w:wordWrap w:val="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周宜辉</w:t>
            </w:r>
          </w:p>
        </w:tc>
        <w:tc>
          <w:tcPr>
            <w:tcW w:w="2130" w:type="dxa"/>
            <w:noWrap w:val="0"/>
            <w:vAlign w:val="top"/>
          </w:tcPr>
          <w:p>
            <w:pPr>
              <w:wordWrap w:val="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客户经理</w:t>
            </w:r>
          </w:p>
        </w:tc>
        <w:tc>
          <w:tcPr>
            <w:tcW w:w="2131" w:type="dxa"/>
            <w:vMerge w:val="continue"/>
            <w:noWrap w:val="0"/>
            <w:vAlign w:val="top"/>
          </w:tcPr>
          <w:p>
            <w:pPr>
              <w:wordWrap w:val="0"/>
              <w:jc w:val="left"/>
              <w:rPr>
                <w:rFonts w:hint="eastAsia" w:ascii="仿宋" w:hAnsi="仿宋" w:eastAsia="仿宋" w:cs="仿宋"/>
                <w:color w:val="auto"/>
                <w:sz w:val="30"/>
                <w:szCs w:val="30"/>
                <w:highlight w:val="none"/>
              </w:rPr>
            </w:pPr>
          </w:p>
        </w:tc>
        <w:tc>
          <w:tcPr>
            <w:tcW w:w="2131" w:type="dxa"/>
            <w:noWrap w:val="0"/>
            <w:vAlign w:val="top"/>
          </w:tcPr>
          <w:p>
            <w:pPr>
              <w:wordWrap w:val="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15036316707</w:t>
            </w:r>
          </w:p>
        </w:tc>
      </w:tr>
    </w:tbl>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二、融资产品介绍：</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E采贷”是郑州银行作为参与政府采购的中小企业量身定制的用于政府采购合同履约，并以政府回款为还款来源的贷款产品。该产品主要解决政府采购商中标垫资的痛点，帮助中标企业快速、高效、便捷获取银行资金。告别采购融资难，政府中标即可贷。优先支持纳入省市级财政预算的服务贸易类行业企业。</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“E采贷”五大特点</w:t>
      </w:r>
      <w:r>
        <w:rPr>
          <w:rFonts w:hint="eastAsia" w:ascii="仿宋" w:hAnsi="仿宋" w:eastAsia="仿宋" w:cs="仿宋"/>
          <w:color w:val="auto"/>
          <w:sz w:val="30"/>
          <w:szCs w:val="30"/>
          <w:highlight w:val="none"/>
        </w:rPr>
        <w:t>：1.纯信用：无需抵押、担保；2.更灵活：随借随还，按需支用；3.额度高：最高为上年度中标额的1.3倍，单笔最高1000万元；4.适用广：在河南省政府采购网（www.hngp.gov.cn）有备案信息即可准入；5.效率高：绿色通道，保证时效。</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业务流程</w:t>
      </w:r>
      <w:r>
        <w:rPr>
          <w:rFonts w:hint="eastAsia" w:ascii="仿宋" w:hAnsi="仿宋" w:eastAsia="仿宋" w:cs="仿宋"/>
          <w:color w:val="auto"/>
          <w:sz w:val="30"/>
          <w:szCs w:val="30"/>
          <w:highlight w:val="none"/>
        </w:rPr>
        <w:t>：</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1.企业申请：凭政府采购中标通知书，向郑州银行提出授信申请。</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2.银行审批：客户经理现场调查，3个工作日反馈审批结果。</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3.企业提款：凭政府采购合同、购销合同等即可提款使用。</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利率及优惠政策</w:t>
      </w:r>
      <w:r>
        <w:rPr>
          <w:rFonts w:hint="eastAsia" w:ascii="仿宋" w:hAnsi="仿宋" w:eastAsia="仿宋" w:cs="仿宋"/>
          <w:color w:val="auto"/>
          <w:sz w:val="30"/>
          <w:szCs w:val="30"/>
          <w:highlight w:val="none"/>
        </w:rPr>
        <w:t>：</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贸易类不低于5.5%，工程类不低于6.5%，对符合条件的小微企业实行减费让利政策，减少客户融资成本（不存在与贷款捆绑强制收费；只收费不服务；超范围、超标准收费；转嫁成本收费；不执行政府指导价、政府定价等提升企业贷款成本的现象）着力解决小微企业“融资难”、“融资贵”的问题帮助客户更好成长。分行所有收费项目均严格根据监管部门和总行要求执行，我行对银行账户一律免收账户管理费。</w:t>
      </w:r>
    </w:p>
    <w:p>
      <w:pPr>
        <w:wordWrap w:val="0"/>
        <w:jc w:val="center"/>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中国银行股份有限公司河南省分行普惠金融</w:t>
      </w:r>
    </w:p>
    <w:p>
      <w:pPr>
        <w:wordWrap w:val="0"/>
        <w:jc w:val="center"/>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政采通宝业务服务方案</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准入标准:</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1.持续经营2年（含）以上。</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2.客户持有政府采购中标通知书（或以往年度有执行政府采购的记录），且政府采购业务无行政处罚记录。</w:t>
      </w:r>
      <w:r>
        <w:rPr>
          <w:rFonts w:hint="eastAsia" w:ascii="仿宋" w:hAnsi="仿宋" w:eastAsia="仿宋" w:cs="仿宋"/>
          <w:color w:val="auto"/>
          <w:sz w:val="30"/>
          <w:szCs w:val="30"/>
          <w:highlight w:val="none"/>
        </w:rPr>
        <w:cr/>
      </w:r>
      <w:r>
        <w:rPr>
          <w:rFonts w:hint="eastAsia" w:ascii="仿宋" w:hAnsi="仿宋" w:eastAsia="仿宋" w:cs="仿宋"/>
          <w:color w:val="auto"/>
          <w:sz w:val="30"/>
          <w:szCs w:val="30"/>
          <w:highlight w:val="none"/>
        </w:rPr>
        <w:t xml:space="preserve">    3.最近年度纳税申报收入不低于200万元。   </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4.借款人及其法人代表、实际控制人信用良好。</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5、单一客户“政采贷”授信总量最高金额不超过1000万元</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6、单笔贷款期限不超过一年。</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7、根据借款人生产经营及回款周期等特点，可采用按季付息，到期一次还本的还款方式，或分期偿还我行授信。</w:t>
      </w:r>
    </w:p>
    <w:p>
      <w:pPr>
        <w:wordWrap w:val="0"/>
        <w:ind w:firstLine="600"/>
        <w:jc w:val="left"/>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中国银行联系人：</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负责人：朱宗沛  15978695077</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信贷经理：印晨  15038659275</w:t>
      </w:r>
    </w:p>
    <w:p>
      <w:pPr>
        <w:pStyle w:val="85"/>
        <w:shd w:val="clear" w:color="FFFFFF" w:fill="FFFFFF"/>
        <w:wordWrap w:val="0"/>
        <w:spacing w:after="0" w:line="560" w:lineRule="exact"/>
        <w:ind w:firstLine="0"/>
        <w:jc w:val="center"/>
        <w:rPr>
          <w:rFonts w:hint="eastAsia" w:ascii="仿宋" w:hAnsi="仿宋" w:eastAsia="仿宋" w:cs="仿宋"/>
          <w:color w:val="auto"/>
          <w:sz w:val="36"/>
          <w:szCs w:val="44"/>
          <w:highlight w:val="none"/>
        </w:rPr>
      </w:pPr>
    </w:p>
    <w:p>
      <w:pPr>
        <w:wordWrap w:val="0"/>
        <w:jc w:val="center"/>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平顶山银行洛阳分行</w:t>
      </w:r>
    </w:p>
    <w:p>
      <w:pPr>
        <w:wordWrap w:val="0"/>
        <w:jc w:val="center"/>
        <w:rPr>
          <w:rFonts w:hint="eastAsia" w:ascii="仿宋" w:hAnsi="仿宋" w:eastAsia="仿宋" w:cs="仿宋"/>
          <w:color w:val="auto"/>
          <w:sz w:val="36"/>
          <w:szCs w:val="44"/>
          <w:highlight w:val="none"/>
        </w:rPr>
      </w:pPr>
      <w:r>
        <w:rPr>
          <w:rFonts w:hint="eastAsia" w:ascii="仿宋" w:hAnsi="仿宋" w:eastAsia="仿宋" w:cs="仿宋"/>
          <w:b/>
          <w:bCs/>
          <w:color w:val="auto"/>
          <w:sz w:val="36"/>
          <w:szCs w:val="36"/>
          <w:highlight w:val="none"/>
        </w:rPr>
        <w:t>政府采购融资联系方式及产品介绍</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一、联系方式</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机构名称：平顶山银行洛阳分行</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联系人：刘亚兴</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联系电话：13837937717（微信同号）</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二、产品介绍</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“银政易贷”是指平顶山银行针对中标政府采购合同的企业实际控制人发放的，专项用于履行政府采购合同的个人贷款业务。 </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1、目标客户：中标优质县区或区级（含）以上政府采购合同的企业实际控制人</w:t>
      </w:r>
    </w:p>
    <w:p>
      <w:pPr>
        <w:wordWrap w:val="0"/>
        <w:ind w:firstLine="600"/>
        <w:jc w:val="left"/>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rPr>
        <w:t>2、采购合同项目：包括货物类，服务类和工程类等</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 xml:space="preserve">3、贷款额度：最高500万元（含）    </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4、借款期限：不超过2年（参考中标合同约定付款期限）</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5、贷款利率：综合年利率不低于7%</w:t>
      </w:r>
    </w:p>
    <w:p>
      <w:pPr>
        <w:wordWrap w:val="0"/>
        <w:ind w:firstLine="600"/>
        <w:jc w:val="left"/>
        <w:rPr>
          <w:rFonts w:hint="eastAsia" w:ascii="仿宋" w:hAnsi="仿宋" w:eastAsia="仿宋" w:cs="仿宋"/>
          <w:b/>
          <w:bCs/>
          <w:color w:val="auto"/>
          <w:sz w:val="36"/>
          <w:szCs w:val="36"/>
          <w:highlight w:val="none"/>
        </w:rPr>
      </w:pPr>
      <w:r>
        <w:rPr>
          <w:rFonts w:hint="eastAsia" w:ascii="仿宋" w:hAnsi="仿宋" w:eastAsia="仿宋" w:cs="仿宋"/>
          <w:color w:val="auto"/>
          <w:sz w:val="30"/>
          <w:szCs w:val="30"/>
          <w:highlight w:val="none"/>
        </w:rPr>
        <w:t>6、还款方式：按月付息，到期一次性还本或根据客户实际经营情况不规则还款</w:t>
      </w:r>
    </w:p>
    <w:p>
      <w:pPr>
        <w:wordWrap w:val="0"/>
        <w:jc w:val="center"/>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恒丰银行政府采购融资贷联系方式</w:t>
      </w:r>
    </w:p>
    <w:p>
      <w:pPr>
        <w:wordWrap w:val="0"/>
        <w:jc w:val="center"/>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及融资产品介绍</w:t>
      </w:r>
    </w:p>
    <w:p>
      <w:pPr>
        <w:wordWrap w:val="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一、联系方式</w:t>
      </w:r>
    </w:p>
    <w:tbl>
      <w:tblPr>
        <w:tblStyle w:val="3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896"/>
        <w:gridCol w:w="2114"/>
        <w:gridCol w:w="11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04" w:type="dxa"/>
            <w:noWrap w:val="0"/>
            <w:vAlign w:val="center"/>
          </w:tcPr>
          <w:p>
            <w:pPr>
              <w:wordWrap w:val="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联系人</w:t>
            </w:r>
          </w:p>
        </w:tc>
        <w:tc>
          <w:tcPr>
            <w:tcW w:w="1704" w:type="dxa"/>
            <w:noWrap w:val="0"/>
            <w:vAlign w:val="center"/>
          </w:tcPr>
          <w:p>
            <w:pPr>
              <w:wordWrap w:val="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职务</w:t>
            </w:r>
          </w:p>
        </w:tc>
        <w:tc>
          <w:tcPr>
            <w:tcW w:w="1896" w:type="dxa"/>
            <w:noWrap w:val="0"/>
            <w:vAlign w:val="center"/>
          </w:tcPr>
          <w:p>
            <w:pPr>
              <w:wordWrap w:val="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地址</w:t>
            </w:r>
          </w:p>
        </w:tc>
        <w:tc>
          <w:tcPr>
            <w:tcW w:w="2114" w:type="dxa"/>
            <w:noWrap w:val="0"/>
            <w:vAlign w:val="center"/>
          </w:tcPr>
          <w:p>
            <w:pPr>
              <w:wordWrap w:val="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电话</w:t>
            </w:r>
          </w:p>
        </w:tc>
        <w:tc>
          <w:tcPr>
            <w:tcW w:w="1104" w:type="dxa"/>
            <w:noWrap w:val="0"/>
            <w:vAlign w:val="center"/>
          </w:tcPr>
          <w:p>
            <w:pPr>
              <w:wordWrap w:val="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noWrap w:val="0"/>
            <w:vAlign w:val="center"/>
          </w:tcPr>
          <w:p>
            <w:pPr>
              <w:wordWrap w:val="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张龙妹</w:t>
            </w:r>
          </w:p>
        </w:tc>
        <w:tc>
          <w:tcPr>
            <w:tcW w:w="1704" w:type="dxa"/>
            <w:noWrap w:val="0"/>
            <w:vAlign w:val="center"/>
          </w:tcPr>
          <w:p>
            <w:pPr>
              <w:wordWrap w:val="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客户经理</w:t>
            </w:r>
          </w:p>
        </w:tc>
        <w:tc>
          <w:tcPr>
            <w:tcW w:w="1896" w:type="dxa"/>
            <w:vMerge w:val="restart"/>
            <w:noWrap w:val="0"/>
            <w:vAlign w:val="center"/>
          </w:tcPr>
          <w:p>
            <w:pPr>
              <w:wordWrap w:val="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洛龙区展览路泉舜186西侧裙楼</w:t>
            </w:r>
          </w:p>
        </w:tc>
        <w:tc>
          <w:tcPr>
            <w:tcW w:w="2114" w:type="dxa"/>
            <w:noWrap w:val="0"/>
            <w:vAlign w:val="center"/>
          </w:tcPr>
          <w:p>
            <w:pPr>
              <w:wordWrap w:val="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18538882575</w:t>
            </w:r>
          </w:p>
        </w:tc>
        <w:tc>
          <w:tcPr>
            <w:tcW w:w="1104" w:type="dxa"/>
            <w:noWrap w:val="0"/>
            <w:vAlign w:val="center"/>
          </w:tcPr>
          <w:p>
            <w:pPr>
              <w:wordWrap w:val="0"/>
              <w:jc w:val="center"/>
              <w:rPr>
                <w:rFonts w:hint="eastAsia" w:ascii="仿宋" w:hAnsi="仿宋" w:eastAsia="仿宋" w:cs="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04" w:type="dxa"/>
            <w:noWrap w:val="0"/>
            <w:vAlign w:val="center"/>
          </w:tcPr>
          <w:p>
            <w:pPr>
              <w:wordWrap w:val="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张浩</w:t>
            </w:r>
          </w:p>
        </w:tc>
        <w:tc>
          <w:tcPr>
            <w:tcW w:w="1704" w:type="dxa"/>
            <w:noWrap w:val="0"/>
            <w:vAlign w:val="center"/>
          </w:tcPr>
          <w:p>
            <w:pPr>
              <w:wordWrap w:val="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公司金融部负责人</w:t>
            </w:r>
          </w:p>
        </w:tc>
        <w:tc>
          <w:tcPr>
            <w:tcW w:w="1896" w:type="dxa"/>
            <w:vMerge w:val="continue"/>
            <w:noWrap w:val="0"/>
            <w:vAlign w:val="center"/>
          </w:tcPr>
          <w:p>
            <w:pPr>
              <w:wordWrap w:val="0"/>
              <w:jc w:val="center"/>
              <w:rPr>
                <w:rFonts w:hint="eastAsia" w:ascii="仿宋" w:hAnsi="仿宋" w:eastAsia="仿宋" w:cs="仿宋"/>
                <w:color w:val="auto"/>
                <w:sz w:val="28"/>
                <w:szCs w:val="28"/>
                <w:highlight w:val="none"/>
              </w:rPr>
            </w:pPr>
          </w:p>
        </w:tc>
        <w:tc>
          <w:tcPr>
            <w:tcW w:w="2114" w:type="dxa"/>
            <w:noWrap w:val="0"/>
            <w:vAlign w:val="center"/>
          </w:tcPr>
          <w:p>
            <w:pPr>
              <w:wordWrap w:val="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18937966885</w:t>
            </w:r>
          </w:p>
        </w:tc>
        <w:tc>
          <w:tcPr>
            <w:tcW w:w="1104" w:type="dxa"/>
            <w:noWrap w:val="0"/>
            <w:vAlign w:val="center"/>
          </w:tcPr>
          <w:p>
            <w:pPr>
              <w:wordWrap w:val="0"/>
              <w:jc w:val="center"/>
              <w:rPr>
                <w:rFonts w:hint="eastAsia" w:ascii="仿宋" w:hAnsi="仿宋" w:eastAsia="仿宋" w:cs="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noWrap w:val="0"/>
            <w:vAlign w:val="center"/>
          </w:tcPr>
          <w:p>
            <w:pPr>
              <w:wordWrap w:val="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裴绍辉</w:t>
            </w:r>
          </w:p>
        </w:tc>
        <w:tc>
          <w:tcPr>
            <w:tcW w:w="1704" w:type="dxa"/>
            <w:noWrap w:val="0"/>
            <w:vAlign w:val="center"/>
          </w:tcPr>
          <w:p>
            <w:pPr>
              <w:wordWrap w:val="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分管行长</w:t>
            </w:r>
          </w:p>
        </w:tc>
        <w:tc>
          <w:tcPr>
            <w:tcW w:w="1896" w:type="dxa"/>
            <w:vMerge w:val="continue"/>
            <w:noWrap w:val="0"/>
            <w:vAlign w:val="center"/>
          </w:tcPr>
          <w:p>
            <w:pPr>
              <w:wordWrap w:val="0"/>
              <w:jc w:val="center"/>
              <w:rPr>
                <w:rFonts w:hint="eastAsia" w:ascii="仿宋" w:hAnsi="仿宋" w:eastAsia="仿宋" w:cs="仿宋"/>
                <w:color w:val="auto"/>
                <w:sz w:val="28"/>
                <w:szCs w:val="28"/>
                <w:highlight w:val="none"/>
              </w:rPr>
            </w:pPr>
          </w:p>
        </w:tc>
        <w:tc>
          <w:tcPr>
            <w:tcW w:w="2114" w:type="dxa"/>
            <w:noWrap w:val="0"/>
            <w:vAlign w:val="center"/>
          </w:tcPr>
          <w:p>
            <w:pPr>
              <w:wordWrap w:val="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18637904888</w:t>
            </w:r>
          </w:p>
        </w:tc>
        <w:tc>
          <w:tcPr>
            <w:tcW w:w="1104" w:type="dxa"/>
            <w:noWrap w:val="0"/>
            <w:vAlign w:val="center"/>
          </w:tcPr>
          <w:p>
            <w:pPr>
              <w:wordWrap w:val="0"/>
              <w:jc w:val="center"/>
              <w:rPr>
                <w:rFonts w:hint="eastAsia" w:ascii="仿宋" w:hAnsi="仿宋" w:eastAsia="仿宋" w:cs="仿宋"/>
                <w:color w:val="auto"/>
                <w:sz w:val="28"/>
                <w:szCs w:val="28"/>
                <w:highlight w:val="none"/>
              </w:rPr>
            </w:pPr>
          </w:p>
        </w:tc>
      </w:tr>
    </w:tbl>
    <w:p>
      <w:pPr>
        <w:wordWrap w:val="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二、融资产品介绍</w:t>
      </w:r>
    </w:p>
    <w:p>
      <w:pPr>
        <w:wordWrap w:val="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     1.恒丰银行“政采云贷”</w:t>
      </w:r>
    </w:p>
    <w:p>
      <w:pPr>
        <w:wordWrap w:val="0"/>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针对政府采购项目中标小微客户在线发放用于采购项目（不包括工程项目）资金周转需要的流动资金贷款。</w:t>
      </w:r>
    </w:p>
    <w:p>
      <w:pPr>
        <w:wordWrap w:val="0"/>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担保方式：免抵押、无担保，开立指定回款账户</w:t>
      </w:r>
    </w:p>
    <w:p>
      <w:pPr>
        <w:wordWrap w:val="0"/>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授信额度：单户授信最高不超过1000万元</w:t>
      </w:r>
    </w:p>
    <w:p>
      <w:pPr>
        <w:wordWrap w:val="0"/>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授信期限：不超过一年，贷款到期日不晚于政府中标合同约定款日后的十个工作日</w:t>
      </w:r>
    </w:p>
    <w:p>
      <w:pPr>
        <w:wordWrap w:val="0"/>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还款方式：按月付息，到期还本或阶段性还款</w:t>
      </w:r>
    </w:p>
    <w:p>
      <w:pPr>
        <w:wordWrap w:val="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    2.准入标准</w:t>
      </w:r>
    </w:p>
    <w:p>
      <w:pPr>
        <w:wordWrap w:val="0"/>
        <w:spacing w:line="360" w:lineRule="auto"/>
        <w:ind w:firstLine="560" w:firstLineChars="2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（1）企业成立一年以上，有洛阳市固定经营场所；企业实际控制人有两年以上行业从业经验。</w:t>
      </w:r>
    </w:p>
    <w:p>
      <w:pPr>
        <w:wordWrap w:val="0"/>
        <w:spacing w:line="360" w:lineRule="auto"/>
        <w:ind w:firstLine="560" w:firstLineChars="2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（2）企业及其实际控制人信誉良好，合法经营，无不良记录，无恶意违约记录。</w:t>
      </w:r>
    </w:p>
    <w:p>
      <w:pPr>
        <w:wordWrap w:val="0"/>
        <w:spacing w:line="360" w:lineRule="auto"/>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    （3）我行信用评级结果在B3三级以上。</w:t>
      </w:r>
    </w:p>
    <w:p>
      <w:pPr>
        <w:wordWrap w:val="0"/>
        <w:spacing w:line="360" w:lineRule="auto"/>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    （4）企业名下现有贷款合计不超过上年度总收入的45%。</w:t>
      </w:r>
    </w:p>
    <w:p>
      <w:pPr>
        <w:wordWrap w:val="0"/>
        <w:spacing w:line="360" w:lineRule="auto"/>
        <w:ind w:firstLine="560" w:firstLineChars="200"/>
        <w:jc w:val="left"/>
        <w:rPr>
          <w:rFonts w:hint="eastAsia" w:ascii="仿宋" w:hAnsi="仿宋" w:eastAsia="仿宋" w:cs="仿宋"/>
          <w:b/>
          <w:bCs/>
          <w:color w:val="auto"/>
          <w:sz w:val="36"/>
          <w:szCs w:val="36"/>
          <w:highlight w:val="none"/>
        </w:rPr>
      </w:pPr>
      <w:r>
        <w:rPr>
          <w:rFonts w:hint="eastAsia" w:ascii="仿宋" w:hAnsi="仿宋" w:eastAsia="仿宋" w:cs="仿宋"/>
          <w:color w:val="auto"/>
          <w:sz w:val="28"/>
          <w:szCs w:val="28"/>
          <w:highlight w:val="none"/>
        </w:rPr>
        <w:t>（5）近两年有两次含以上政府中标记录，且供货履约情况良好。</w:t>
      </w:r>
    </w:p>
    <w:p>
      <w:pPr>
        <w:wordWrap w:val="0"/>
        <w:jc w:val="center"/>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兴业银行洛阳分行</w:t>
      </w:r>
    </w:p>
    <w:p>
      <w:pPr>
        <w:wordWrap w:val="0"/>
        <w:jc w:val="center"/>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政府采购融资联系方式及产品介绍</w:t>
      </w:r>
    </w:p>
    <w:p>
      <w:pPr>
        <w:wordWrap w:val="0"/>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分管领导：樊博（副行长、18638805299）；信贷经理：尚梅（市场营销部负责人、15538855595）；具体联系人：张海峰（产品经理、18603794400）</w:t>
      </w:r>
    </w:p>
    <w:p>
      <w:pPr>
        <w:numPr>
          <w:ilvl w:val="0"/>
          <w:numId w:val="2"/>
        </w:numPr>
        <w:wordWrap w:val="0"/>
        <w:ind w:firstLine="600" w:firstLineChars="200"/>
        <w:rPr>
          <w:rFonts w:hint="eastAsia" w:ascii="仿宋" w:hAnsi="仿宋" w:eastAsia="仿宋" w:cs="仿宋"/>
          <w:color w:val="auto"/>
          <w:sz w:val="44"/>
          <w:szCs w:val="44"/>
          <w:highlight w:val="none"/>
        </w:rPr>
      </w:pPr>
      <w:r>
        <w:rPr>
          <w:rFonts w:hint="eastAsia" w:ascii="仿宋" w:hAnsi="仿宋" w:eastAsia="仿宋" w:cs="仿宋"/>
          <w:color w:val="auto"/>
          <w:sz w:val="30"/>
          <w:szCs w:val="30"/>
          <w:highlight w:val="none"/>
        </w:rPr>
        <w:t>产品介绍</w:t>
      </w:r>
    </w:p>
    <w:p>
      <w:pPr>
        <w:numPr>
          <w:ilvl w:val="0"/>
          <w:numId w:val="2"/>
        </w:numPr>
        <w:wordWrap w:val="0"/>
        <w:ind w:firstLine="600" w:firstLineChars="200"/>
        <w:rPr>
          <w:rFonts w:hint="eastAsia" w:ascii="仿宋" w:hAnsi="仿宋" w:eastAsia="仿宋" w:cs="仿宋"/>
          <w:color w:val="auto"/>
          <w:sz w:val="44"/>
          <w:szCs w:val="44"/>
          <w:highlight w:val="none"/>
        </w:rPr>
      </w:pPr>
      <w:r>
        <w:rPr>
          <w:rFonts w:hint="eastAsia" w:ascii="仿宋" w:hAnsi="仿宋" w:eastAsia="仿宋" w:cs="仿宋"/>
          <w:color w:val="auto"/>
          <w:sz w:val="30"/>
          <w:szCs w:val="30"/>
          <w:highlight w:val="none"/>
        </w:rPr>
        <w:t>授信额度：最高不超过500万元（含）。</w:t>
      </w:r>
    </w:p>
    <w:p>
      <w:pPr>
        <w:numPr>
          <w:ilvl w:val="0"/>
          <w:numId w:val="2"/>
        </w:numPr>
        <w:wordWrap w:val="0"/>
        <w:ind w:firstLine="600" w:firstLineChars="200"/>
        <w:rPr>
          <w:rFonts w:hint="eastAsia" w:ascii="仿宋" w:hAnsi="仿宋" w:eastAsia="仿宋" w:cs="仿宋"/>
          <w:color w:val="auto"/>
          <w:sz w:val="44"/>
          <w:szCs w:val="44"/>
          <w:highlight w:val="none"/>
        </w:rPr>
      </w:pPr>
      <w:r>
        <w:rPr>
          <w:rFonts w:hint="eastAsia" w:ascii="仿宋" w:hAnsi="仿宋" w:eastAsia="仿宋" w:cs="仿宋"/>
          <w:color w:val="auto"/>
          <w:sz w:val="30"/>
          <w:szCs w:val="30"/>
          <w:highlight w:val="none"/>
        </w:rPr>
        <w:t>期限：主体授信额度有效期不超过1年</w:t>
      </w:r>
    </w:p>
    <w:p>
      <w:pPr>
        <w:numPr>
          <w:ilvl w:val="0"/>
          <w:numId w:val="2"/>
        </w:numPr>
        <w:wordWrap w:val="0"/>
        <w:ind w:firstLine="600" w:firstLineChars="200"/>
        <w:rPr>
          <w:rFonts w:hint="eastAsia" w:ascii="仿宋" w:hAnsi="仿宋" w:eastAsia="仿宋" w:cs="仿宋"/>
          <w:color w:val="auto"/>
          <w:sz w:val="44"/>
          <w:szCs w:val="44"/>
          <w:highlight w:val="none"/>
        </w:rPr>
      </w:pPr>
      <w:r>
        <w:rPr>
          <w:rFonts w:hint="eastAsia" w:ascii="仿宋" w:hAnsi="仿宋" w:eastAsia="仿宋" w:cs="仿宋"/>
          <w:color w:val="auto"/>
          <w:sz w:val="30"/>
          <w:szCs w:val="30"/>
          <w:highlight w:val="none"/>
        </w:rPr>
        <w:t>利率：自动生成贷款利率。</w:t>
      </w:r>
    </w:p>
    <w:p>
      <w:pPr>
        <w:numPr>
          <w:ilvl w:val="0"/>
          <w:numId w:val="2"/>
        </w:numPr>
        <w:wordWrap w:val="0"/>
        <w:ind w:firstLine="600" w:firstLineChars="200"/>
        <w:rPr>
          <w:rFonts w:hint="eastAsia" w:ascii="仿宋" w:hAnsi="仿宋" w:eastAsia="仿宋" w:cs="仿宋"/>
          <w:color w:val="auto"/>
          <w:sz w:val="44"/>
          <w:szCs w:val="44"/>
          <w:highlight w:val="none"/>
        </w:rPr>
      </w:pPr>
      <w:r>
        <w:rPr>
          <w:rFonts w:hint="eastAsia" w:ascii="仿宋" w:hAnsi="仿宋" w:eastAsia="仿宋" w:cs="仿宋"/>
          <w:color w:val="auto"/>
          <w:sz w:val="30"/>
          <w:szCs w:val="30"/>
          <w:highlight w:val="none"/>
        </w:rPr>
        <w:t>用途：贷款资金专项用于借款企业履行政府交易采购平台采购合同或订单所需的各类成本、费用及劳务支出等短期流动资金需求和日常经营周转需要。</w:t>
      </w:r>
    </w:p>
    <w:p>
      <w:pPr>
        <w:numPr>
          <w:ilvl w:val="0"/>
          <w:numId w:val="2"/>
        </w:numPr>
        <w:wordWrap w:val="0"/>
        <w:ind w:firstLine="600" w:firstLineChars="200"/>
        <w:rPr>
          <w:rFonts w:hint="eastAsia" w:ascii="仿宋" w:hAnsi="仿宋" w:eastAsia="仿宋" w:cs="仿宋"/>
          <w:color w:val="auto"/>
          <w:sz w:val="44"/>
          <w:szCs w:val="44"/>
          <w:highlight w:val="none"/>
        </w:rPr>
      </w:pPr>
      <w:r>
        <w:rPr>
          <w:rFonts w:hint="eastAsia" w:ascii="仿宋" w:hAnsi="仿宋" w:eastAsia="仿宋" w:cs="仿宋"/>
          <w:color w:val="auto"/>
          <w:sz w:val="30"/>
          <w:szCs w:val="30"/>
          <w:highlight w:val="none"/>
        </w:rPr>
        <w:t>担保方式：企业主个人提供连带责任保证，追加采购合同或订单对应的应收账款质押。</w:t>
      </w:r>
    </w:p>
    <w:p>
      <w:pPr>
        <w:numPr>
          <w:ilvl w:val="0"/>
          <w:numId w:val="2"/>
        </w:numPr>
        <w:wordWrap w:val="0"/>
        <w:ind w:firstLine="600" w:firstLineChars="200"/>
        <w:rPr>
          <w:rFonts w:hint="eastAsia" w:ascii="仿宋" w:hAnsi="仿宋" w:eastAsia="仿宋" w:cs="仿宋"/>
          <w:color w:val="auto"/>
          <w:sz w:val="44"/>
          <w:szCs w:val="44"/>
          <w:highlight w:val="none"/>
        </w:rPr>
      </w:pPr>
      <w:r>
        <w:rPr>
          <w:rFonts w:hint="eastAsia" w:ascii="仿宋" w:hAnsi="仿宋" w:eastAsia="仿宋" w:cs="仿宋"/>
          <w:color w:val="auto"/>
          <w:sz w:val="30"/>
          <w:szCs w:val="30"/>
          <w:highlight w:val="none"/>
        </w:rPr>
        <w:t>支付方式：采用受托支付方式</w:t>
      </w:r>
    </w:p>
    <w:p>
      <w:pPr>
        <w:numPr>
          <w:ilvl w:val="0"/>
          <w:numId w:val="2"/>
        </w:numPr>
        <w:wordWrap w:val="0"/>
        <w:ind w:firstLine="600" w:firstLineChars="200"/>
        <w:rPr>
          <w:rFonts w:hint="eastAsia" w:ascii="仿宋" w:hAnsi="仿宋" w:eastAsia="仿宋" w:cs="仿宋"/>
          <w:color w:val="auto"/>
          <w:sz w:val="44"/>
          <w:szCs w:val="44"/>
          <w:highlight w:val="none"/>
        </w:rPr>
      </w:pPr>
      <w:r>
        <w:rPr>
          <w:rFonts w:hint="eastAsia" w:ascii="仿宋" w:hAnsi="仿宋" w:eastAsia="仿宋" w:cs="仿宋"/>
          <w:color w:val="auto"/>
          <w:sz w:val="30"/>
          <w:szCs w:val="30"/>
          <w:highlight w:val="none"/>
        </w:rPr>
        <w:t>还款方式：按月付息，本金可结合采购合同或订单情况及实际资金需求循环使用，采购合同或订单项下回款由系统自动扣划归还对应的贷款本息，借款企业也可自助提前还款。</w:t>
      </w:r>
    </w:p>
    <w:p>
      <w:pPr>
        <w:wordWrap w:val="0"/>
        <w:spacing w:line="590" w:lineRule="exact"/>
        <w:ind w:left="0" w:leftChars="0" w:firstLine="0" w:firstLineChars="0"/>
        <w:jc w:val="center"/>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工商银行洛阳分行“政采贷”产品</w:t>
      </w:r>
    </w:p>
    <w:p>
      <w:pPr>
        <w:widowControl/>
        <w:wordWrap w:val="0"/>
        <w:ind w:firstLine="602" w:firstLineChars="200"/>
        <w:jc w:val="left"/>
        <w:rPr>
          <w:rFonts w:hint="eastAsia" w:ascii="仿宋" w:hAnsi="仿宋" w:eastAsia="仿宋" w:cs="仿宋"/>
          <w:b/>
          <w:bCs/>
          <w:color w:val="auto"/>
          <w:sz w:val="30"/>
          <w:szCs w:val="30"/>
          <w:highlight w:val="none"/>
        </w:rPr>
      </w:pPr>
    </w:p>
    <w:p>
      <w:pPr>
        <w:widowControl/>
        <w:wordWrap w:val="0"/>
        <w:ind w:firstLine="602" w:firstLineChars="200"/>
        <w:jc w:val="left"/>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工商银行“政采贷”简介：</w:t>
      </w:r>
    </w:p>
    <w:p>
      <w:pPr>
        <w:widowControl/>
        <w:wordWrap w:val="0"/>
        <w:ind w:firstLine="600" w:firstLineChars="2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“政采贷”是工行与政府采购数据进行系统对接，根据获取包括但不限于供应商中标、采购合同、收验货、付款以及历史交易数据等信息，为政府供应商提供的融资贷款金融服务。</w:t>
      </w:r>
    </w:p>
    <w:p>
      <w:pPr>
        <w:widowControl/>
        <w:numPr>
          <w:ilvl w:val="0"/>
          <w:numId w:val="3"/>
        </w:numPr>
        <w:wordWrap w:val="0"/>
        <w:ind w:firstLine="600" w:firstLineChars="2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适用范围：供应商目前仅限于小微企业，后续将结合市场需要，适时拓展至大中型企业。</w:t>
      </w:r>
    </w:p>
    <w:p>
      <w:pPr>
        <w:widowControl/>
        <w:numPr>
          <w:ilvl w:val="0"/>
          <w:numId w:val="3"/>
        </w:numPr>
        <w:wordWrap w:val="0"/>
        <w:ind w:firstLine="600" w:firstLineChars="2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融资额度：供应商融资最高不超过订单金额70%。</w:t>
      </w:r>
    </w:p>
    <w:p>
      <w:pPr>
        <w:widowControl/>
        <w:numPr>
          <w:ilvl w:val="0"/>
          <w:numId w:val="3"/>
        </w:numPr>
        <w:wordWrap w:val="0"/>
        <w:ind w:firstLine="600" w:firstLineChars="2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贷款期限：根据政府采购合同等内容确定贷款期限，最长可以5年。</w:t>
      </w:r>
    </w:p>
    <w:p>
      <w:pPr>
        <w:widowControl/>
        <w:wordWrap w:val="0"/>
        <w:ind w:firstLine="600" w:firstLineChars="2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4、贷款利率：融资利率参考最近市场利率（LPR）合理确定。</w:t>
      </w:r>
    </w:p>
    <w:p>
      <w:pPr>
        <w:widowControl/>
        <w:wordWrap w:val="0"/>
        <w:ind w:firstLine="600" w:firstLineChars="2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5、办理手续：</w:t>
      </w:r>
      <w:r>
        <w:rPr>
          <w:rFonts w:hint="eastAsia" w:ascii="仿宋" w:hAnsi="仿宋" w:eastAsia="仿宋" w:cs="仿宋"/>
          <w:color w:val="auto"/>
          <w:sz w:val="30"/>
          <w:szCs w:val="30"/>
          <w:highlight w:val="none"/>
        </w:rPr>
        <w:sym w:font="Wingdings" w:char="F081"/>
      </w:r>
      <w:r>
        <w:rPr>
          <w:rFonts w:hint="eastAsia" w:ascii="仿宋" w:hAnsi="仿宋" w:eastAsia="仿宋" w:cs="仿宋"/>
          <w:color w:val="auto"/>
          <w:sz w:val="30"/>
          <w:szCs w:val="30"/>
          <w:highlight w:val="none"/>
        </w:rPr>
        <w:t>供应商与工行取得联系，开立账户，开通网上银行。</w:t>
      </w:r>
      <w:r>
        <w:rPr>
          <w:rFonts w:hint="eastAsia" w:ascii="仿宋" w:hAnsi="仿宋" w:eastAsia="仿宋" w:cs="仿宋"/>
          <w:color w:val="auto"/>
          <w:sz w:val="30"/>
          <w:szCs w:val="30"/>
          <w:highlight w:val="none"/>
        </w:rPr>
        <w:sym w:font="Wingdings" w:char="F082"/>
      </w:r>
      <w:r>
        <w:rPr>
          <w:rFonts w:hint="eastAsia" w:ascii="仿宋" w:hAnsi="仿宋" w:eastAsia="仿宋" w:cs="仿宋"/>
          <w:color w:val="auto"/>
          <w:sz w:val="30"/>
          <w:szCs w:val="30"/>
          <w:highlight w:val="none"/>
        </w:rPr>
        <w:t>与工行经办人员线下沟通确定融资金额，通过工行网上银行自助申请贷款金额。</w:t>
      </w:r>
      <w:r>
        <w:rPr>
          <w:rFonts w:hint="eastAsia" w:ascii="仿宋" w:hAnsi="仿宋" w:eastAsia="仿宋" w:cs="仿宋"/>
          <w:color w:val="auto"/>
          <w:sz w:val="30"/>
          <w:szCs w:val="30"/>
          <w:highlight w:val="none"/>
        </w:rPr>
        <w:sym w:font="Wingdings" w:char="F083"/>
      </w:r>
      <w:r>
        <w:rPr>
          <w:rFonts w:hint="eastAsia" w:ascii="仿宋" w:hAnsi="仿宋" w:eastAsia="仿宋" w:cs="仿宋"/>
          <w:color w:val="auto"/>
          <w:sz w:val="30"/>
          <w:szCs w:val="30"/>
          <w:highlight w:val="none"/>
        </w:rPr>
        <w:t>工行进行贷款指令确定，贷款线上发放至供应商工行账户。</w:t>
      </w:r>
    </w:p>
    <w:p>
      <w:pPr>
        <w:widowControl/>
        <w:wordWrap w:val="0"/>
        <w:ind w:firstLine="600" w:firstLineChars="2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分管领导：李亚琼：16603797557</w:t>
      </w:r>
    </w:p>
    <w:p>
      <w:pPr>
        <w:widowControl/>
        <w:wordWrap w:val="0"/>
        <w:ind w:firstLine="600" w:firstLineChars="2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 xml:space="preserve">          李若明：13233995266</w:t>
      </w:r>
    </w:p>
    <w:p>
      <w:pPr>
        <w:widowControl/>
        <w:wordWrap w:val="0"/>
        <w:ind w:firstLine="600" w:firstLineChars="2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信贷经理：朱建国：13653893229</w:t>
      </w:r>
    </w:p>
    <w:p>
      <w:pPr>
        <w:widowControl/>
        <w:wordWrap w:val="0"/>
        <w:ind w:firstLine="600" w:firstLineChars="200"/>
        <w:jc w:val="left"/>
        <w:rPr>
          <w:rFonts w:hint="eastAsia" w:ascii="仿宋" w:hAnsi="仿宋" w:eastAsia="仿宋" w:cs="仿宋"/>
          <w:b/>
          <w:color w:val="auto"/>
          <w:sz w:val="30"/>
          <w:szCs w:val="30"/>
          <w:highlight w:val="none"/>
        </w:rPr>
      </w:pPr>
      <w:r>
        <w:rPr>
          <w:rFonts w:hint="eastAsia" w:ascii="仿宋" w:hAnsi="仿宋" w:eastAsia="仿宋" w:cs="仿宋"/>
          <w:color w:val="auto"/>
          <w:sz w:val="30"/>
          <w:szCs w:val="30"/>
          <w:highlight w:val="none"/>
        </w:rPr>
        <w:t xml:space="preserve">          张佩兰：15603799799</w:t>
      </w:r>
    </w:p>
    <w:p>
      <w:pPr>
        <w:wordWrap w:val="0"/>
        <w:jc w:val="center"/>
        <w:rPr>
          <w:rFonts w:hint="eastAsia" w:ascii="仿宋" w:hAnsi="仿宋" w:eastAsia="仿宋" w:cs="仿宋"/>
          <w:b/>
          <w:color w:val="auto"/>
          <w:sz w:val="44"/>
          <w:szCs w:val="44"/>
          <w:highlight w:val="none"/>
        </w:rPr>
      </w:pPr>
    </w:p>
    <w:p>
      <w:pPr>
        <w:wordWrap w:val="0"/>
        <w:jc w:val="center"/>
        <w:rPr>
          <w:rFonts w:hint="eastAsia" w:ascii="仿宋" w:hAnsi="仿宋" w:eastAsia="仿宋" w:cs="仿宋"/>
          <w:b/>
          <w:color w:val="auto"/>
          <w:sz w:val="36"/>
          <w:szCs w:val="36"/>
          <w:highlight w:val="none"/>
        </w:rPr>
      </w:pPr>
      <w:r>
        <w:rPr>
          <w:rFonts w:hint="eastAsia" w:ascii="仿宋" w:hAnsi="仿宋" w:eastAsia="仿宋" w:cs="仿宋"/>
          <w:b/>
          <w:color w:val="auto"/>
          <w:sz w:val="36"/>
          <w:szCs w:val="36"/>
          <w:highlight w:val="none"/>
        </w:rPr>
        <w:t>平安银行“政采E贷”产品介绍</w:t>
      </w:r>
    </w:p>
    <w:p>
      <w:pPr>
        <w:wordWrap w:val="0"/>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平安银行“政采E贷”是平安银行与采购中心对接后，基于互联网技术、政府采购数据等信息，为中标政府采购项目的企业提供的互联网信用贷款。</w:t>
      </w:r>
    </w:p>
    <w:p>
      <w:pPr>
        <w:wordWrap w:val="0"/>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rPr>
        <w:t>产品优势：</w:t>
      </w:r>
    </w:p>
    <w:p>
      <w:pPr>
        <w:wordWrap w:val="0"/>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1、额度高：线上最高500万元。</w:t>
      </w:r>
    </w:p>
    <w:p>
      <w:pPr>
        <w:wordWrap w:val="0"/>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2、申请易：5分钟完成线上申请。</w:t>
      </w:r>
    </w:p>
    <w:p>
      <w:pPr>
        <w:wordWrap w:val="0"/>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3、用款快：凭订单最快1天生效。</w:t>
      </w:r>
    </w:p>
    <w:p>
      <w:pPr>
        <w:wordWrap w:val="0"/>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4、纯信用：凭政府中标订单即可融资。</w:t>
      </w:r>
    </w:p>
    <w:p>
      <w:pPr>
        <w:wordWrap w:val="0"/>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rPr>
        <w:t xml:space="preserve">产品申请资格： </w:t>
      </w:r>
    </w:p>
    <w:p>
      <w:pPr>
        <w:numPr>
          <w:ilvl w:val="0"/>
          <w:numId w:val="4"/>
        </w:num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我行白名单财政项下的政府采购项目融资。</w:t>
      </w:r>
    </w:p>
    <w:p>
      <w:pPr>
        <w:numPr>
          <w:ilvl w:val="0"/>
          <w:numId w:val="4"/>
        </w:num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有历史中标采购记录的政府采购供应商。</w:t>
      </w:r>
    </w:p>
    <w:p>
      <w:pPr>
        <w:numPr>
          <w:ilvl w:val="0"/>
          <w:numId w:val="4"/>
        </w:num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企业及申请人信用良好。</w:t>
      </w:r>
    </w:p>
    <w:p>
      <w:pPr>
        <w:wordWrap w:val="0"/>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rPr>
        <w:t xml:space="preserve">期限、利率和还款方式： </w:t>
      </w:r>
    </w:p>
    <w:p>
      <w:pPr>
        <w:wordWrap w:val="0"/>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期限：1个月到1年。</w:t>
      </w:r>
    </w:p>
    <w:p>
      <w:pPr>
        <w:wordWrap w:val="0"/>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还款方式 ：先息后本、等额本息、等额本金。</w:t>
      </w:r>
    </w:p>
    <w:p>
      <w:pPr>
        <w:wordWrap w:val="0"/>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利率：年化利率低至6% 。</w:t>
      </w:r>
    </w:p>
    <w:p>
      <w:pPr>
        <w:wordWrap w:val="0"/>
        <w:rPr>
          <w:rFonts w:hint="eastAsia" w:ascii="仿宋" w:hAnsi="仿宋" w:eastAsia="仿宋" w:cs="仿宋"/>
          <w:color w:val="auto"/>
          <w:sz w:val="30"/>
          <w:szCs w:val="30"/>
          <w:highlight w:val="none"/>
        </w:rPr>
      </w:pPr>
      <w:r>
        <w:rPr>
          <w:rFonts w:hint="eastAsia" w:ascii="仿宋" w:hAnsi="仿宋" w:eastAsia="仿宋" w:cs="仿宋"/>
          <w:b/>
          <w:color w:val="auto"/>
          <w:sz w:val="30"/>
          <w:szCs w:val="30"/>
          <w:highlight w:val="none"/>
        </w:rPr>
        <w:t>举例1：</w:t>
      </w:r>
      <w:r>
        <w:rPr>
          <w:rFonts w:hint="eastAsia" w:ascii="仿宋" w:hAnsi="仿宋" w:eastAsia="仿宋" w:cs="仿宋"/>
          <w:color w:val="auto"/>
          <w:sz w:val="30"/>
          <w:szCs w:val="30"/>
          <w:highlight w:val="none"/>
        </w:rPr>
        <w:t>贷款100万元，3个月（先息后本，利率6%），前两个月需要支付利息5000元/月，到期还本付息。</w:t>
      </w:r>
    </w:p>
    <w:p>
      <w:pPr>
        <w:wordWrap w:val="0"/>
        <w:rPr>
          <w:rFonts w:hint="eastAsia" w:ascii="仿宋" w:hAnsi="仿宋" w:eastAsia="仿宋" w:cs="仿宋"/>
          <w:color w:val="auto"/>
          <w:sz w:val="30"/>
          <w:szCs w:val="30"/>
          <w:highlight w:val="none"/>
        </w:rPr>
      </w:pPr>
      <w:r>
        <w:rPr>
          <w:rFonts w:hint="eastAsia" w:ascii="仿宋" w:hAnsi="仿宋" w:eastAsia="仿宋" w:cs="仿宋"/>
          <w:b/>
          <w:color w:val="auto"/>
          <w:sz w:val="30"/>
          <w:szCs w:val="30"/>
          <w:highlight w:val="none"/>
        </w:rPr>
        <w:t>举例2：</w:t>
      </w:r>
      <w:r>
        <w:rPr>
          <w:rFonts w:hint="eastAsia" w:ascii="仿宋" w:hAnsi="仿宋" w:eastAsia="仿宋" w:cs="仿宋"/>
          <w:color w:val="auto"/>
          <w:sz w:val="30"/>
          <w:szCs w:val="30"/>
          <w:highlight w:val="none"/>
        </w:rPr>
        <w:t>贷款100万元，1年期限（等额本息，利率6%），每个月需要支付本息约86035元。</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平安银行洛阳分行联系人：</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总经理：    王煜    13523601120</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业务经理：  许洛周  13938876588</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业务负责人：许洛周  13938876588</w:t>
      </w:r>
    </w:p>
    <w:p>
      <w:pPr>
        <w:wordWrap w:val="0"/>
        <w:jc w:val="center"/>
        <w:rPr>
          <w:rFonts w:hint="eastAsia" w:ascii="仿宋" w:hAnsi="仿宋" w:eastAsia="仿宋" w:cs="仿宋"/>
          <w:b/>
          <w:color w:val="auto"/>
          <w:sz w:val="36"/>
          <w:szCs w:val="36"/>
          <w:highlight w:val="none"/>
        </w:rPr>
      </w:pPr>
      <w:r>
        <w:rPr>
          <w:rFonts w:hint="eastAsia" w:ascii="仿宋" w:hAnsi="仿宋" w:eastAsia="仿宋" w:cs="仿宋"/>
          <w:b/>
          <w:color w:val="auto"/>
          <w:sz w:val="36"/>
          <w:szCs w:val="36"/>
          <w:highlight w:val="none"/>
        </w:rPr>
        <w:t>浙商银行“政采贷”</w:t>
      </w:r>
    </w:p>
    <w:p>
      <w:pPr>
        <w:pStyle w:val="78"/>
        <w:wordWrap w:val="0"/>
        <w:spacing w:line="600" w:lineRule="exact"/>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eastAsia="zh-CN"/>
        </w:rPr>
        <w:t>一、贷款产品介绍</w:t>
      </w:r>
    </w:p>
    <w:p>
      <w:pPr>
        <w:pStyle w:val="78"/>
        <w:wordWrap w:val="0"/>
        <w:spacing w:line="600" w:lineRule="exact"/>
        <w:ind w:firstLine="640"/>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eastAsia="zh-CN"/>
        </w:rPr>
        <w:t>“政采贷”是本行为在政府机关、事业单位、社会团体、国有企业等招标进行的采购活动中中标并签订采购合同的小微企业发放的，以采购人合同款支付作为还款来源的流动资金贷款。借款人为符合本行标准的小型、微型企业。融资模式包括采购合同融资模式与应收账款融资模式。采购项目包括货物类、服务类和部分工程类。</w:t>
      </w:r>
    </w:p>
    <w:p>
      <w:pPr>
        <w:pStyle w:val="78"/>
        <w:wordWrap w:val="0"/>
        <w:spacing w:line="600" w:lineRule="exact"/>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eastAsia="zh-CN"/>
        </w:rPr>
        <w:t xml:space="preserve">二、适用对象                            </w:t>
      </w:r>
    </w:p>
    <w:p>
      <w:pPr>
        <w:pStyle w:val="78"/>
        <w:wordWrap w:val="0"/>
        <w:spacing w:line="600" w:lineRule="exact"/>
        <w:ind w:firstLine="640"/>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eastAsia="zh-CN"/>
        </w:rPr>
        <w:t>连续经营 2 年及以上或实际控制人有 3 年及以上相关行业从业经验经营状况良好，信用记录良好小微企业。</w:t>
      </w:r>
    </w:p>
    <w:p>
      <w:pPr>
        <w:pStyle w:val="78"/>
        <w:wordWrap w:val="0"/>
        <w:spacing w:line="600" w:lineRule="exact"/>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eastAsia="zh-CN"/>
        </w:rPr>
        <w:t>三、贷款期限</w:t>
      </w:r>
    </w:p>
    <w:p>
      <w:pPr>
        <w:pStyle w:val="78"/>
        <w:wordWrap w:val="0"/>
        <w:spacing w:line="600" w:lineRule="exact"/>
        <w:ind w:firstLine="640"/>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eastAsia="zh-CN"/>
        </w:rPr>
        <w:t>贷款期限：货物类、服务类利率最长一年，工程类最长可做三年。</w:t>
      </w:r>
    </w:p>
    <w:p>
      <w:pPr>
        <w:pStyle w:val="78"/>
        <w:wordWrap w:val="0"/>
        <w:spacing w:line="600" w:lineRule="exact"/>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eastAsia="zh-CN"/>
        </w:rPr>
        <w:t>四、产品特点</w:t>
      </w:r>
    </w:p>
    <w:p>
      <w:pPr>
        <w:pStyle w:val="78"/>
        <w:wordWrap w:val="0"/>
        <w:spacing w:line="600" w:lineRule="exact"/>
        <w:ind w:firstLine="640"/>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eastAsia="zh-CN"/>
        </w:rPr>
        <w:t>中标即贷，最高可贷1000万，最快三天审批放款，可做工程类项目。</w:t>
      </w:r>
    </w:p>
    <w:p>
      <w:pPr>
        <w:pStyle w:val="78"/>
        <w:wordWrap w:val="0"/>
        <w:spacing w:line="600" w:lineRule="exact"/>
        <w:ind w:firstLine="640"/>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eastAsia="zh-CN"/>
        </w:rPr>
        <w:t xml:space="preserve">分管领导：张庆浩   联系电话： 18538198600  </w:t>
      </w:r>
    </w:p>
    <w:p>
      <w:pPr>
        <w:pStyle w:val="78"/>
        <w:wordWrap w:val="0"/>
        <w:spacing w:line="600" w:lineRule="exact"/>
        <w:ind w:firstLine="640"/>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eastAsia="zh-CN"/>
        </w:rPr>
        <w:t xml:space="preserve">信贷经理：郭利波   联系电话：15937918530    </w:t>
      </w:r>
    </w:p>
    <w:p>
      <w:pPr>
        <w:pStyle w:val="78"/>
        <w:wordWrap w:val="0"/>
        <w:spacing w:line="600" w:lineRule="exact"/>
        <w:ind w:firstLine="640"/>
        <w:rPr>
          <w:rFonts w:hint="eastAsia" w:ascii="仿宋" w:hAnsi="仿宋" w:eastAsia="仿宋" w:cs="仿宋"/>
          <w:color w:val="auto"/>
          <w:sz w:val="32"/>
          <w:szCs w:val="32"/>
          <w:highlight w:val="none"/>
          <w:lang w:eastAsia="zh-CN"/>
        </w:rPr>
      </w:pPr>
      <w:r>
        <w:rPr>
          <w:rFonts w:hint="eastAsia" w:ascii="仿宋" w:hAnsi="仿宋" w:eastAsia="仿宋" w:cs="仿宋"/>
          <w:color w:val="auto"/>
          <w:sz w:val="30"/>
          <w:szCs w:val="30"/>
          <w:highlight w:val="none"/>
          <w:lang w:eastAsia="zh-CN"/>
        </w:rPr>
        <w:t>具体负责人：李超峰  联系电话：15538530</w:t>
      </w:r>
    </w:p>
    <w:p>
      <w:pPr>
        <w:wordWrap w:val="0"/>
        <w:jc w:val="center"/>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广发银行“政采贷”</w:t>
      </w:r>
    </w:p>
    <w:p>
      <w:pPr>
        <w:numPr>
          <w:ilvl w:val="0"/>
          <w:numId w:val="5"/>
        </w:numPr>
        <w:wordWrap w:val="0"/>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广发银行“政采贷”</w:t>
      </w:r>
    </w:p>
    <w:p>
      <w:pPr>
        <w:numPr>
          <w:ilvl w:val="0"/>
          <w:numId w:val="6"/>
        </w:num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对象：针对政府采购平台内资信情况良好、经营正常的中小微企业供应商提供原材料购买、组织生产、货物运输等流动资金授信服务。</w:t>
      </w:r>
    </w:p>
    <w:p>
      <w:pPr>
        <w:numPr>
          <w:ilvl w:val="0"/>
          <w:numId w:val="6"/>
        </w:num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担保方式：以政府采购项目下的应收账款质押；企业实际控制人及主要个人股东提供连带责任保证担保</w:t>
      </w:r>
    </w:p>
    <w:p>
      <w:pPr>
        <w:numPr>
          <w:ilvl w:val="0"/>
          <w:numId w:val="6"/>
        </w:num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授信额度：单户敞口授信额度不超过1000万元；单笔采购项目融资不超过有效合同净额的90%</w:t>
      </w:r>
    </w:p>
    <w:p>
      <w:pPr>
        <w:numPr>
          <w:ilvl w:val="0"/>
          <w:numId w:val="6"/>
        </w:num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授信期限：额度有效期一年，授信期限不超过一年且不得超过额度到期日后3个月，不超过采购项目合同约定的最迟付款日后3个月</w:t>
      </w:r>
    </w:p>
    <w:p>
      <w:pPr>
        <w:numPr>
          <w:ilvl w:val="0"/>
          <w:numId w:val="6"/>
        </w:num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还款方式：按月付息，可根据单笔业务实际付款频率和时间点进行还款，不得采取随借随还出账模式，还款方式应与政府采购合同约定的应收账款金额、账期等相匹配。</w:t>
      </w:r>
    </w:p>
    <w:p>
      <w:pPr>
        <w:numPr>
          <w:ilvl w:val="0"/>
          <w:numId w:val="5"/>
        </w:numPr>
        <w:wordWrap w:val="0"/>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准入标准</w:t>
      </w:r>
    </w:p>
    <w:p>
      <w:pPr>
        <w:numPr>
          <w:ilvl w:val="0"/>
          <w:numId w:val="7"/>
        </w:num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企业成立且持续经营满3年以上，主营业务未有变化，有固定经营场所，且注册地在当地</w:t>
      </w:r>
    </w:p>
    <w:p>
      <w:pPr>
        <w:numPr>
          <w:ilvl w:val="0"/>
          <w:numId w:val="7"/>
        </w:num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政府采购历史超过一年或进入政府采购供应商名单时间超过一年，实际履约不低于一次</w:t>
      </w:r>
    </w:p>
    <w:p>
      <w:pPr>
        <w:numPr>
          <w:ilvl w:val="0"/>
          <w:numId w:val="7"/>
        </w:num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近两年销售收入保持正增长或主营业务利润为正</w:t>
      </w:r>
    </w:p>
    <w:p>
      <w:pPr>
        <w:numPr>
          <w:ilvl w:val="0"/>
          <w:numId w:val="7"/>
        </w:num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资产负债率不超过70%</w:t>
      </w:r>
    </w:p>
    <w:p>
      <w:pPr>
        <w:numPr>
          <w:ilvl w:val="0"/>
          <w:numId w:val="7"/>
        </w:num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在我行评价不低于BB+级</w:t>
      </w:r>
    </w:p>
    <w:p>
      <w:pPr>
        <w:numPr>
          <w:ilvl w:val="0"/>
          <w:numId w:val="7"/>
        </w:num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企业主（含实际控制人、主要股东或配偶）拥有本地户口或房产</w:t>
      </w:r>
    </w:p>
    <w:p>
      <w:pPr>
        <w:numPr>
          <w:ilvl w:val="0"/>
          <w:numId w:val="7"/>
        </w:num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不得介入在金融机构有未结清（互）保类授信（含实际控制人夫妇个人经营性贷款）的企业</w:t>
      </w:r>
    </w:p>
    <w:p>
      <w:pPr>
        <w:numPr>
          <w:ilvl w:val="0"/>
          <w:numId w:val="5"/>
        </w:numPr>
        <w:wordWrap w:val="0"/>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授信用途</w:t>
      </w:r>
    </w:p>
    <w:p>
      <w:pPr>
        <w:wordWrap w:val="0"/>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授信仅限于借款人自身在具体合同项下的原材料采购、组织生产、货物运输等劳动资金需求，不得挪用于担保企业、借款人关联企业、借款人固定资产建设和股本权益类投资</w:t>
      </w:r>
    </w:p>
    <w:p>
      <w:pPr>
        <w:numPr>
          <w:ilvl w:val="0"/>
          <w:numId w:val="5"/>
        </w:numPr>
        <w:wordWrap w:val="0"/>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业务流程</w:t>
      </w:r>
    </w:p>
    <w:p>
      <w:pPr>
        <w:numPr>
          <w:ilvl w:val="0"/>
          <w:numId w:val="8"/>
        </w:num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业务访谈，确定贸易真实性</w:t>
      </w:r>
    </w:p>
    <w:p>
      <w:pPr>
        <w:numPr>
          <w:ilvl w:val="0"/>
          <w:numId w:val="8"/>
        </w:num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授信申请，企业按照我行授信调查的相关规定提供申请资料</w:t>
      </w:r>
    </w:p>
    <w:p>
      <w:pPr>
        <w:numPr>
          <w:ilvl w:val="0"/>
          <w:numId w:val="8"/>
        </w:num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授信调查与额度核定，客户经理双人调查，发起客户评级，并按流程提交审批</w:t>
      </w:r>
    </w:p>
    <w:p>
      <w:pPr>
        <w:numPr>
          <w:ilvl w:val="0"/>
          <w:numId w:val="8"/>
        </w:num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授信审查审批</w:t>
      </w:r>
    </w:p>
    <w:p>
      <w:pPr>
        <w:numPr>
          <w:ilvl w:val="0"/>
          <w:numId w:val="8"/>
        </w:num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按照要求出账</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主管行长：李文强  18137865269</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具体负责人：    何俊杰  13838894026</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信贷经理：      姜晓凤  15103799119</w:t>
      </w:r>
    </w:p>
    <w:p>
      <w:pPr>
        <w:wordWrap w:val="0"/>
        <w:jc w:val="center"/>
        <w:rPr>
          <w:rFonts w:hint="eastAsia" w:ascii="仿宋" w:hAnsi="仿宋" w:eastAsia="仿宋" w:cs="仿宋"/>
          <w:color w:val="auto"/>
          <w:sz w:val="44"/>
          <w:szCs w:val="44"/>
          <w:highlight w:val="none"/>
        </w:rPr>
      </w:pPr>
    </w:p>
    <w:p>
      <w:pPr>
        <w:wordWrap w:val="0"/>
        <w:jc w:val="center"/>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中信银行洛阳分行”政采贷”</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一、产品释义</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“政采贷”是中信银行为政府采购中标小微企业提供的特色融资业务，致力于解决政府采购上游供应商的融资难题。</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二、产品特点</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授信额度高、授信期限长、担保方式活</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三、产品内容</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金额最高1000万元（含）、贷款期限最长1年（含）、无需抵质押物</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四、申请基本条件</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有固定的经营场所</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信用记录良好，无不良、违法行为；</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持续经营6个月（含）以上或实际控制人从业2年以上</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从事政府采购活动1年以上；</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具备政府采购投标资格且交易记录良好</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采购项目符合国家产业政策和资源环保政策要求</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五、申请资料</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营业执照；实际控制人身份证件；经营情况资料；从事政府采购活动资料；近一年政府采购回款的银行流水</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b/>
          <w:color w:val="auto"/>
          <w:sz w:val="30"/>
          <w:szCs w:val="30"/>
          <w:highlight w:val="none"/>
        </w:rPr>
        <w:t>中信银行洛阳分行”政采贷”联系人：</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高晋卿   洛阳分行副行长 18637127868</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闫恺      洛阳分行普惠金融部总经理 15837959999</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陈幽静   洛阳分行普惠金融部信贷经理  15838817353</w:t>
      </w:r>
    </w:p>
    <w:p>
      <w:pPr>
        <w:widowControl/>
        <w:wordWrap w:val="0"/>
        <w:jc w:val="left"/>
        <w:rPr>
          <w:rFonts w:hint="eastAsia" w:ascii="仿宋" w:hAnsi="仿宋" w:eastAsia="仿宋" w:cs="仿宋"/>
          <w:color w:val="auto"/>
          <w:highlight w:val="none"/>
        </w:rPr>
      </w:pPr>
    </w:p>
    <w:p>
      <w:pPr>
        <w:wordWrap w:val="0"/>
        <w:jc w:val="center"/>
        <w:rPr>
          <w:rFonts w:hint="eastAsia" w:ascii="仿宋" w:hAnsi="仿宋" w:eastAsia="仿宋" w:cs="仿宋"/>
          <w:color w:val="auto"/>
          <w:sz w:val="36"/>
          <w:szCs w:val="36"/>
          <w:highlight w:val="none"/>
        </w:rPr>
      </w:pPr>
      <w:r>
        <w:rPr>
          <w:rFonts w:hint="eastAsia" w:ascii="仿宋" w:hAnsi="仿宋" w:eastAsia="仿宋" w:cs="仿宋"/>
          <w:b/>
          <w:bCs/>
          <w:color w:val="auto"/>
          <w:sz w:val="36"/>
          <w:szCs w:val="36"/>
          <w:highlight w:val="none"/>
        </w:rPr>
        <w:t>洛阳银行“政采贷”</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（一）资料清单</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  1、借款人依法成立并有效存续的相关材料；</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  2、经政府采购项目中标的证明材料；</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  3、以往参加政府采购项目的履约情况；</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  4、其他洛阳银行认为需要提供的资料。</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（二）授信要素</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1、贷款额度：</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原则上不超过政府采购合同金额的70%。</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2、期限与还款方式：</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与政府采购合同中约定的结算周期、付款方式等相匹配。</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3、担保方式：</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法定代表人、实际控制人提供连带责任保证，放款前完成应收账款质押登记手续。</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（三）联系方式</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分管领导：陈经理 15837979663</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信贷经理、具体负责人：任经理 18738439998</w:t>
      </w:r>
    </w:p>
    <w:p>
      <w:pPr>
        <w:wordWrap w:val="0"/>
        <w:jc w:val="center"/>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邮储银行政采贷</w:t>
      </w:r>
    </w:p>
    <w:p>
      <w:pPr>
        <w:wordWrap w:val="0"/>
        <w:spacing w:line="600" w:lineRule="exac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贷款对象：</w:t>
      </w:r>
    </w:p>
    <w:p>
      <w:pPr>
        <w:wordWrap w:val="0"/>
        <w:spacing w:line="6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1.已获得省本级政府采购中标通知，具备履约能力；</w:t>
      </w:r>
    </w:p>
    <w:p>
      <w:pPr>
        <w:wordWrap w:val="0"/>
        <w:spacing w:line="6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2.企业在政府采购活动中与政府采购合作1年（含）以上；</w:t>
      </w:r>
    </w:p>
    <w:p>
      <w:pPr>
        <w:wordWrap w:val="0"/>
        <w:spacing w:line="6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3.在邮储银行开立回款专用账户。</w:t>
      </w:r>
    </w:p>
    <w:p>
      <w:pPr>
        <w:wordWrap w:val="0"/>
        <w:spacing w:line="600" w:lineRule="exac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贷款要素：</w:t>
      </w:r>
    </w:p>
    <w:p>
      <w:pPr>
        <w:wordWrap w:val="0"/>
        <w:spacing w:line="6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1.纯信用；</w:t>
      </w:r>
    </w:p>
    <w:p>
      <w:pPr>
        <w:wordWrap w:val="0"/>
        <w:spacing w:line="6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2.额度高：可贷合同标的额70%，最高额度300万；</w:t>
      </w:r>
    </w:p>
    <w:p>
      <w:pPr>
        <w:wordWrap w:val="0"/>
        <w:spacing w:line="6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3.方便用：可一次性或分期还款</w:t>
      </w:r>
    </w:p>
    <w:p>
      <w:pPr>
        <w:wordWrap w:val="0"/>
        <w:spacing w:line="600" w:lineRule="exac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联系方式：</w:t>
      </w:r>
    </w:p>
    <w:p>
      <w:pPr>
        <w:wordWrap w:val="0"/>
        <w:spacing w:line="6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联系人：王玉辉    职  务： 总经理</w:t>
      </w:r>
    </w:p>
    <w:p>
      <w:pPr>
        <w:wordWrap w:val="0"/>
        <w:spacing w:line="600" w:lineRule="exact"/>
        <w:ind w:firstLine="600" w:firstLineChars="200"/>
        <w:rPr>
          <w:rFonts w:hint="eastAsia" w:ascii="仿宋" w:hAnsi="仿宋" w:eastAsia="仿宋" w:cs="仿宋"/>
          <w:b/>
          <w:bCs/>
          <w:color w:val="auto"/>
          <w:sz w:val="30"/>
          <w:szCs w:val="30"/>
          <w:highlight w:val="none"/>
        </w:rPr>
      </w:pPr>
      <w:r>
        <w:rPr>
          <w:rFonts w:hint="eastAsia" w:ascii="仿宋" w:hAnsi="仿宋" w:eastAsia="仿宋" w:cs="仿宋"/>
          <w:color w:val="auto"/>
          <w:sz w:val="30"/>
          <w:szCs w:val="30"/>
          <w:highlight w:val="none"/>
        </w:rPr>
        <w:t>电  话：13598159333</w:t>
      </w:r>
    </w:p>
    <w:p>
      <w:pPr>
        <w:wordWrap w:val="0"/>
        <w:jc w:val="center"/>
        <w:rPr>
          <w:rFonts w:hint="eastAsia" w:ascii="仿宋" w:hAnsi="仿宋" w:eastAsia="仿宋" w:cs="仿宋"/>
          <w:color w:val="auto"/>
          <w:sz w:val="36"/>
          <w:szCs w:val="36"/>
          <w:highlight w:val="none"/>
        </w:rPr>
      </w:pPr>
      <w:r>
        <w:rPr>
          <w:rFonts w:hint="eastAsia" w:ascii="仿宋" w:hAnsi="仿宋" w:eastAsia="仿宋" w:cs="仿宋"/>
          <w:b/>
          <w:bCs/>
          <w:color w:val="auto"/>
          <w:sz w:val="36"/>
          <w:szCs w:val="36"/>
          <w:highlight w:val="none"/>
        </w:rPr>
        <w:t>中原银行洛阳分行“政采贷”产品简介</w:t>
      </w:r>
    </w:p>
    <w:p>
      <w:pPr>
        <w:wordWrap w:val="0"/>
        <w:spacing w:line="56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一、融资机构基本情况及联系人联系电话</w:t>
      </w:r>
    </w:p>
    <w:p>
      <w:pPr>
        <w:wordWrap w:val="0"/>
        <w:spacing w:line="56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1.融资入口：</w:t>
      </w:r>
    </w:p>
    <w:p>
      <w:pPr>
        <w:wordWrap w:val="0"/>
        <w:spacing w:line="560" w:lineRule="exact"/>
        <w:ind w:firstLine="900" w:firstLineChars="3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fldChar w:fldCharType="begin"/>
      </w:r>
      <w:r>
        <w:rPr>
          <w:rFonts w:hint="eastAsia" w:ascii="仿宋" w:hAnsi="仿宋" w:eastAsia="仿宋" w:cs="仿宋"/>
          <w:color w:val="auto"/>
          <w:sz w:val="30"/>
          <w:szCs w:val="30"/>
          <w:highlight w:val="none"/>
        </w:rPr>
        <w:instrText xml:space="preserve"> HYPERLINK "http://www.zybank.com.cn/zyyh/gsyw55/xqyjr/xqyzcd/382690/index.html" </w:instrText>
      </w:r>
      <w:r>
        <w:rPr>
          <w:rFonts w:hint="eastAsia" w:ascii="仿宋" w:hAnsi="仿宋" w:eastAsia="仿宋" w:cs="仿宋"/>
          <w:color w:val="auto"/>
          <w:sz w:val="30"/>
          <w:szCs w:val="30"/>
          <w:highlight w:val="none"/>
        </w:rPr>
        <w:fldChar w:fldCharType="separate"/>
      </w:r>
      <w:r>
        <w:rPr>
          <w:rStyle w:val="48"/>
          <w:rFonts w:hint="eastAsia" w:ascii="仿宋" w:hAnsi="仿宋" w:eastAsia="仿宋" w:cs="仿宋"/>
          <w:color w:val="auto"/>
          <w:sz w:val="30"/>
          <w:szCs w:val="30"/>
          <w:highlight w:val="none"/>
        </w:rPr>
        <w:t>http://www.zybank.com.cn/zyyh/gsyw55/xqyjr/xqyzcd/382690/index.html</w:t>
      </w:r>
      <w:r>
        <w:rPr>
          <w:rStyle w:val="48"/>
          <w:rFonts w:hint="eastAsia" w:ascii="仿宋" w:hAnsi="仿宋" w:eastAsia="仿宋" w:cs="仿宋"/>
          <w:color w:val="auto"/>
          <w:sz w:val="30"/>
          <w:szCs w:val="30"/>
          <w:highlight w:val="none"/>
        </w:rPr>
        <w:fldChar w:fldCharType="end"/>
      </w:r>
    </w:p>
    <w:p>
      <w:pPr>
        <w:wordWrap w:val="0"/>
        <w:spacing w:line="56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2.融资机构业务人员信息列表：</w:t>
      </w:r>
    </w:p>
    <w:tbl>
      <w:tblPr>
        <w:tblStyle w:val="37"/>
        <w:tblW w:w="806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6"/>
        <w:gridCol w:w="1716"/>
        <w:gridCol w:w="1866"/>
        <w:gridCol w:w="36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1" w:hRule="atLeast"/>
        </w:trPr>
        <w:tc>
          <w:tcPr>
            <w:tcW w:w="816" w:type="dxa"/>
            <w:noWrap w:val="0"/>
            <w:vAlign w:val="top"/>
          </w:tcPr>
          <w:p>
            <w:pPr>
              <w:wordWrap w:val="0"/>
              <w:spacing w:line="560" w:lineRule="exac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序号</w:t>
            </w:r>
          </w:p>
        </w:tc>
        <w:tc>
          <w:tcPr>
            <w:tcW w:w="1716" w:type="dxa"/>
            <w:noWrap w:val="0"/>
            <w:vAlign w:val="top"/>
          </w:tcPr>
          <w:p>
            <w:pPr>
              <w:wordWrap w:val="0"/>
              <w:spacing w:line="560" w:lineRule="exac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业务联系人</w:t>
            </w:r>
          </w:p>
        </w:tc>
        <w:tc>
          <w:tcPr>
            <w:tcW w:w="1866" w:type="dxa"/>
            <w:noWrap w:val="0"/>
            <w:vAlign w:val="top"/>
          </w:tcPr>
          <w:p>
            <w:pPr>
              <w:wordWrap w:val="0"/>
              <w:spacing w:line="560" w:lineRule="exac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联系方式</w:t>
            </w:r>
          </w:p>
        </w:tc>
        <w:tc>
          <w:tcPr>
            <w:tcW w:w="3666" w:type="dxa"/>
            <w:noWrap w:val="0"/>
            <w:vAlign w:val="top"/>
          </w:tcPr>
          <w:p>
            <w:pPr>
              <w:wordWrap w:val="0"/>
              <w:spacing w:line="560" w:lineRule="exac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地址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 w:hRule="atLeast"/>
        </w:trPr>
        <w:tc>
          <w:tcPr>
            <w:tcW w:w="816" w:type="dxa"/>
            <w:noWrap w:val="0"/>
            <w:vAlign w:val="top"/>
          </w:tcPr>
          <w:p>
            <w:pPr>
              <w:wordWrap w:val="0"/>
              <w:spacing w:line="560" w:lineRule="exac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w:t>
            </w:r>
          </w:p>
        </w:tc>
        <w:tc>
          <w:tcPr>
            <w:tcW w:w="1716" w:type="dxa"/>
            <w:noWrap w:val="0"/>
            <w:vAlign w:val="top"/>
          </w:tcPr>
          <w:p>
            <w:pPr>
              <w:wordWrap w:val="0"/>
              <w:spacing w:line="560" w:lineRule="exac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岳恒志</w:t>
            </w:r>
          </w:p>
        </w:tc>
        <w:tc>
          <w:tcPr>
            <w:tcW w:w="1866" w:type="dxa"/>
            <w:noWrap w:val="0"/>
            <w:vAlign w:val="top"/>
          </w:tcPr>
          <w:p>
            <w:pPr>
              <w:wordWrap w:val="0"/>
              <w:spacing w:line="560" w:lineRule="exac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17737799828</w:t>
            </w:r>
          </w:p>
        </w:tc>
        <w:tc>
          <w:tcPr>
            <w:tcW w:w="3666" w:type="dxa"/>
            <w:noWrap w:val="0"/>
            <w:vAlign w:val="top"/>
          </w:tcPr>
          <w:p>
            <w:pPr>
              <w:wordWrap w:val="0"/>
              <w:spacing w:line="560" w:lineRule="exac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洛阳市洛龙区长兴街66号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01" w:hRule="atLeast"/>
        </w:trPr>
        <w:tc>
          <w:tcPr>
            <w:tcW w:w="816" w:type="dxa"/>
            <w:noWrap w:val="0"/>
            <w:vAlign w:val="top"/>
          </w:tcPr>
          <w:p>
            <w:pPr>
              <w:wordWrap w:val="0"/>
              <w:spacing w:line="560" w:lineRule="exac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2</w:t>
            </w:r>
          </w:p>
        </w:tc>
        <w:tc>
          <w:tcPr>
            <w:tcW w:w="1716" w:type="dxa"/>
            <w:noWrap w:val="0"/>
            <w:vAlign w:val="top"/>
          </w:tcPr>
          <w:p>
            <w:pPr>
              <w:wordWrap w:val="0"/>
              <w:spacing w:line="560" w:lineRule="exac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许然涛</w:t>
            </w:r>
          </w:p>
        </w:tc>
        <w:tc>
          <w:tcPr>
            <w:tcW w:w="1866" w:type="dxa"/>
            <w:noWrap w:val="0"/>
            <w:vAlign w:val="top"/>
          </w:tcPr>
          <w:p>
            <w:pPr>
              <w:wordWrap w:val="0"/>
              <w:spacing w:line="560" w:lineRule="exac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19903896628</w:t>
            </w:r>
          </w:p>
        </w:tc>
        <w:tc>
          <w:tcPr>
            <w:tcW w:w="3666" w:type="dxa"/>
            <w:noWrap w:val="0"/>
            <w:vAlign w:val="top"/>
          </w:tcPr>
          <w:p>
            <w:pPr>
              <w:wordWrap w:val="0"/>
              <w:spacing w:line="560" w:lineRule="exac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洛阳市洛龙区长兴街66号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1" w:hRule="atLeast"/>
        </w:trPr>
        <w:tc>
          <w:tcPr>
            <w:tcW w:w="816" w:type="dxa"/>
            <w:noWrap w:val="0"/>
            <w:vAlign w:val="top"/>
          </w:tcPr>
          <w:p>
            <w:pPr>
              <w:wordWrap w:val="0"/>
              <w:spacing w:line="560" w:lineRule="exac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3</w:t>
            </w:r>
          </w:p>
        </w:tc>
        <w:tc>
          <w:tcPr>
            <w:tcW w:w="1716" w:type="dxa"/>
            <w:noWrap w:val="0"/>
            <w:vAlign w:val="top"/>
          </w:tcPr>
          <w:p>
            <w:pPr>
              <w:wordWrap w:val="0"/>
              <w:spacing w:line="560" w:lineRule="exac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柴碧林</w:t>
            </w:r>
          </w:p>
        </w:tc>
        <w:tc>
          <w:tcPr>
            <w:tcW w:w="1866" w:type="dxa"/>
            <w:noWrap w:val="0"/>
            <w:vAlign w:val="top"/>
          </w:tcPr>
          <w:p>
            <w:pPr>
              <w:wordWrap w:val="0"/>
              <w:spacing w:line="560" w:lineRule="exac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13271555838</w:t>
            </w:r>
          </w:p>
        </w:tc>
        <w:tc>
          <w:tcPr>
            <w:tcW w:w="3666" w:type="dxa"/>
            <w:noWrap w:val="0"/>
            <w:vAlign w:val="top"/>
          </w:tcPr>
          <w:p>
            <w:pPr>
              <w:wordWrap w:val="0"/>
              <w:spacing w:line="560" w:lineRule="exac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洛阳市洛龙区长兴街66号</w:t>
            </w:r>
          </w:p>
        </w:tc>
      </w:tr>
    </w:tbl>
    <w:p>
      <w:pPr>
        <w:wordWrap w:val="0"/>
        <w:spacing w:line="560" w:lineRule="exac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二、融资流程及各环节办结时间</w:t>
      </w:r>
    </w:p>
    <w:p>
      <w:pPr>
        <w:wordWrap w:val="0"/>
        <w:spacing w:line="56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客户通过“中原银行公司金融公众号”、“中原银行小微金融公众号”或“中原银行官方网站”等渠道申请即可办理。对于申报资料齐全，符合标准的业务，5个工作日即可完成审查审批。</w:t>
      </w:r>
    </w:p>
    <w:p>
      <w:pPr>
        <w:pStyle w:val="86"/>
        <w:wordWrap w:val="0"/>
        <w:spacing w:line="560" w:lineRule="exact"/>
        <w:jc w:val="center"/>
        <w:rPr>
          <w:rFonts w:hint="eastAsia" w:ascii="仿宋" w:hAnsi="仿宋" w:eastAsia="仿宋" w:cs="仿宋"/>
          <w:b/>
          <w:bCs/>
          <w:color w:val="auto"/>
          <w:sz w:val="44"/>
          <w:szCs w:val="44"/>
          <w:highlight w:val="none"/>
          <w:lang w:val="en-US" w:eastAsia="zh-CN" w:bidi="ar-SA"/>
        </w:rPr>
      </w:pPr>
    </w:p>
    <w:p>
      <w:pPr>
        <w:pStyle w:val="86"/>
        <w:wordWrap w:val="0"/>
        <w:spacing w:line="560" w:lineRule="exact"/>
        <w:jc w:val="center"/>
        <w:rPr>
          <w:rFonts w:hint="eastAsia" w:ascii="仿宋" w:hAnsi="仿宋" w:eastAsia="仿宋" w:cs="仿宋"/>
          <w:b/>
          <w:bCs/>
          <w:color w:val="auto"/>
          <w:sz w:val="36"/>
          <w:szCs w:val="36"/>
          <w:highlight w:val="none"/>
          <w:lang w:val="en-US" w:eastAsia="zh-CN" w:bidi="ar-SA"/>
        </w:rPr>
      </w:pPr>
      <w:r>
        <w:rPr>
          <w:rFonts w:hint="eastAsia" w:ascii="仿宋" w:hAnsi="仿宋" w:eastAsia="仿宋" w:cs="仿宋"/>
          <w:b/>
          <w:bCs/>
          <w:color w:val="auto"/>
          <w:sz w:val="36"/>
          <w:szCs w:val="36"/>
          <w:highlight w:val="none"/>
          <w:lang w:val="en-US" w:eastAsia="zh-CN" w:bidi="ar-SA"/>
        </w:rPr>
        <w:t>建设银行政府采购合同融资</w:t>
      </w:r>
    </w:p>
    <w:p>
      <w:pPr>
        <w:pStyle w:val="86"/>
        <w:wordWrap w:val="0"/>
        <w:spacing w:line="560" w:lineRule="exact"/>
        <w:jc w:val="center"/>
        <w:rPr>
          <w:rFonts w:hint="eastAsia" w:ascii="仿宋" w:hAnsi="仿宋" w:eastAsia="仿宋" w:cs="仿宋"/>
          <w:b/>
          <w:color w:val="auto"/>
          <w:sz w:val="36"/>
          <w:szCs w:val="36"/>
          <w:highlight w:val="none"/>
          <w:lang w:eastAsia="zh-CN"/>
        </w:rPr>
      </w:pPr>
      <w:r>
        <w:rPr>
          <w:rFonts w:hint="eastAsia" w:ascii="仿宋" w:hAnsi="仿宋" w:eastAsia="仿宋" w:cs="仿宋"/>
          <w:b/>
          <w:bCs/>
          <w:color w:val="auto"/>
          <w:sz w:val="36"/>
          <w:szCs w:val="36"/>
          <w:highlight w:val="none"/>
          <w:lang w:val="en-US" w:eastAsia="zh-CN" w:bidi="ar-SA"/>
        </w:rPr>
        <w:t>产品介绍及联系方式</w:t>
      </w:r>
    </w:p>
    <w:p>
      <w:pPr>
        <w:wordWrap w:val="0"/>
        <w:spacing w:line="560" w:lineRule="exact"/>
        <w:ind w:firstLine="602" w:firstLineChars="200"/>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rPr>
        <w:t>1、业务流程</w:t>
      </w:r>
    </w:p>
    <w:p>
      <w:pPr>
        <w:wordWrap w:val="0"/>
        <w:spacing w:line="56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（1）采购人的采购资金纳入同级或以上政府财政预算。</w:t>
      </w:r>
    </w:p>
    <w:p>
      <w:pPr>
        <w:wordWrap w:val="0"/>
        <w:spacing w:line="56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（2）供应商与政府采购部门签署采购合同。</w:t>
      </w:r>
    </w:p>
    <w:p>
      <w:pPr>
        <w:wordWrap w:val="0"/>
        <w:spacing w:line="56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（3）采购合同在公开平台进行公示或者备案。</w:t>
      </w:r>
    </w:p>
    <w:p>
      <w:pPr>
        <w:wordWrap w:val="0"/>
        <w:spacing w:line="56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（4）采购供应商依托采购合同，通过建行集团供应链平台申请融资。</w:t>
      </w:r>
    </w:p>
    <w:p>
      <w:pPr>
        <w:wordWrap w:val="0"/>
        <w:spacing w:line="56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（5）建行核实贸易背景，按照采购合同金额的一定比例（考虑质押率）发放融资款项。</w:t>
      </w:r>
    </w:p>
    <w:p>
      <w:pPr>
        <w:wordWrap w:val="0"/>
        <w:spacing w:line="56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（6）业务到期前，政府部门支付采购款项到建设银行指定的回款专户中。</w:t>
      </w:r>
    </w:p>
    <w:p>
      <w:pPr>
        <w:pStyle w:val="56"/>
        <w:wordWrap w:val="0"/>
        <w:spacing w:line="560" w:lineRule="exact"/>
        <w:ind w:firstLine="602" w:firstLineChars="200"/>
        <w:rPr>
          <w:rFonts w:hint="eastAsia" w:ascii="仿宋" w:hAnsi="仿宋" w:eastAsia="仿宋" w:cs="仿宋"/>
          <w:b/>
          <w:color w:val="auto"/>
          <w:kern w:val="2"/>
          <w:sz w:val="30"/>
          <w:szCs w:val="30"/>
          <w:highlight w:val="none"/>
        </w:rPr>
      </w:pPr>
      <w:r>
        <w:rPr>
          <w:rFonts w:hint="eastAsia" w:ascii="仿宋" w:hAnsi="仿宋" w:eastAsia="仿宋" w:cs="仿宋"/>
          <w:b/>
          <w:color w:val="auto"/>
          <w:kern w:val="2"/>
          <w:sz w:val="30"/>
          <w:szCs w:val="30"/>
          <w:highlight w:val="none"/>
        </w:rPr>
        <w:t>2、产品优势</w:t>
      </w:r>
    </w:p>
    <w:p>
      <w:pPr>
        <w:wordWrap w:val="0"/>
        <w:spacing w:line="56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（1）无抵押（依据政府采购合同及历史交易、履约信息作为授信依据）；</w:t>
      </w:r>
    </w:p>
    <w:p>
      <w:pPr>
        <w:wordWrap w:val="0"/>
        <w:spacing w:line="56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（2）放款快（在线审批，快捷放款）；</w:t>
      </w:r>
    </w:p>
    <w:p>
      <w:pPr>
        <w:wordWrap w:val="0"/>
        <w:spacing w:line="56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（3）额度高（单笔合同贷款金额最高3000万元）；</w:t>
      </w:r>
    </w:p>
    <w:p>
      <w:pPr>
        <w:wordWrap w:val="0"/>
        <w:spacing w:line="56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（4）操作便捷（流程简捷，全线上化操作）；</w:t>
      </w:r>
    </w:p>
    <w:p>
      <w:pPr>
        <w:wordWrap w:val="0"/>
        <w:spacing w:line="56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（5）还款灵活（支持多种还款付息方式，支持提前还款）；</w:t>
      </w:r>
    </w:p>
    <w:p>
      <w:pPr>
        <w:wordWrap w:val="0"/>
        <w:spacing w:line="560" w:lineRule="exact"/>
        <w:ind w:firstLine="602" w:firstLineChars="200"/>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3、借款人基本条件</w:t>
      </w:r>
    </w:p>
    <w:p>
      <w:pPr>
        <w:wordWrap w:val="0"/>
        <w:spacing w:line="56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（1）供应商经工商行政管理机关（或主管机关）核准登记的企业法人或个体工商户，有固定经营场所，合法经营。</w:t>
      </w:r>
    </w:p>
    <w:p>
      <w:pPr>
        <w:wordWrap w:val="0"/>
        <w:spacing w:line="56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（2）供应商未纳入</w:t>
      </w:r>
      <w:bookmarkStart w:id="239" w:name="_Hlk11443363"/>
      <w:r>
        <w:rPr>
          <w:rFonts w:hint="eastAsia" w:ascii="仿宋" w:hAnsi="仿宋" w:eastAsia="仿宋" w:cs="仿宋"/>
          <w:color w:val="auto"/>
          <w:sz w:val="30"/>
          <w:szCs w:val="30"/>
          <w:highlight w:val="none"/>
        </w:rPr>
        <w:t>政府采购严重违法失信行为记录名单</w:t>
      </w:r>
      <w:bookmarkEnd w:id="239"/>
      <w:r>
        <w:rPr>
          <w:rFonts w:hint="eastAsia" w:ascii="仿宋" w:hAnsi="仿宋" w:eastAsia="仿宋" w:cs="仿宋"/>
          <w:color w:val="auto"/>
          <w:sz w:val="30"/>
          <w:szCs w:val="30"/>
          <w:highlight w:val="none"/>
        </w:rPr>
        <w:t>。（3）不存在我行反洗钱客户身份识别管理制度规定的禁止准入情形或停止业务关系的情形。（4）供应商企业具有持续经营能力，信用记录良好，近2年在中国人民银行企业征信系统无不良信用记录。（5）供应商企业主个人信用记录良好，近2年在中国人民银行个人征信系统个人逾期或欠息在30天（含）以内的次数不超过2（含）次，且不存在逾期或欠息在30天以上的信用记录。（6）供应商与采购人具有长期稳定合作关系，原则上要有2次及以上的历史政府采购中标记录。（7）供应商及采购人为本地注册企业。（8）供应商成立一年以上。（9）供应商具有明确的还款来源和风险缓释措施。</w:t>
      </w:r>
    </w:p>
    <w:p>
      <w:pPr>
        <w:wordWrap w:val="0"/>
        <w:spacing w:line="560" w:lineRule="exact"/>
        <w:rPr>
          <w:rFonts w:hint="eastAsia"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4、申请路径：</w:t>
      </w:r>
      <w:r>
        <w:rPr>
          <w:rFonts w:hint="eastAsia" w:ascii="仿宋" w:hAnsi="仿宋" w:eastAsia="仿宋" w:cs="仿宋"/>
          <w:color w:val="auto"/>
          <w:sz w:val="30"/>
          <w:szCs w:val="30"/>
          <w:highlight w:val="none"/>
        </w:rPr>
        <w:t>建行集团供应链平台</w:t>
      </w:r>
    </w:p>
    <w:p>
      <w:pPr>
        <w:pStyle w:val="86"/>
        <w:wordWrap w:val="0"/>
        <w:spacing w:line="560" w:lineRule="exact"/>
        <w:rPr>
          <w:rFonts w:hint="eastAsia" w:ascii="仿宋" w:hAnsi="仿宋" w:eastAsia="仿宋" w:cs="仿宋"/>
          <w:color w:val="auto"/>
          <w:sz w:val="30"/>
          <w:szCs w:val="30"/>
          <w:highlight w:val="none"/>
          <w:lang w:val="en-US" w:eastAsia="zh-CN" w:bidi="ar-SA"/>
        </w:rPr>
      </w:pPr>
      <w:r>
        <w:rPr>
          <w:rFonts w:hint="eastAsia" w:ascii="仿宋" w:hAnsi="仿宋" w:eastAsia="仿宋" w:cs="仿宋"/>
          <w:b/>
          <w:bCs/>
          <w:color w:val="auto"/>
          <w:sz w:val="30"/>
          <w:szCs w:val="30"/>
          <w:highlight w:val="none"/>
          <w:lang w:val="en-US" w:eastAsia="zh-CN" w:bidi="en-US"/>
        </w:rPr>
        <w:t>5、利率：</w:t>
      </w:r>
      <w:r>
        <w:rPr>
          <w:rFonts w:hint="eastAsia" w:ascii="仿宋" w:hAnsi="仿宋" w:eastAsia="仿宋" w:cs="仿宋"/>
          <w:color w:val="auto"/>
          <w:sz w:val="30"/>
          <w:szCs w:val="30"/>
          <w:highlight w:val="none"/>
          <w:lang w:val="en-US" w:eastAsia="zh-CN" w:bidi="ar-SA"/>
        </w:rPr>
        <w:t>针对不同客户差别化定价，根据客户综合贡献度合理确定。</w:t>
      </w:r>
    </w:p>
    <w:p>
      <w:pPr>
        <w:pStyle w:val="86"/>
        <w:wordWrap w:val="0"/>
        <w:spacing w:line="560" w:lineRule="exact"/>
        <w:rPr>
          <w:rFonts w:hint="eastAsia" w:ascii="仿宋" w:hAnsi="仿宋" w:eastAsia="仿宋" w:cs="仿宋"/>
          <w:color w:val="auto"/>
          <w:sz w:val="30"/>
          <w:szCs w:val="30"/>
          <w:highlight w:val="none"/>
          <w:lang w:val="en-US" w:eastAsia="zh-CN" w:bidi="ar-SA"/>
        </w:rPr>
      </w:pPr>
      <w:r>
        <w:rPr>
          <w:rFonts w:hint="eastAsia" w:ascii="仿宋" w:hAnsi="仿宋" w:eastAsia="仿宋" w:cs="仿宋"/>
          <w:b/>
          <w:bCs/>
          <w:color w:val="auto"/>
          <w:sz w:val="30"/>
          <w:szCs w:val="30"/>
          <w:highlight w:val="none"/>
          <w:lang w:val="en-US" w:eastAsia="zh-CN" w:bidi="en-US"/>
        </w:rPr>
        <w:t>6、联系方式：</w:t>
      </w:r>
      <w:r>
        <w:rPr>
          <w:rFonts w:hint="eastAsia" w:ascii="仿宋" w:hAnsi="仿宋" w:eastAsia="仿宋" w:cs="仿宋"/>
          <w:color w:val="auto"/>
          <w:sz w:val="30"/>
          <w:szCs w:val="30"/>
          <w:highlight w:val="none"/>
          <w:lang w:val="en-US" w:eastAsia="zh-CN" w:bidi="ar-SA"/>
        </w:rPr>
        <w:t>分管领导：马顺超13693835688</w:t>
      </w:r>
    </w:p>
    <w:p>
      <w:pPr>
        <w:pStyle w:val="86"/>
        <w:wordWrap w:val="0"/>
        <w:spacing w:line="560" w:lineRule="exact"/>
        <w:ind w:firstLine="2100" w:firstLineChars="700"/>
        <w:rPr>
          <w:rFonts w:hint="eastAsia" w:ascii="仿宋" w:hAnsi="仿宋" w:eastAsia="仿宋" w:cs="仿宋"/>
          <w:color w:val="auto"/>
          <w:sz w:val="30"/>
          <w:szCs w:val="30"/>
          <w:highlight w:val="none"/>
          <w:lang w:val="en-US" w:eastAsia="zh-CN" w:bidi="ar-SA"/>
        </w:rPr>
      </w:pPr>
      <w:r>
        <w:rPr>
          <w:rFonts w:hint="eastAsia" w:ascii="仿宋" w:hAnsi="仿宋" w:eastAsia="仿宋" w:cs="仿宋"/>
          <w:color w:val="auto"/>
          <w:sz w:val="30"/>
          <w:szCs w:val="30"/>
          <w:highlight w:val="none"/>
          <w:lang w:val="en-US" w:eastAsia="zh-CN" w:bidi="ar-SA"/>
        </w:rPr>
        <w:t>信贷经理：张翠荣13937942294</w:t>
      </w:r>
    </w:p>
    <w:p>
      <w:pPr>
        <w:wordWrap w:val="0"/>
        <w:ind w:firstLine="708" w:firstLineChars="196"/>
        <w:jc w:val="center"/>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招商银行政府采购融资贷联系方式及融资产品介绍</w:t>
      </w:r>
    </w:p>
    <w:p>
      <w:pPr>
        <w:pStyle w:val="87"/>
        <w:numPr>
          <w:ilvl w:val="0"/>
          <w:numId w:val="9"/>
        </w:numPr>
        <w:wordWrap w:val="0"/>
        <w:spacing w:line="480" w:lineRule="auto"/>
        <w:ind w:firstLineChars="0"/>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联系方式：</w:t>
      </w:r>
    </w:p>
    <w:tbl>
      <w:tblPr>
        <w:tblStyle w:val="37"/>
        <w:tblW w:w="9782" w:type="dxa"/>
        <w:tblInd w:w="-176" w:type="dxa"/>
        <w:tblLayout w:type="fixed"/>
        <w:tblCellMar>
          <w:top w:w="0" w:type="dxa"/>
          <w:left w:w="108" w:type="dxa"/>
          <w:bottom w:w="0" w:type="dxa"/>
          <w:right w:w="108" w:type="dxa"/>
        </w:tblCellMar>
      </w:tblPr>
      <w:tblGrid>
        <w:gridCol w:w="1457"/>
        <w:gridCol w:w="1980"/>
        <w:gridCol w:w="3540"/>
        <w:gridCol w:w="1954"/>
        <w:gridCol w:w="851"/>
      </w:tblGrid>
      <w:tr>
        <w:tblPrEx>
          <w:tblCellMar>
            <w:top w:w="0" w:type="dxa"/>
            <w:left w:w="108" w:type="dxa"/>
            <w:bottom w:w="0" w:type="dxa"/>
            <w:right w:w="108" w:type="dxa"/>
          </w:tblCellMar>
        </w:tblPrEx>
        <w:trPr>
          <w:trHeight w:val="270" w:hRule="atLeast"/>
        </w:trPr>
        <w:tc>
          <w:tcPr>
            <w:tcW w:w="1457" w:type="dxa"/>
            <w:tcBorders>
              <w:top w:val="single" w:color="auto" w:sz="4" w:space="0"/>
              <w:left w:val="single" w:color="auto" w:sz="4" w:space="0"/>
              <w:bottom w:val="single" w:color="auto" w:sz="4" w:space="0"/>
              <w:right w:val="single" w:color="auto" w:sz="4" w:space="0"/>
            </w:tcBorders>
            <w:noWrap w:val="0"/>
            <w:vAlign w:val="center"/>
          </w:tcPr>
          <w:p>
            <w:pPr>
              <w:widowControl/>
              <w:wordWrap w:val="0"/>
              <w:spacing w:line="276"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分管领导</w:t>
            </w:r>
          </w:p>
        </w:tc>
        <w:tc>
          <w:tcPr>
            <w:tcW w:w="1980" w:type="dxa"/>
            <w:tcBorders>
              <w:top w:val="single" w:color="auto" w:sz="4" w:space="0"/>
              <w:left w:val="nil"/>
              <w:bottom w:val="single" w:color="auto" w:sz="4" w:space="0"/>
              <w:right w:val="single" w:color="auto" w:sz="4" w:space="0"/>
            </w:tcBorders>
            <w:noWrap w:val="0"/>
            <w:vAlign w:val="center"/>
          </w:tcPr>
          <w:p>
            <w:pPr>
              <w:widowControl/>
              <w:wordWrap w:val="0"/>
              <w:spacing w:line="276"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职务</w:t>
            </w:r>
          </w:p>
        </w:tc>
        <w:tc>
          <w:tcPr>
            <w:tcW w:w="3540" w:type="dxa"/>
            <w:tcBorders>
              <w:top w:val="single" w:color="auto" w:sz="4" w:space="0"/>
              <w:left w:val="nil"/>
              <w:bottom w:val="single" w:color="auto" w:sz="4" w:space="0"/>
              <w:right w:val="single" w:color="auto" w:sz="4" w:space="0"/>
            </w:tcBorders>
            <w:noWrap w:val="0"/>
            <w:vAlign w:val="center"/>
          </w:tcPr>
          <w:p>
            <w:pPr>
              <w:widowControl/>
              <w:wordWrap w:val="0"/>
              <w:spacing w:line="276"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地址</w:t>
            </w:r>
          </w:p>
        </w:tc>
        <w:tc>
          <w:tcPr>
            <w:tcW w:w="1954" w:type="dxa"/>
            <w:tcBorders>
              <w:top w:val="single" w:color="auto" w:sz="4" w:space="0"/>
              <w:left w:val="nil"/>
              <w:bottom w:val="single" w:color="auto" w:sz="4" w:space="0"/>
              <w:right w:val="single" w:color="auto" w:sz="4" w:space="0"/>
            </w:tcBorders>
            <w:noWrap w:val="0"/>
            <w:vAlign w:val="center"/>
          </w:tcPr>
          <w:p>
            <w:pPr>
              <w:widowControl/>
              <w:wordWrap w:val="0"/>
              <w:spacing w:line="276"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电话</w:t>
            </w:r>
          </w:p>
        </w:tc>
        <w:tc>
          <w:tcPr>
            <w:tcW w:w="851" w:type="dxa"/>
            <w:tcBorders>
              <w:top w:val="single" w:color="auto" w:sz="4" w:space="0"/>
              <w:left w:val="nil"/>
              <w:bottom w:val="single" w:color="auto" w:sz="4" w:space="0"/>
              <w:right w:val="single" w:color="auto" w:sz="4" w:space="0"/>
            </w:tcBorders>
            <w:noWrap w:val="0"/>
            <w:vAlign w:val="center"/>
          </w:tcPr>
          <w:p>
            <w:pPr>
              <w:widowControl/>
              <w:wordWrap w:val="0"/>
              <w:spacing w:line="480"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备注</w:t>
            </w:r>
          </w:p>
        </w:tc>
      </w:tr>
      <w:tr>
        <w:tblPrEx>
          <w:tblCellMar>
            <w:top w:w="0" w:type="dxa"/>
            <w:left w:w="108" w:type="dxa"/>
            <w:bottom w:w="0" w:type="dxa"/>
            <w:right w:w="108" w:type="dxa"/>
          </w:tblCellMar>
        </w:tblPrEx>
        <w:trPr>
          <w:trHeight w:val="270" w:hRule="atLeast"/>
        </w:trPr>
        <w:tc>
          <w:tcPr>
            <w:tcW w:w="1457" w:type="dxa"/>
            <w:tcBorders>
              <w:top w:val="nil"/>
              <w:left w:val="single" w:color="auto" w:sz="4" w:space="0"/>
              <w:bottom w:val="nil"/>
              <w:right w:val="single" w:color="auto" w:sz="4" w:space="0"/>
            </w:tcBorders>
            <w:noWrap w:val="0"/>
            <w:vAlign w:val="center"/>
          </w:tcPr>
          <w:p>
            <w:pPr>
              <w:widowControl/>
              <w:wordWrap w:val="0"/>
              <w:spacing w:line="276"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彭国庆</w:t>
            </w:r>
          </w:p>
        </w:tc>
        <w:tc>
          <w:tcPr>
            <w:tcW w:w="1980" w:type="dxa"/>
            <w:tcBorders>
              <w:top w:val="nil"/>
              <w:left w:val="nil"/>
              <w:bottom w:val="nil"/>
              <w:right w:val="single" w:color="auto" w:sz="4" w:space="0"/>
            </w:tcBorders>
            <w:noWrap w:val="0"/>
            <w:vAlign w:val="center"/>
          </w:tcPr>
          <w:p>
            <w:pPr>
              <w:widowControl/>
              <w:wordWrap w:val="0"/>
              <w:spacing w:line="276"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公司业务分管行长</w:t>
            </w:r>
          </w:p>
        </w:tc>
        <w:tc>
          <w:tcPr>
            <w:tcW w:w="3540" w:type="dxa"/>
            <w:tcBorders>
              <w:top w:val="nil"/>
              <w:left w:val="nil"/>
              <w:bottom w:val="nil"/>
              <w:right w:val="single" w:color="auto" w:sz="4" w:space="0"/>
            </w:tcBorders>
            <w:noWrap w:val="0"/>
            <w:vAlign w:val="center"/>
          </w:tcPr>
          <w:p>
            <w:pPr>
              <w:widowControl/>
              <w:wordWrap w:val="0"/>
              <w:spacing w:line="276"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洛阳市涧西区南昌路7号西苑大厦</w:t>
            </w:r>
          </w:p>
        </w:tc>
        <w:tc>
          <w:tcPr>
            <w:tcW w:w="1954" w:type="dxa"/>
            <w:tcBorders>
              <w:top w:val="nil"/>
              <w:left w:val="nil"/>
              <w:bottom w:val="nil"/>
              <w:right w:val="single" w:color="auto" w:sz="4" w:space="0"/>
            </w:tcBorders>
            <w:noWrap w:val="0"/>
            <w:vAlign w:val="center"/>
          </w:tcPr>
          <w:p>
            <w:pPr>
              <w:widowControl/>
              <w:wordWrap w:val="0"/>
              <w:spacing w:line="276"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15236667303</w:t>
            </w:r>
          </w:p>
        </w:tc>
        <w:tc>
          <w:tcPr>
            <w:tcW w:w="851" w:type="dxa"/>
            <w:tcBorders>
              <w:top w:val="nil"/>
              <w:left w:val="nil"/>
              <w:bottom w:val="nil"/>
              <w:right w:val="single" w:color="auto" w:sz="4" w:space="0"/>
            </w:tcBorders>
            <w:noWrap w:val="0"/>
            <w:vAlign w:val="center"/>
          </w:tcPr>
          <w:p>
            <w:pPr>
              <w:widowControl/>
              <w:wordWrap w:val="0"/>
              <w:spacing w:line="480"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　</w:t>
            </w:r>
          </w:p>
        </w:tc>
      </w:tr>
      <w:tr>
        <w:tblPrEx>
          <w:tblCellMar>
            <w:top w:w="0" w:type="dxa"/>
            <w:left w:w="108" w:type="dxa"/>
            <w:bottom w:w="0" w:type="dxa"/>
            <w:right w:w="108" w:type="dxa"/>
          </w:tblCellMar>
        </w:tblPrEx>
        <w:trPr>
          <w:trHeight w:val="270" w:hRule="atLeast"/>
        </w:trPr>
        <w:tc>
          <w:tcPr>
            <w:tcW w:w="1457" w:type="dxa"/>
            <w:tcBorders>
              <w:top w:val="nil"/>
              <w:left w:val="single" w:color="auto" w:sz="4" w:space="0"/>
              <w:bottom w:val="single" w:color="auto" w:sz="4" w:space="0"/>
              <w:right w:val="single" w:color="auto" w:sz="4" w:space="0"/>
            </w:tcBorders>
            <w:noWrap w:val="0"/>
            <w:vAlign w:val="center"/>
          </w:tcPr>
          <w:p>
            <w:pPr>
              <w:widowControl/>
              <w:wordWrap w:val="0"/>
              <w:spacing w:line="276"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王伊宁</w:t>
            </w:r>
          </w:p>
        </w:tc>
        <w:tc>
          <w:tcPr>
            <w:tcW w:w="1980" w:type="dxa"/>
            <w:tcBorders>
              <w:top w:val="nil"/>
              <w:left w:val="nil"/>
              <w:bottom w:val="single" w:color="auto" w:sz="4" w:space="0"/>
              <w:right w:val="single" w:color="auto" w:sz="4" w:space="0"/>
            </w:tcBorders>
            <w:noWrap w:val="0"/>
            <w:vAlign w:val="center"/>
          </w:tcPr>
          <w:p>
            <w:pPr>
              <w:widowControl/>
              <w:wordWrap w:val="0"/>
              <w:spacing w:line="276"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客户经理</w:t>
            </w:r>
          </w:p>
        </w:tc>
        <w:tc>
          <w:tcPr>
            <w:tcW w:w="3540" w:type="dxa"/>
            <w:tcBorders>
              <w:top w:val="nil"/>
              <w:left w:val="nil"/>
              <w:bottom w:val="single" w:color="auto" w:sz="4" w:space="0"/>
              <w:right w:val="single" w:color="auto" w:sz="4" w:space="0"/>
            </w:tcBorders>
            <w:noWrap w:val="0"/>
            <w:vAlign w:val="center"/>
          </w:tcPr>
          <w:p>
            <w:pPr>
              <w:widowControl/>
              <w:wordWrap w:val="0"/>
              <w:spacing w:line="276"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洛阳市涧西区南昌路7号西苑大厦</w:t>
            </w:r>
          </w:p>
        </w:tc>
        <w:tc>
          <w:tcPr>
            <w:tcW w:w="1954" w:type="dxa"/>
            <w:tcBorders>
              <w:top w:val="nil"/>
              <w:left w:val="nil"/>
              <w:bottom w:val="single" w:color="auto" w:sz="4" w:space="0"/>
              <w:right w:val="single" w:color="auto" w:sz="4" w:space="0"/>
            </w:tcBorders>
            <w:noWrap w:val="0"/>
            <w:vAlign w:val="center"/>
          </w:tcPr>
          <w:p>
            <w:pPr>
              <w:widowControl/>
              <w:wordWrap w:val="0"/>
              <w:spacing w:line="276"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 xml:space="preserve"> 13683861133</w:t>
            </w:r>
          </w:p>
        </w:tc>
        <w:tc>
          <w:tcPr>
            <w:tcW w:w="851" w:type="dxa"/>
            <w:tcBorders>
              <w:top w:val="nil"/>
              <w:left w:val="nil"/>
              <w:bottom w:val="single" w:color="auto" w:sz="4" w:space="0"/>
              <w:right w:val="single" w:color="auto" w:sz="4" w:space="0"/>
            </w:tcBorders>
            <w:noWrap w:val="0"/>
            <w:vAlign w:val="center"/>
          </w:tcPr>
          <w:p>
            <w:pPr>
              <w:widowControl/>
              <w:wordWrap w:val="0"/>
              <w:spacing w:line="480"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　</w:t>
            </w:r>
          </w:p>
        </w:tc>
      </w:tr>
    </w:tbl>
    <w:p>
      <w:pPr>
        <w:wordWrap w:val="0"/>
        <w:spacing w:line="480" w:lineRule="auto"/>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rPr>
        <w:t>二、审批流程</w:t>
      </w:r>
    </w:p>
    <w:p>
      <w:pPr>
        <w:wordWrap w:val="0"/>
        <w:spacing w:line="480" w:lineRule="auto"/>
        <w:rPr>
          <w:rFonts w:hint="eastAsia" w:ascii="仿宋" w:hAnsi="仿宋" w:eastAsia="仿宋" w:cs="仿宋"/>
          <w:color w:val="auto"/>
          <w:sz w:val="30"/>
          <w:szCs w:val="30"/>
          <w:highlight w:val="none"/>
        </w:rPr>
      </w:pPr>
      <w:r>
        <w:rPr>
          <w:rFonts w:hint="eastAsia" w:ascii="仿宋" w:hAnsi="仿宋" w:eastAsia="仿宋" w:cs="仿宋"/>
          <w:b/>
          <w:color w:val="auto"/>
          <w:sz w:val="30"/>
          <w:szCs w:val="30"/>
          <w:highlight w:val="none"/>
        </w:rPr>
        <w:t>1、申请路径：</w:t>
      </w:r>
      <w:r>
        <w:rPr>
          <w:rFonts w:hint="eastAsia" w:ascii="仿宋" w:hAnsi="仿宋" w:eastAsia="仿宋" w:cs="仿宋"/>
          <w:bCs/>
          <w:color w:val="auto"/>
          <w:sz w:val="30"/>
          <w:szCs w:val="30"/>
          <w:highlight w:val="none"/>
        </w:rPr>
        <w:t>（1）</w:t>
      </w:r>
      <w:r>
        <w:rPr>
          <w:rFonts w:hint="eastAsia" w:ascii="仿宋" w:hAnsi="仿宋" w:eastAsia="仿宋" w:cs="仿宋"/>
          <w:color w:val="auto"/>
          <w:sz w:val="30"/>
          <w:szCs w:val="30"/>
          <w:highlight w:val="none"/>
        </w:rPr>
        <w:t>手机扫描二维码申请</w:t>
      </w:r>
    </w:p>
    <w:p>
      <w:pPr>
        <w:wordWrap w:val="0"/>
        <w:spacing w:line="480" w:lineRule="auto"/>
        <w:ind w:firstLine="588" w:firstLineChars="196"/>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drawing>
          <wp:inline distT="0" distB="0" distL="114300" distR="114300">
            <wp:extent cx="1937385" cy="1571625"/>
            <wp:effectExtent l="0" t="0" r="5715"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1"/>
                    <a:stretch>
                      <a:fillRect/>
                    </a:stretch>
                  </pic:blipFill>
                  <pic:spPr>
                    <a:xfrm>
                      <a:off x="0" y="0"/>
                      <a:ext cx="1937385" cy="1571625"/>
                    </a:xfrm>
                    <a:prstGeom prst="rect">
                      <a:avLst/>
                    </a:prstGeom>
                    <a:noFill/>
                    <a:ln>
                      <a:noFill/>
                    </a:ln>
                  </pic:spPr>
                </pic:pic>
              </a:graphicData>
            </a:graphic>
          </wp:inline>
        </w:drawing>
      </w:r>
    </w:p>
    <w:p>
      <w:pPr>
        <w:wordWrap w:val="0"/>
        <w:spacing w:line="560" w:lineRule="exact"/>
        <w:ind w:firstLine="588" w:firstLineChars="196"/>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（2）网页版申请</w:t>
      </w:r>
      <w:r>
        <w:rPr>
          <w:rFonts w:hint="eastAsia" w:ascii="仿宋" w:hAnsi="仿宋" w:eastAsia="仿宋" w:cs="仿宋"/>
          <w:color w:val="auto"/>
          <w:sz w:val="30"/>
          <w:szCs w:val="30"/>
          <w:highlight w:val="none"/>
        </w:rPr>
        <w:fldChar w:fldCharType="begin"/>
      </w:r>
      <w:r>
        <w:rPr>
          <w:rFonts w:hint="eastAsia" w:ascii="仿宋" w:hAnsi="仿宋" w:eastAsia="仿宋" w:cs="仿宋"/>
          <w:color w:val="auto"/>
          <w:sz w:val="30"/>
          <w:szCs w:val="30"/>
          <w:highlight w:val="none"/>
        </w:rPr>
        <w:instrText xml:space="preserve"> HYPERLINK "https://sme.cmbchina.com/" </w:instrText>
      </w:r>
      <w:r>
        <w:rPr>
          <w:rFonts w:hint="eastAsia" w:ascii="仿宋" w:hAnsi="仿宋" w:eastAsia="仿宋" w:cs="仿宋"/>
          <w:color w:val="auto"/>
          <w:sz w:val="30"/>
          <w:szCs w:val="30"/>
          <w:highlight w:val="none"/>
        </w:rPr>
        <w:fldChar w:fldCharType="separate"/>
      </w:r>
      <w:r>
        <w:rPr>
          <w:rStyle w:val="48"/>
          <w:rFonts w:hint="eastAsia" w:ascii="仿宋" w:hAnsi="仿宋" w:eastAsia="仿宋" w:cs="仿宋"/>
          <w:color w:val="auto"/>
          <w:sz w:val="30"/>
          <w:szCs w:val="30"/>
          <w:highlight w:val="none"/>
        </w:rPr>
        <w:t>https://sme.cmbchina.com/</w:t>
      </w:r>
      <w:r>
        <w:rPr>
          <w:rStyle w:val="48"/>
          <w:rFonts w:hint="eastAsia" w:ascii="仿宋" w:hAnsi="仿宋" w:eastAsia="仿宋" w:cs="仿宋"/>
          <w:color w:val="auto"/>
          <w:sz w:val="30"/>
          <w:szCs w:val="30"/>
          <w:highlight w:val="none"/>
        </w:rPr>
        <w:fldChar w:fldCharType="end"/>
      </w:r>
      <w:r>
        <w:rPr>
          <w:rFonts w:hint="eastAsia" w:ascii="仿宋" w:hAnsi="仿宋" w:eastAsia="仿宋" w:cs="仿宋"/>
          <w:color w:val="auto"/>
          <w:sz w:val="30"/>
          <w:szCs w:val="30"/>
          <w:highlight w:val="none"/>
        </w:rPr>
        <w:t>；</w:t>
      </w:r>
    </w:p>
    <w:p>
      <w:pPr>
        <w:wordWrap w:val="0"/>
        <w:spacing w:line="560" w:lineRule="exact"/>
        <w:ind w:firstLine="590" w:firstLineChars="196"/>
        <w:jc w:val="left"/>
        <w:rPr>
          <w:rFonts w:hint="eastAsia"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2、授信额度：</w:t>
      </w:r>
      <w:r>
        <w:rPr>
          <w:rFonts w:hint="eastAsia" w:ascii="仿宋" w:hAnsi="仿宋" w:eastAsia="仿宋" w:cs="仿宋"/>
          <w:color w:val="auto"/>
          <w:sz w:val="30"/>
          <w:szCs w:val="30"/>
          <w:highlight w:val="none"/>
        </w:rPr>
        <w:t>基于政府采购中标总额和实际采购合同办理融资,额度最高可达到3000万，线上自助模式最高1000万；</w:t>
      </w:r>
    </w:p>
    <w:p>
      <w:pPr>
        <w:wordWrap w:val="0"/>
        <w:spacing w:line="560" w:lineRule="exact"/>
        <w:ind w:firstLine="602" w:firstLineChars="200"/>
        <w:jc w:val="left"/>
        <w:rPr>
          <w:rFonts w:hint="eastAsia"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3、</w:t>
      </w:r>
      <w:r>
        <w:rPr>
          <w:rFonts w:hint="eastAsia" w:ascii="仿宋" w:hAnsi="仿宋" w:eastAsia="仿宋" w:cs="仿宋"/>
          <w:b/>
          <w:color w:val="auto"/>
          <w:sz w:val="30"/>
          <w:szCs w:val="30"/>
          <w:highlight w:val="none"/>
        </w:rPr>
        <w:t>利率：</w:t>
      </w:r>
      <w:r>
        <w:rPr>
          <w:rFonts w:hint="eastAsia" w:ascii="仿宋" w:hAnsi="仿宋" w:eastAsia="仿宋" w:cs="仿宋"/>
          <w:color w:val="auto"/>
          <w:sz w:val="30"/>
          <w:szCs w:val="30"/>
          <w:highlight w:val="none"/>
        </w:rPr>
        <w:t>为切实降低中小微企业融资成本，我行严格执行普惠金融利率政策，对符合标准的普惠小微贷款业务一定补贴优惠；</w:t>
      </w:r>
    </w:p>
    <w:p>
      <w:pPr>
        <w:wordWrap w:val="0"/>
        <w:spacing w:line="560" w:lineRule="exact"/>
        <w:ind w:firstLine="590" w:firstLineChars="196"/>
        <w:jc w:val="left"/>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4、风控措施：</w:t>
      </w:r>
    </w:p>
    <w:p>
      <w:pPr>
        <w:wordWrap w:val="0"/>
        <w:spacing w:line="560" w:lineRule="exact"/>
        <w:ind w:firstLine="588" w:firstLineChars="196"/>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（1）回款锁定——保证融资申请人在我行进行融资的政府采购商务合同所对应的回款账户为我行且唯一；（2）在我行据以融资的商务合同项下的应收账款质押；（3）实际控制人夫妇提供连带担保；</w:t>
      </w:r>
    </w:p>
    <w:p>
      <w:pPr>
        <w:wordWrap w:val="0"/>
        <w:spacing w:line="560" w:lineRule="exact"/>
        <w:ind w:firstLine="443" w:firstLineChars="147"/>
        <w:jc w:val="left"/>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rPr>
        <w:t>5、客户准入</w:t>
      </w:r>
    </w:p>
    <w:p>
      <w:pPr>
        <w:wordWrap w:val="0"/>
        <w:spacing w:line="560" w:lineRule="exact"/>
        <w:ind w:left="420" w:leftChars="200"/>
        <w:jc w:val="left"/>
        <w:rPr>
          <w:rFonts w:hint="eastAsia" w:ascii="仿宋" w:hAnsi="仿宋" w:eastAsia="仿宋" w:cs="仿宋"/>
          <w:color w:val="auto"/>
          <w:sz w:val="30"/>
          <w:szCs w:val="30"/>
          <w:highlight w:val="none"/>
        </w:rPr>
      </w:pPr>
      <w:r>
        <w:rPr>
          <w:rFonts w:hint="eastAsia" w:ascii="仿宋" w:hAnsi="仿宋" w:eastAsia="仿宋" w:cs="仿宋"/>
          <w:bCs/>
          <w:color w:val="auto"/>
          <w:sz w:val="30"/>
          <w:szCs w:val="30"/>
          <w:highlight w:val="none"/>
        </w:rPr>
        <w:t>（1）采购单位 ：</w:t>
      </w:r>
      <w:r>
        <w:rPr>
          <w:rFonts w:hint="eastAsia" w:ascii="仿宋" w:hAnsi="仿宋" w:eastAsia="仿宋" w:cs="仿宋"/>
          <w:color w:val="auto"/>
          <w:sz w:val="30"/>
          <w:szCs w:val="30"/>
          <w:highlight w:val="none"/>
        </w:rPr>
        <w:t>区县及以上政府机构；由上述政府统筹付款的二甲以上公立医院、学校、科研机构等事业单位；付款记录良好，无拖欠大额工程款、采购款、逃废银行债务等不良记录；</w:t>
      </w:r>
    </w:p>
    <w:p>
      <w:pPr>
        <w:wordWrap w:val="0"/>
        <w:spacing w:line="560" w:lineRule="exact"/>
        <w:ind w:left="420" w:leftChars="200"/>
        <w:jc w:val="left"/>
        <w:rPr>
          <w:rFonts w:hint="eastAsia" w:ascii="仿宋" w:hAnsi="仿宋" w:eastAsia="仿宋" w:cs="仿宋"/>
          <w:color w:val="auto"/>
          <w:sz w:val="30"/>
          <w:szCs w:val="30"/>
          <w:highlight w:val="none"/>
        </w:rPr>
      </w:pPr>
      <w:r>
        <w:rPr>
          <w:rFonts w:hint="eastAsia" w:ascii="仿宋" w:hAnsi="仿宋" w:eastAsia="仿宋" w:cs="仿宋"/>
          <w:bCs/>
          <w:color w:val="auto"/>
          <w:sz w:val="30"/>
          <w:szCs w:val="30"/>
          <w:highlight w:val="none"/>
        </w:rPr>
        <w:t>（2）采购项目 ：</w:t>
      </w:r>
      <w:r>
        <w:rPr>
          <w:rFonts w:hint="eastAsia" w:ascii="仿宋" w:hAnsi="仿宋" w:eastAsia="仿宋" w:cs="仿宋"/>
          <w:color w:val="auto"/>
          <w:sz w:val="30"/>
          <w:szCs w:val="30"/>
          <w:highlight w:val="none"/>
        </w:rPr>
        <w:t>优先支持货物类采购，稳妥介入服务类采购，审慎介入建设工程类采购；未在他行办理以同一采购合同为贸易背景的融资业务；</w:t>
      </w:r>
    </w:p>
    <w:p>
      <w:pPr>
        <w:wordWrap w:val="0"/>
        <w:spacing w:line="560" w:lineRule="exact"/>
        <w:ind w:firstLine="590" w:firstLineChars="196"/>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8、政采自助贷：</w:t>
      </w:r>
    </w:p>
    <w:p>
      <w:pPr>
        <w:wordWrap w:val="0"/>
        <w:spacing w:line="560" w:lineRule="exact"/>
        <w:ind w:firstLine="588" w:firstLineChars="196"/>
        <w:rPr>
          <w:rFonts w:hint="eastAsia" w:ascii="仿宋" w:hAnsi="仿宋" w:eastAsia="仿宋" w:cs="仿宋"/>
          <w:bCs/>
          <w:color w:val="auto"/>
          <w:sz w:val="30"/>
          <w:szCs w:val="30"/>
          <w:highlight w:val="none"/>
        </w:rPr>
      </w:pPr>
      <w:r>
        <w:rPr>
          <w:rFonts w:hint="eastAsia" w:ascii="仿宋" w:hAnsi="仿宋" w:eastAsia="仿宋" w:cs="仿宋"/>
          <w:bCs/>
          <w:color w:val="auto"/>
          <w:sz w:val="30"/>
          <w:szCs w:val="30"/>
          <w:highlight w:val="none"/>
        </w:rPr>
        <w:t>（1）线上申请及预授信，额度最高1000万；（2）网银端线上自助提款，10分钟内即可到账；（3）基于政府采购中标总额和实际采购合同办理融资, 融资比例最高可达合同金额的80%；（4）利率优惠,线上可随借随还，更加符合政采供应商需求并降低企业成本。</w:t>
      </w:r>
    </w:p>
    <w:p>
      <w:pPr>
        <w:wordWrap w:val="0"/>
        <w:ind w:firstLine="708" w:firstLineChars="196"/>
        <w:jc w:val="center"/>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浦发银行政府采购融资贷联系方式及融资产品介绍</w:t>
      </w:r>
    </w:p>
    <w:p>
      <w:pPr>
        <w:wordWrap w:val="0"/>
        <w:ind w:firstLine="602" w:firstLineChars="200"/>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rPr>
        <w:t>一、联系方式</w:t>
      </w:r>
    </w:p>
    <w:p>
      <w:pPr>
        <w:wordWrap w:val="0"/>
        <w:rPr>
          <w:rFonts w:hint="eastAsia" w:ascii="仿宋" w:hAnsi="仿宋" w:eastAsia="仿宋" w:cs="仿宋"/>
          <w:color w:val="auto"/>
          <w:sz w:val="30"/>
          <w:szCs w:val="30"/>
          <w:highlight w:val="none"/>
        </w:rPr>
      </w:pPr>
    </w:p>
    <w:tbl>
      <w:tblPr>
        <w:tblStyle w:val="3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noWrap w:val="0"/>
            <w:vAlign w:val="top"/>
          </w:tcPr>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联系人</w:t>
            </w:r>
          </w:p>
        </w:tc>
        <w:tc>
          <w:tcPr>
            <w:tcW w:w="1704" w:type="dxa"/>
            <w:noWrap w:val="0"/>
            <w:vAlign w:val="top"/>
          </w:tcPr>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职务</w:t>
            </w:r>
          </w:p>
        </w:tc>
        <w:tc>
          <w:tcPr>
            <w:tcW w:w="1704" w:type="dxa"/>
            <w:noWrap w:val="0"/>
            <w:vAlign w:val="top"/>
          </w:tcPr>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地址</w:t>
            </w:r>
          </w:p>
        </w:tc>
        <w:tc>
          <w:tcPr>
            <w:tcW w:w="1705" w:type="dxa"/>
            <w:noWrap w:val="0"/>
            <w:vAlign w:val="top"/>
          </w:tcPr>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电话</w:t>
            </w:r>
          </w:p>
        </w:tc>
        <w:tc>
          <w:tcPr>
            <w:tcW w:w="1705" w:type="dxa"/>
            <w:noWrap w:val="0"/>
            <w:vAlign w:val="top"/>
          </w:tcPr>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noWrap w:val="0"/>
            <w:vAlign w:val="top"/>
          </w:tcPr>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苏冰</w:t>
            </w:r>
          </w:p>
        </w:tc>
        <w:tc>
          <w:tcPr>
            <w:tcW w:w="1704" w:type="dxa"/>
            <w:noWrap w:val="0"/>
            <w:vAlign w:val="top"/>
          </w:tcPr>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高级产品经理</w:t>
            </w:r>
          </w:p>
        </w:tc>
        <w:tc>
          <w:tcPr>
            <w:tcW w:w="1704" w:type="dxa"/>
            <w:noWrap w:val="0"/>
            <w:vAlign w:val="top"/>
          </w:tcPr>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洛阳市洛龙区展览路211号</w:t>
            </w:r>
          </w:p>
        </w:tc>
        <w:tc>
          <w:tcPr>
            <w:tcW w:w="1705" w:type="dxa"/>
            <w:noWrap w:val="0"/>
            <w:vAlign w:val="top"/>
          </w:tcPr>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18623790623</w:t>
            </w:r>
          </w:p>
        </w:tc>
        <w:tc>
          <w:tcPr>
            <w:tcW w:w="1705" w:type="dxa"/>
            <w:noWrap w:val="0"/>
            <w:vAlign w:val="top"/>
          </w:tcPr>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微信同手机号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noWrap w:val="0"/>
            <w:vAlign w:val="top"/>
          </w:tcPr>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汪乐阳</w:t>
            </w:r>
          </w:p>
        </w:tc>
        <w:tc>
          <w:tcPr>
            <w:tcW w:w="1704" w:type="dxa"/>
            <w:noWrap w:val="0"/>
            <w:vAlign w:val="top"/>
          </w:tcPr>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普惠金融部总经理</w:t>
            </w:r>
          </w:p>
        </w:tc>
        <w:tc>
          <w:tcPr>
            <w:tcW w:w="1704" w:type="dxa"/>
            <w:noWrap w:val="0"/>
            <w:vAlign w:val="top"/>
          </w:tcPr>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洛阳市洛龙区展览路211号</w:t>
            </w:r>
          </w:p>
        </w:tc>
        <w:tc>
          <w:tcPr>
            <w:tcW w:w="1705" w:type="dxa"/>
            <w:noWrap w:val="0"/>
            <w:vAlign w:val="top"/>
          </w:tcPr>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13698889966</w:t>
            </w:r>
          </w:p>
        </w:tc>
        <w:tc>
          <w:tcPr>
            <w:tcW w:w="1705" w:type="dxa"/>
            <w:noWrap w:val="0"/>
            <w:vAlign w:val="top"/>
          </w:tcPr>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微信同手机号</w:t>
            </w:r>
          </w:p>
        </w:tc>
      </w:tr>
    </w:tbl>
    <w:p>
      <w:pPr>
        <w:wordWrap w:val="0"/>
        <w:ind w:firstLine="602" w:firstLineChars="200"/>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rPr>
        <w:t>二、融资产品介绍</w:t>
      </w:r>
    </w:p>
    <w:p>
      <w:pPr>
        <w:widowControl/>
        <w:wordWrap w:val="0"/>
        <w:spacing w:line="315" w:lineRule="atLeast"/>
        <w:ind w:firstLine="48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在您中标政府采购项目，从合同(订单)生效到最终收款期间，有没有因采购原材料、生产产品等产生资金压力，存在融资需求的情况？</w:t>
      </w:r>
    </w:p>
    <w:p>
      <w:pPr>
        <w:widowControl/>
        <w:wordWrap w:val="0"/>
        <w:spacing w:line="315" w:lineRule="atLeast"/>
        <w:ind w:firstLine="482"/>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（一）产品介绍：</w:t>
      </w:r>
    </w:p>
    <w:p>
      <w:pPr>
        <w:widowControl/>
        <w:wordWrap w:val="0"/>
        <w:spacing w:line="315" w:lineRule="atLeast"/>
        <w:ind w:firstLine="482"/>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“政采e贷”是由洛阳市财政局与浦发银行共同开发，基于政府采购合同，为供应商提供的信用贷款。</w:t>
      </w:r>
    </w:p>
    <w:p>
      <w:pPr>
        <w:widowControl/>
        <w:wordWrap w:val="0"/>
        <w:spacing w:line="315" w:lineRule="atLeast"/>
        <w:ind w:firstLine="482"/>
        <w:rPr>
          <w:rFonts w:hint="eastAsia"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（二）产品优势：</w:t>
      </w:r>
    </w:p>
    <w:p>
      <w:pPr>
        <w:widowControl/>
        <w:wordWrap w:val="0"/>
        <w:spacing w:line="315" w:lineRule="atLeast"/>
        <w:ind w:firstLine="48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1、融资期限最长可达1年。</w:t>
      </w:r>
    </w:p>
    <w:p>
      <w:pPr>
        <w:widowControl/>
        <w:wordWrap w:val="0"/>
        <w:spacing w:line="315" w:lineRule="atLeast"/>
        <w:ind w:firstLine="48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2、货物、服务类最高1000万元，工程类最高1500万元。</w:t>
      </w:r>
    </w:p>
    <w:p>
      <w:pPr>
        <w:widowControl/>
        <w:wordWrap w:val="0"/>
        <w:spacing w:line="315" w:lineRule="atLeast"/>
        <w:ind w:left="839" w:hanging="36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3、信用贷款，低门槛，循环额度，随借随还。</w:t>
      </w:r>
    </w:p>
    <w:p>
      <w:pPr>
        <w:widowControl/>
        <w:wordWrap w:val="0"/>
        <w:spacing w:line="315" w:lineRule="atLeast"/>
        <w:ind w:firstLine="48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4、业务流程简单，在线秒级放款，尊享快捷体验。</w:t>
      </w:r>
    </w:p>
    <w:p>
      <w:pPr>
        <w:widowControl/>
        <w:wordWrap w:val="0"/>
        <w:spacing w:line="315" w:lineRule="atLeast"/>
        <w:ind w:firstLine="48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5、总行补贴，融资利率有优惠。</w:t>
      </w:r>
    </w:p>
    <w:p>
      <w:pPr>
        <w:widowControl/>
        <w:wordWrap w:val="0"/>
        <w:spacing w:line="315" w:lineRule="atLeast"/>
        <w:ind w:firstLine="482"/>
        <w:rPr>
          <w:rFonts w:hint="eastAsia"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（三）适用客户：</w:t>
      </w:r>
    </w:p>
    <w:p>
      <w:pPr>
        <w:widowControl/>
        <w:wordWrap w:val="0"/>
        <w:spacing w:line="315" w:lineRule="atLeast"/>
        <w:ind w:firstLine="48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1、在河南省境内注册的供应商，未列入河南省政府采购供应商黑名单。</w:t>
      </w:r>
    </w:p>
    <w:p>
      <w:pPr>
        <w:widowControl/>
        <w:wordWrap w:val="0"/>
        <w:spacing w:line="315" w:lineRule="atLeast"/>
        <w:ind w:firstLine="48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2、人民银行征信系统无逾期、垫款等情况，且无其他不良信用记录。</w:t>
      </w:r>
    </w:p>
    <w:p>
      <w:pPr>
        <w:widowControl/>
        <w:wordWrap w:val="0"/>
        <w:spacing w:line="315" w:lineRule="atLeast"/>
        <w:ind w:firstLine="480"/>
        <w:rPr>
          <w:rFonts w:hint="eastAsia" w:ascii="仿宋" w:hAnsi="仿宋" w:eastAsia="仿宋" w:cs="仿宋"/>
          <w:b/>
          <w:color w:val="auto"/>
          <w:sz w:val="30"/>
          <w:szCs w:val="30"/>
          <w:highlight w:val="none"/>
        </w:rPr>
      </w:pPr>
      <w:r>
        <w:rPr>
          <w:rFonts w:hint="eastAsia" w:ascii="仿宋" w:hAnsi="仿宋" w:eastAsia="仿宋" w:cs="仿宋"/>
          <w:color w:val="auto"/>
          <w:sz w:val="30"/>
          <w:szCs w:val="30"/>
          <w:highlight w:val="none"/>
        </w:rPr>
        <w:t>3、</w:t>
      </w:r>
      <w:r>
        <w:rPr>
          <w:rFonts w:hint="eastAsia" w:ascii="仿宋" w:hAnsi="仿宋" w:eastAsia="仿宋" w:cs="仿宋"/>
          <w:b/>
          <w:color w:val="auto"/>
          <w:sz w:val="30"/>
          <w:szCs w:val="30"/>
          <w:highlight w:val="none"/>
        </w:rPr>
        <w:t>政府采购中标区域：</w:t>
      </w:r>
    </w:p>
    <w:p>
      <w:pPr>
        <w:widowControl/>
        <w:wordWrap w:val="0"/>
        <w:spacing w:line="315" w:lineRule="atLeast"/>
        <w:ind w:firstLine="480"/>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rPr>
        <w:t>（1）河南省省直、郑州市（含市内各区）项目</w:t>
      </w:r>
    </w:p>
    <w:p>
      <w:pPr>
        <w:widowControl/>
        <w:wordWrap w:val="0"/>
        <w:spacing w:line="315" w:lineRule="atLeast"/>
        <w:ind w:firstLine="480"/>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rPr>
        <w:t>（2）洛阳市市直项目</w:t>
      </w:r>
    </w:p>
    <w:p>
      <w:pPr>
        <w:widowControl/>
        <w:wordWrap w:val="0"/>
        <w:spacing w:line="315" w:lineRule="atLeast"/>
        <w:ind w:firstLine="480"/>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rPr>
        <w:t>（3）河南其他地市市直项目</w:t>
      </w:r>
    </w:p>
    <w:p>
      <w:pPr>
        <w:widowControl/>
        <w:wordWrap w:val="0"/>
        <w:spacing w:line="315" w:lineRule="atLeast"/>
        <w:ind w:firstLine="480"/>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rPr>
        <w:t>（4）林州、长垣、新郑、禹州中标项目。</w:t>
      </w:r>
    </w:p>
    <w:p>
      <w:pPr>
        <w:widowControl/>
        <w:wordWrap w:val="0"/>
        <w:spacing w:line="315" w:lineRule="atLeast"/>
        <w:ind w:firstLine="482"/>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（四）申请路径</w:t>
      </w:r>
    </w:p>
    <w:p>
      <w:pPr>
        <w:widowControl/>
        <w:wordWrap w:val="0"/>
        <w:spacing w:line="315" w:lineRule="atLeast"/>
        <w:ind w:firstLine="48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1、供应商首先与联系人联系，提供企业基本证件、征信报告、中标合同、采购合同等进行客户准入和额度测算。</w:t>
      </w:r>
    </w:p>
    <w:p>
      <w:pPr>
        <w:widowControl/>
        <w:wordWrap w:val="0"/>
        <w:spacing w:line="315" w:lineRule="atLeast"/>
        <w:ind w:firstLine="48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2、供应商来浦发银行开户，在政府采购合同中填写浦发银行账号。</w:t>
      </w:r>
    </w:p>
    <w:p>
      <w:pPr>
        <w:widowControl/>
        <w:wordWrap w:val="0"/>
        <w:spacing w:line="315" w:lineRule="atLeast"/>
        <w:ind w:firstLine="48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（若客户已签署其他银行账号，则需要联系浦发银行进行备案银行账号变更）</w:t>
      </w:r>
    </w:p>
    <w:p>
      <w:pPr>
        <w:widowControl/>
        <w:wordWrap w:val="0"/>
        <w:spacing w:line="315" w:lineRule="atLeast"/>
        <w:ind w:firstLine="48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3、授信审查和放款（资料齐全一周时间）</w:t>
      </w:r>
    </w:p>
    <w:p>
      <w:pPr>
        <w:wordWrap w:val="0"/>
        <w:ind w:firstLine="708" w:firstLineChars="196"/>
        <w:jc w:val="center"/>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交通银行政府采购融资贷联系方式及融资产品介绍</w:t>
      </w:r>
    </w:p>
    <w:p>
      <w:pPr>
        <w:wordWrap w:val="0"/>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交通银行针对政府采购供应商中的小微企业推出的，以未来应收账款作为质押、以财政性资金作为还款来源的融资业务。凡参与过政府采购历史的中标企业，即可提前在我行预申请融资额度，中标且签订采购合同后可随时提用。我行具有绿色批复通道、授信额度高、免抵押担保、期限长等优势。</w:t>
      </w:r>
    </w:p>
    <w:p>
      <w:pPr>
        <w:wordWrap w:val="0"/>
        <w:ind w:firstLine="600" w:firstLineChars="200"/>
        <w:rPr>
          <w:rFonts w:hint="eastAsia" w:ascii="仿宋" w:hAnsi="仿宋" w:eastAsia="仿宋" w:cs="仿宋"/>
          <w:color w:val="auto"/>
          <w:sz w:val="30"/>
          <w:szCs w:val="30"/>
          <w:highlight w:val="none"/>
        </w:rPr>
      </w:pP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负责人：  周贯超     联系方式：15538830369</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联系人：  顾  伟     联系方式：18037558778</w:t>
      </w:r>
    </w:p>
    <w:p>
      <w:pPr>
        <w:wordWrap w:val="0"/>
        <w:ind w:firstLine="1500" w:firstLineChars="5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魏柴扉               18837923035</w:t>
      </w:r>
    </w:p>
    <w:p>
      <w:pPr>
        <w:wordWrap w:val="0"/>
        <w:jc w:val="center"/>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洛阳农商银行“普惠政府采购贷”产品简介及联系人</w:t>
      </w:r>
    </w:p>
    <w:p>
      <w:pPr>
        <w:wordWrap w:val="0"/>
        <w:spacing w:line="62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产品简介：“普惠政府采购贷”是指本行以政府采购诚信考核和信用审查为基础，凭借中小微企业供应商取得并提供的政府采购合同，依托省财政厅的电子化政府采购系统平台，按优于一般中小微企业的贷款利率及手续，直接向本行申请贷款的中小微企业发放的用于采购合同项下商品备货、生产和加工的贷款。以信用方式为主，追加供货商法定代表人或者实际控制人提供连带责任保证担保，融资额度不超过采购合同标的额的70%，贷款期限不超过1年，贷款利率原则上执行LPR上浮60%执行。</w:t>
      </w:r>
    </w:p>
    <w:p>
      <w:pPr>
        <w:wordWrap w:val="0"/>
        <w:spacing w:line="620" w:lineRule="exact"/>
        <w:ind w:firstLine="602" w:firstLineChars="200"/>
        <w:rPr>
          <w:rFonts w:hint="eastAsia"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分管领导：</w:t>
      </w:r>
      <w:r>
        <w:rPr>
          <w:rFonts w:hint="eastAsia" w:ascii="仿宋" w:hAnsi="仿宋" w:eastAsia="仿宋" w:cs="仿宋"/>
          <w:color w:val="auto"/>
          <w:sz w:val="30"/>
          <w:szCs w:val="30"/>
          <w:highlight w:val="none"/>
        </w:rPr>
        <w:t>张学强 13083636800</w:t>
      </w:r>
    </w:p>
    <w:p>
      <w:pPr>
        <w:wordWrap w:val="0"/>
        <w:spacing w:line="620" w:lineRule="exact"/>
        <w:ind w:firstLine="602" w:firstLineChars="200"/>
        <w:rPr>
          <w:rFonts w:hint="eastAsia"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信贷经理：</w:t>
      </w:r>
      <w:r>
        <w:rPr>
          <w:rFonts w:hint="eastAsia" w:ascii="仿宋" w:hAnsi="仿宋" w:eastAsia="仿宋" w:cs="仿宋"/>
          <w:color w:val="auto"/>
          <w:sz w:val="30"/>
          <w:szCs w:val="30"/>
          <w:highlight w:val="none"/>
        </w:rPr>
        <w:t>常洁   13721681719</w:t>
      </w:r>
    </w:p>
    <w:p>
      <w:pPr>
        <w:wordWrap w:val="0"/>
        <w:spacing w:line="620" w:lineRule="exact"/>
        <w:ind w:firstLine="602" w:firstLineChars="200"/>
        <w:rPr>
          <w:rFonts w:hint="eastAsia" w:ascii="仿宋" w:hAnsi="仿宋" w:eastAsia="仿宋" w:cs="仿宋"/>
          <w:color w:val="auto"/>
          <w:sz w:val="32"/>
          <w:szCs w:val="32"/>
          <w:highlight w:val="none"/>
        </w:rPr>
      </w:pPr>
      <w:r>
        <w:rPr>
          <w:rFonts w:hint="eastAsia" w:ascii="仿宋" w:hAnsi="仿宋" w:eastAsia="仿宋" w:cs="仿宋"/>
          <w:b/>
          <w:bCs/>
          <w:color w:val="auto"/>
          <w:sz w:val="30"/>
          <w:szCs w:val="30"/>
          <w:highlight w:val="none"/>
        </w:rPr>
        <w:t>具体负责人：</w:t>
      </w:r>
      <w:r>
        <w:rPr>
          <w:rFonts w:hint="eastAsia" w:ascii="仿宋" w:hAnsi="仿宋" w:eastAsia="仿宋" w:cs="仿宋"/>
          <w:color w:val="auto"/>
          <w:sz w:val="30"/>
          <w:szCs w:val="30"/>
          <w:highlight w:val="none"/>
        </w:rPr>
        <w:t>娄艳阁 13526989222</w:t>
      </w:r>
    </w:p>
    <w:p>
      <w:pPr>
        <w:wordWrap w:val="0"/>
        <w:rPr>
          <w:rFonts w:hint="eastAsia" w:ascii="仿宋" w:hAnsi="仿宋" w:eastAsia="仿宋" w:cs="仿宋"/>
          <w:b/>
          <w:bCs/>
          <w:color w:val="auto"/>
          <w:sz w:val="44"/>
          <w:szCs w:val="44"/>
          <w:highlight w:val="none"/>
        </w:rPr>
      </w:pPr>
    </w:p>
    <w:p>
      <w:pPr>
        <w:wordWrap w:val="0"/>
        <w:jc w:val="center"/>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农行洛阳分行政采贷</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　　1、产品定义：指境内购销双方签署订单后，农业银行以订单项下的预期销货款作为主要还款来源，为满足销货方在货物发运前因支付原材料采购款、组织生产、货物运输等资金需求而向其提供的短期融资。</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　　2、贷款期限：一年以内。</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　　3、适用对象：地市级（含）以上政府的采购部门统一组织的政府采购行为形成的订单等。</w:t>
      </w:r>
    </w:p>
    <w:p>
      <w:pPr>
        <w:numPr>
          <w:ilvl w:val="0"/>
          <w:numId w:val="10"/>
        </w:numPr>
        <w:wordWrap w:val="0"/>
        <w:ind w:firstLine="651"/>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办理条件：（1）在农行开立基本结算账户或一般结算账户。（2）借款人符合国家产业政策及我行信贷政策，生产经营正常,具备购货方认可的供货能力。（3）订单项下商品属于销货方营业执照经营范围内，商品质量稳定，符合国家及行业标准。（4）与购货方有两年以上稳定的供销关系，合作期间的履约交货记录及销售回款情况良好。（5）在金融机构无不良信用记录，或虽然有过不良信用记录，但不良信用记录的产生并非由于主观恶意且已全部偿还。</w:t>
      </w:r>
    </w:p>
    <w:p>
      <w:pPr>
        <w:numPr>
          <w:ilvl w:val="0"/>
          <w:numId w:val="10"/>
        </w:numPr>
        <w:wordWrap w:val="0"/>
        <w:ind w:firstLine="651"/>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业务流程：客户申请--银行调查--业务审查审批--合同签署--贷款发放。</w:t>
      </w:r>
    </w:p>
    <w:p>
      <w:pPr>
        <w:numPr>
          <w:ilvl w:val="0"/>
          <w:numId w:val="11"/>
        </w:numPr>
        <w:wordWrap w:val="0"/>
        <w:ind w:firstLine="651"/>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业务分管及联系人</w:t>
      </w:r>
    </w:p>
    <w:p>
      <w:pPr>
        <w:wordWrap w:val="0"/>
        <w:ind w:firstLine="64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分管领导：蔡浩洋　18567663969</w:t>
      </w:r>
    </w:p>
    <w:p>
      <w:pPr>
        <w:wordWrap w:val="0"/>
        <w:ind w:firstLine="64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客户经理：张琦颖　18567663732</w:t>
      </w:r>
    </w:p>
    <w:p>
      <w:pPr>
        <w:wordWrap w:val="0"/>
        <w:spacing w:line="620" w:lineRule="exact"/>
        <w:ind w:firstLine="600" w:firstLineChars="200"/>
        <w:rPr>
          <w:rFonts w:hint="eastAsia" w:ascii="仿宋" w:hAnsi="仿宋" w:eastAsia="仿宋" w:cs="仿宋"/>
          <w:color w:val="auto"/>
          <w:sz w:val="30"/>
          <w:szCs w:val="30"/>
          <w:highlight w:val="none"/>
        </w:rPr>
      </w:pPr>
    </w:p>
    <w:p>
      <w:pPr>
        <w:wordWrap w:val="0"/>
        <w:ind w:firstLine="708" w:firstLineChars="196"/>
        <w:jc w:val="center"/>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华夏银行洛阳分行“政采贷”产品介绍</w:t>
      </w:r>
    </w:p>
    <w:p>
      <w:pPr>
        <w:wordWrap w:val="0"/>
        <w:jc w:val="center"/>
        <w:textAlignment w:val="baseline"/>
        <w:rPr>
          <w:rStyle w:val="88"/>
          <w:rFonts w:hint="eastAsia" w:ascii="仿宋" w:hAnsi="仿宋" w:eastAsia="仿宋" w:cs="仿宋"/>
          <w:color w:val="auto"/>
          <w:highlight w:val="none"/>
        </w:rPr>
      </w:pPr>
    </w:p>
    <w:p>
      <w:pPr>
        <w:wordWrap w:val="0"/>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产品特点</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融资便捷快捷</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线上提交融资申请，线上反馈审批额度</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审批手续简便</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审批手续及所需的资料相对简便</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融资比例合理</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最高融资比例可达订单金额的80%</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价格合理灵活</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按实际融资天数计息，低于同业平均水平</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还款灵活方便</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按期还息，到期还本，可提前部分还款或全部还款</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无需抵押担保</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凭订单即可申请，无需追加抵押担保</w:t>
      </w:r>
    </w:p>
    <w:p>
      <w:pPr>
        <w:wordWrap w:val="0"/>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申请条件和资料</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经工商形状管理机关（或主管机关）核准登记的企业法人或个体工商户，有固定经营场所，合法经营；</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企业为货物或服务类供应商；</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未纳入政府采购严重违法失信行为记录名单；</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企业近三年中标数不少于2次；</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企业具备与中标项目相匹配的生产或销售资质。</w:t>
      </w:r>
    </w:p>
    <w:p>
      <w:pPr>
        <w:wordWrap w:val="0"/>
        <w:rPr>
          <w:rFonts w:hint="eastAsia"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申请资料：</w:t>
      </w:r>
      <w:r>
        <w:rPr>
          <w:rFonts w:hint="eastAsia" w:ascii="仿宋" w:hAnsi="仿宋" w:eastAsia="仿宋" w:cs="仿宋"/>
          <w:color w:val="auto"/>
          <w:sz w:val="30"/>
          <w:szCs w:val="30"/>
          <w:highlight w:val="none"/>
        </w:rPr>
        <w:t>营业执照正副本、法人身份证</w:t>
      </w:r>
    </w:p>
    <w:p>
      <w:pPr>
        <w:wordWrap w:val="0"/>
        <w:rPr>
          <w:rFonts w:hint="eastAsia"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申请流程：</w:t>
      </w:r>
      <w:r>
        <w:rPr>
          <w:rFonts w:hint="eastAsia" w:ascii="仿宋" w:hAnsi="仿宋" w:eastAsia="仿宋" w:cs="仿宋"/>
          <w:color w:val="auto"/>
          <w:sz w:val="30"/>
          <w:szCs w:val="30"/>
          <w:highlight w:val="none"/>
        </w:rPr>
        <w:t>通过河南省政府采购网进入“华夏政采E贷”根据提示完成授信申请，系统审批通过后，前往网点开立企业账户及签订贷款协议，登陆“华夏政采贷”根据提示完成放款申请，系统审批通过后完成提款。</w:t>
      </w:r>
    </w:p>
    <w:p>
      <w:pPr>
        <w:wordWrap w:val="0"/>
        <w:rPr>
          <w:rFonts w:hint="eastAsia"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联系方式：</w:t>
      </w:r>
      <w:r>
        <w:rPr>
          <w:rFonts w:hint="eastAsia" w:ascii="仿宋" w:hAnsi="仿宋" w:eastAsia="仿宋" w:cs="仿宋"/>
          <w:color w:val="auto"/>
          <w:sz w:val="30"/>
          <w:szCs w:val="30"/>
          <w:highlight w:val="none"/>
        </w:rPr>
        <w:t>分管领导：马鲜平副行长</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部门经理：杜青青营销管理部经理13633790075</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具体负责人联系方式：谢逸伦客户经理15038621500</w:t>
      </w:r>
    </w:p>
    <w:p>
      <w:pPr>
        <w:wordWrap w:val="0"/>
        <w:ind w:firstLine="708" w:firstLineChars="196"/>
        <w:jc w:val="center"/>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中国光大银行政府采购贷融资产品</w:t>
      </w:r>
    </w:p>
    <w:p>
      <w:pPr>
        <w:wordWrap w:val="0"/>
        <w:ind w:firstLine="708" w:firstLineChars="196"/>
        <w:jc w:val="center"/>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介绍及联系方式</w:t>
      </w:r>
    </w:p>
    <w:p>
      <w:pPr>
        <w:pStyle w:val="32"/>
        <w:wordWrap w:val="0"/>
        <w:spacing w:beforeAutospacing="0" w:afterAutospacing="0"/>
        <w:ind w:firstLine="640" w:firstLineChars="200"/>
        <w:rPr>
          <w:rFonts w:hint="eastAsia" w:ascii="仿宋" w:hAnsi="仿宋" w:eastAsia="仿宋" w:cs="仿宋"/>
          <w:color w:val="auto"/>
          <w:sz w:val="32"/>
          <w:szCs w:val="32"/>
          <w:highlight w:val="none"/>
        </w:rPr>
      </w:pPr>
    </w:p>
    <w:p>
      <w:pPr>
        <w:pStyle w:val="32"/>
        <w:numPr>
          <w:ilvl w:val="0"/>
          <w:numId w:val="12"/>
        </w:numPr>
        <w:wordWrap w:val="0"/>
        <w:spacing w:beforeAutospacing="0" w:afterAutospacing="0" w:line="5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产品定义</w:t>
      </w:r>
    </w:p>
    <w:p>
      <w:pPr>
        <w:pStyle w:val="32"/>
        <w:wordWrap w:val="0"/>
        <w:spacing w:beforeAutospacing="0" w:afterAutospacing="0" w:line="500" w:lineRule="exact"/>
        <w:rPr>
          <w:rFonts w:hint="eastAsia" w:ascii="仿宋" w:hAnsi="仿宋" w:eastAsia="仿宋" w:cs="仿宋"/>
          <w:color w:val="auto"/>
          <w:kern w:val="2"/>
          <w:sz w:val="30"/>
          <w:szCs w:val="30"/>
          <w:highlight w:val="none"/>
        </w:rPr>
      </w:pPr>
      <w:r>
        <w:rPr>
          <w:rFonts w:hint="eastAsia" w:ascii="仿宋" w:hAnsi="仿宋" w:eastAsia="仿宋" w:cs="仿宋"/>
          <w:color w:val="auto"/>
          <w:kern w:val="2"/>
          <w:sz w:val="30"/>
          <w:szCs w:val="30"/>
          <w:highlight w:val="none"/>
        </w:rPr>
        <w:t>“政采易”是指光大银行根据政府采购中标通知书，以政府财政支付资金为主要还款来源，通过封闭回款路径等方式，为中标供应商提供流动资金贷款。</w:t>
      </w:r>
    </w:p>
    <w:p>
      <w:pPr>
        <w:pStyle w:val="32"/>
        <w:numPr>
          <w:ilvl w:val="0"/>
          <w:numId w:val="12"/>
        </w:numPr>
        <w:wordWrap w:val="0"/>
        <w:spacing w:beforeAutospacing="0" w:afterAutospacing="0" w:line="5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借款人基本条件</w:t>
      </w:r>
    </w:p>
    <w:p>
      <w:pPr>
        <w:tabs>
          <w:tab w:val="left" w:pos="1560"/>
        </w:tabs>
        <w:wordWrap w:val="0"/>
        <w:adjustRightInd w:val="0"/>
        <w:snapToGrid w:val="0"/>
        <w:spacing w:line="5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（一）具有独立承担民事责任的能力,有固定的经营场所；</w:t>
      </w:r>
    </w:p>
    <w:p>
      <w:pPr>
        <w:tabs>
          <w:tab w:val="left" w:pos="1560"/>
        </w:tabs>
        <w:wordWrap w:val="0"/>
        <w:adjustRightInd w:val="0"/>
        <w:snapToGrid w:val="0"/>
        <w:spacing w:line="5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（二）企业成立1（含）年以上，且实际控制人有3年以上实际行业经验，具有良好的纳税记录、工商登记记录；</w:t>
      </w:r>
    </w:p>
    <w:p>
      <w:pPr>
        <w:tabs>
          <w:tab w:val="left" w:pos="1560"/>
        </w:tabs>
        <w:wordWrap w:val="0"/>
        <w:adjustRightInd w:val="0"/>
        <w:snapToGrid w:val="0"/>
        <w:spacing w:line="5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（三）企业具有履行合同所必需的设备和服务能力；</w:t>
      </w:r>
    </w:p>
    <w:p>
      <w:pPr>
        <w:tabs>
          <w:tab w:val="left" w:pos="1560"/>
        </w:tabs>
        <w:wordWrap w:val="0"/>
        <w:adjustRightInd w:val="0"/>
        <w:snapToGrid w:val="0"/>
        <w:spacing w:line="5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（四）生产经营符合国家法律法规、产业政策和环境保护要求，符合我行信贷政策；</w:t>
      </w:r>
    </w:p>
    <w:p>
      <w:pPr>
        <w:tabs>
          <w:tab w:val="left" w:pos="1560"/>
        </w:tabs>
        <w:wordWrap w:val="0"/>
        <w:adjustRightInd w:val="0"/>
        <w:snapToGrid w:val="0"/>
        <w:spacing w:line="5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（五）人行征信信息查询系统查询显示企业法人、法定代表人、主要经营者无重大不良记录；政府采购履约行为无不良记录；</w:t>
      </w:r>
    </w:p>
    <w:p>
      <w:pPr>
        <w:tabs>
          <w:tab w:val="left" w:pos="1560"/>
        </w:tabs>
        <w:wordWrap w:val="0"/>
        <w:adjustRightInd w:val="0"/>
        <w:snapToGrid w:val="0"/>
        <w:spacing w:line="5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（六）中标供应商在我行信用评级应在B-级（含）以上；</w:t>
      </w:r>
    </w:p>
    <w:p>
      <w:pPr>
        <w:tabs>
          <w:tab w:val="left" w:pos="1560"/>
        </w:tabs>
        <w:wordWrap w:val="0"/>
        <w:adjustRightInd w:val="0"/>
        <w:snapToGrid w:val="0"/>
        <w:spacing w:line="5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（七）我行要求的其他条件。</w:t>
      </w:r>
    </w:p>
    <w:p>
      <w:pPr>
        <w:pStyle w:val="32"/>
        <w:numPr>
          <w:ilvl w:val="0"/>
          <w:numId w:val="12"/>
        </w:numPr>
        <w:wordWrap w:val="0"/>
        <w:spacing w:beforeAutospacing="0" w:afterAutospacing="0" w:line="5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业务流程</w:t>
      </w:r>
    </w:p>
    <w:p>
      <w:pPr>
        <w:numPr>
          <w:ilvl w:val="0"/>
          <w:numId w:val="13"/>
        </w:numPr>
        <w:tabs>
          <w:tab w:val="left" w:pos="1560"/>
        </w:tabs>
        <w:wordWrap w:val="0"/>
        <w:adjustRightInd w:val="0"/>
        <w:snapToGrid w:val="0"/>
        <w:spacing w:line="5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供应商的采购资金纳入同级或以上政府财政预算。</w:t>
      </w:r>
    </w:p>
    <w:p>
      <w:pPr>
        <w:numPr>
          <w:ilvl w:val="0"/>
          <w:numId w:val="13"/>
        </w:numPr>
        <w:tabs>
          <w:tab w:val="left" w:pos="1560"/>
        </w:tabs>
        <w:wordWrap w:val="0"/>
        <w:adjustRightInd w:val="0"/>
        <w:snapToGrid w:val="0"/>
        <w:spacing w:line="5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供应商与政府采购部门签署采购合同。</w:t>
      </w:r>
    </w:p>
    <w:p>
      <w:pPr>
        <w:numPr>
          <w:ilvl w:val="0"/>
          <w:numId w:val="13"/>
        </w:numPr>
        <w:tabs>
          <w:tab w:val="left" w:pos="1560"/>
        </w:tabs>
        <w:wordWrap w:val="0"/>
        <w:adjustRightInd w:val="0"/>
        <w:snapToGrid w:val="0"/>
        <w:spacing w:line="5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采购合同在公开平台进行公示或者备案。</w:t>
      </w:r>
    </w:p>
    <w:p>
      <w:pPr>
        <w:numPr>
          <w:ilvl w:val="0"/>
          <w:numId w:val="13"/>
        </w:numPr>
        <w:tabs>
          <w:tab w:val="left" w:pos="1560"/>
        </w:tabs>
        <w:wordWrap w:val="0"/>
        <w:adjustRightInd w:val="0"/>
        <w:snapToGrid w:val="0"/>
        <w:spacing w:line="5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供应商依托采购合同，向光大银行申请融资。</w:t>
      </w:r>
    </w:p>
    <w:p>
      <w:pPr>
        <w:numPr>
          <w:ilvl w:val="0"/>
          <w:numId w:val="13"/>
        </w:numPr>
        <w:tabs>
          <w:tab w:val="left" w:pos="1560"/>
        </w:tabs>
        <w:wordWrap w:val="0"/>
        <w:adjustRightInd w:val="0"/>
        <w:snapToGrid w:val="0"/>
        <w:spacing w:line="5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光大银行对采购商进行调查，根据政府采购中标合同金额扣除预付款*一定比例发放融资款项。</w:t>
      </w:r>
    </w:p>
    <w:p>
      <w:pPr>
        <w:numPr>
          <w:ilvl w:val="0"/>
          <w:numId w:val="13"/>
        </w:numPr>
        <w:tabs>
          <w:tab w:val="left" w:pos="1560"/>
        </w:tabs>
        <w:wordWrap w:val="0"/>
        <w:adjustRightInd w:val="0"/>
        <w:snapToGrid w:val="0"/>
        <w:spacing w:line="5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中标供应商须在光大银行开立结算账户并将其指定为企业政府采购结算专户，回款至该账户。</w:t>
      </w:r>
    </w:p>
    <w:p>
      <w:pPr>
        <w:pStyle w:val="32"/>
        <w:numPr>
          <w:ilvl w:val="0"/>
          <w:numId w:val="12"/>
        </w:numPr>
        <w:wordWrap w:val="0"/>
        <w:spacing w:beforeAutospacing="0" w:afterAutospacing="0" w:line="5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利率</w:t>
      </w:r>
    </w:p>
    <w:p>
      <w:pPr>
        <w:pStyle w:val="32"/>
        <w:wordWrap w:val="0"/>
        <w:spacing w:beforeAutospacing="0" w:afterAutospacing="0" w:line="500" w:lineRule="exact"/>
        <w:ind w:firstLine="600" w:firstLineChars="200"/>
        <w:rPr>
          <w:rFonts w:hint="eastAsia" w:ascii="仿宋" w:hAnsi="仿宋" w:eastAsia="仿宋" w:cs="仿宋"/>
          <w:color w:val="auto"/>
          <w:kern w:val="2"/>
          <w:sz w:val="30"/>
          <w:szCs w:val="30"/>
          <w:highlight w:val="none"/>
        </w:rPr>
      </w:pPr>
      <w:r>
        <w:rPr>
          <w:rFonts w:hint="eastAsia" w:ascii="仿宋" w:hAnsi="仿宋" w:eastAsia="仿宋" w:cs="仿宋"/>
          <w:color w:val="auto"/>
          <w:kern w:val="2"/>
          <w:sz w:val="30"/>
          <w:szCs w:val="30"/>
          <w:highlight w:val="none"/>
        </w:rPr>
        <w:t>根据当地同业水平合理确定贷款利率水平，执行总行贷款利率授权管理政策。</w:t>
      </w:r>
    </w:p>
    <w:p>
      <w:pPr>
        <w:pStyle w:val="32"/>
        <w:numPr>
          <w:ilvl w:val="0"/>
          <w:numId w:val="12"/>
        </w:numPr>
        <w:wordWrap w:val="0"/>
        <w:spacing w:beforeAutospacing="0" w:afterAutospacing="0" w:line="5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贷款期限</w:t>
      </w:r>
    </w:p>
    <w:p>
      <w:pPr>
        <w:pStyle w:val="89"/>
        <w:tabs>
          <w:tab w:val="left" w:pos="1560"/>
        </w:tabs>
        <w:wordWrap w:val="0"/>
        <w:adjustRightInd w:val="0"/>
        <w:snapToGrid w:val="0"/>
        <w:spacing w:line="500" w:lineRule="exact"/>
        <w:ind w:firstLine="624"/>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贷款期限应与政府采购合同中约定的结算周期、付款方式相匹配，最长不超过合同约定付款日期后两个月。</w:t>
      </w:r>
    </w:p>
    <w:p>
      <w:pPr>
        <w:pStyle w:val="32"/>
        <w:numPr>
          <w:ilvl w:val="0"/>
          <w:numId w:val="12"/>
        </w:numPr>
        <w:wordWrap w:val="0"/>
        <w:spacing w:beforeAutospacing="0" w:afterAutospacing="0" w:line="5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联系方式</w:t>
      </w:r>
    </w:p>
    <w:p>
      <w:pPr>
        <w:wordWrap w:val="0"/>
        <w:spacing w:line="5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1、分管领导：王慧18837902280</w:t>
      </w:r>
    </w:p>
    <w:p>
      <w:pPr>
        <w:wordWrap w:val="0"/>
        <w:spacing w:line="500" w:lineRule="exact"/>
        <w:ind w:firstLine="600" w:firstLineChars="200"/>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rPr>
        <w:t>2、信贷经理：刘勇18837995809</w:t>
      </w:r>
    </w:p>
    <w:sectPr>
      <w:pgSz w:w="11906" w:h="16838"/>
      <w:pgMar w:top="1440" w:right="1080" w:bottom="1440" w:left="108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华文细黑">
    <w:altName w:val="微软雅黑"/>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仿宋">
    <w:panose1 w:val="02010609060101010101"/>
    <w:charset w:val="86"/>
    <w:family w:val="modern"/>
    <w:pitch w:val="default"/>
    <w:sig w:usb0="800002BF" w:usb1="38CF7CFA" w:usb2="00000016" w:usb3="00000000" w:csb0="00040001" w:csb1="00000000"/>
  </w:font>
  <w:font w:name="TimesNewRomanPSMT">
    <w:altName w:val="微软雅黑"/>
    <w:panose1 w:val="00000000000000000000"/>
    <w:charset w:val="00"/>
    <w:family w:val="roman"/>
    <w:pitch w:val="default"/>
    <w:sig w:usb0="00000000" w:usb1="00000000" w:usb2="0000001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０</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０</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Bdr>
        <w:bottom w:val="none" w:color="auto" w:sz="0" w:space="1"/>
      </w:pBdr>
      <w:jc w:val="both"/>
      <w:rPr>
        <w:rFonts w:ascii="楷体" w:hAnsi="楷体" w:eastAsia="楷体"/>
        <w:color w:val="595959"/>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both"/>
      <w:rPr>
        <w:rFonts w:hint="eastAsia" w:ascii="楷体" w:hAnsi="楷体" w:eastAsia="楷体"/>
        <w:color w:val="595959"/>
        <w:sz w:val="24"/>
        <w:lang w:eastAsia="zh-CN"/>
      </w:rPr>
    </w:pPr>
    <w:r>
      <w:rPr>
        <w:rFonts w:hint="eastAsia" w:ascii="楷体" w:hAnsi="楷体" w:eastAsia="楷体"/>
        <w:color w:val="595959"/>
        <w:sz w:val="24"/>
      </w:rPr>
      <w:t xml:space="preserve">公开 公平 公正 诚信                </w:t>
    </w:r>
    <w:r>
      <w:rPr>
        <w:rFonts w:hint="eastAsia" w:ascii="楷体" w:hAnsi="楷体" w:eastAsia="楷体"/>
        <w:color w:val="595959"/>
        <w:sz w:val="24"/>
        <w:lang w:val="en-US" w:eastAsia="zh-CN"/>
      </w:rPr>
      <w:t xml:space="preserve">      </w:t>
    </w:r>
    <w:r>
      <w:rPr>
        <w:rFonts w:hint="eastAsia" w:ascii="楷体" w:hAnsi="楷体" w:eastAsia="楷体"/>
        <w:color w:val="595959"/>
        <w:sz w:val="24"/>
        <w:lang w:eastAsia="zh-CN"/>
      </w:rPr>
      <w:t>河南恒强工程管理咨询有限公司</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both"/>
      <w:rPr>
        <w:rFonts w:hint="eastAsia" w:eastAsia="楷体"/>
        <w:lang w:eastAsia="zh-CN"/>
      </w:rPr>
    </w:pPr>
    <w:r>
      <w:rPr>
        <w:rFonts w:hint="eastAsia" w:ascii="楷体" w:hAnsi="楷体" w:eastAsia="楷体"/>
        <w:sz w:val="21"/>
      </w:rPr>
      <w:t xml:space="preserve">公开 公平 公正 诚信                   </w:t>
    </w:r>
    <w:r>
      <w:rPr>
        <w:rFonts w:hint="eastAsia" w:ascii="楷体" w:hAnsi="楷体" w:eastAsia="楷体"/>
        <w:sz w:val="21"/>
        <w:lang w:val="en-US" w:eastAsia="zh-CN"/>
      </w:rPr>
      <w:t xml:space="preserve"> </w:t>
    </w:r>
    <w:r>
      <w:rPr>
        <w:rFonts w:ascii="楷体" w:hAnsi="楷体" w:eastAsia="楷体"/>
        <w:sz w:val="21"/>
      </w:rPr>
      <w:t xml:space="preserve">          </w:t>
    </w:r>
    <w:r>
      <w:rPr>
        <w:rFonts w:hint="eastAsia" w:ascii="楷体" w:hAnsi="楷体" w:eastAsia="楷体"/>
        <w:sz w:val="21"/>
      </w:rPr>
      <w:t xml:space="preserve">            </w:t>
    </w:r>
    <w:r>
      <w:rPr>
        <w:rFonts w:hint="eastAsia" w:ascii="楷体" w:hAnsi="楷体" w:eastAsia="楷体"/>
        <w:sz w:val="21"/>
        <w:lang w:eastAsia="zh-CN"/>
      </w:rPr>
      <w:t>河南恒强工程管理咨询有限公司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225898"/>
    <w:multiLevelType w:val="singleLevel"/>
    <w:tmpl w:val="82225898"/>
    <w:lvl w:ilvl="0" w:tentative="0">
      <w:start w:val="2"/>
      <w:numFmt w:val="decimal"/>
      <w:suff w:val="nothing"/>
      <w:lvlText w:val="%1、"/>
      <w:lvlJc w:val="left"/>
    </w:lvl>
  </w:abstractNum>
  <w:abstractNum w:abstractNumId="1">
    <w:nsid w:val="A814EFDE"/>
    <w:multiLevelType w:val="singleLevel"/>
    <w:tmpl w:val="A814EFDE"/>
    <w:lvl w:ilvl="0" w:tentative="0">
      <w:start w:val="1"/>
      <w:numFmt w:val="chineseCounting"/>
      <w:suff w:val="nothing"/>
      <w:lvlText w:val="%1、"/>
      <w:lvlJc w:val="left"/>
      <w:rPr>
        <w:rFonts w:hint="eastAsia"/>
      </w:rPr>
    </w:lvl>
  </w:abstractNum>
  <w:abstractNum w:abstractNumId="2">
    <w:nsid w:val="B8635214"/>
    <w:multiLevelType w:val="singleLevel"/>
    <w:tmpl w:val="B8635214"/>
    <w:lvl w:ilvl="0" w:tentative="0">
      <w:start w:val="1"/>
      <w:numFmt w:val="decimal"/>
      <w:suff w:val="nothing"/>
      <w:lvlText w:val="%1、"/>
      <w:lvlJc w:val="left"/>
    </w:lvl>
  </w:abstractNum>
  <w:abstractNum w:abstractNumId="3">
    <w:nsid w:val="C68DB927"/>
    <w:multiLevelType w:val="singleLevel"/>
    <w:tmpl w:val="C68DB927"/>
    <w:lvl w:ilvl="0" w:tentative="0">
      <w:start w:val="1"/>
      <w:numFmt w:val="decimal"/>
      <w:suff w:val="nothing"/>
      <w:lvlText w:val="%1、"/>
      <w:lvlJc w:val="left"/>
    </w:lvl>
  </w:abstractNum>
  <w:abstractNum w:abstractNumId="4">
    <w:nsid w:val="C734B888"/>
    <w:multiLevelType w:val="singleLevel"/>
    <w:tmpl w:val="C734B888"/>
    <w:lvl w:ilvl="0" w:tentative="0">
      <w:start w:val="3"/>
      <w:numFmt w:val="chineseCounting"/>
      <w:suff w:val="nothing"/>
      <w:lvlText w:val="%1、"/>
      <w:lvlJc w:val="left"/>
      <w:rPr>
        <w:rFonts w:hint="eastAsia"/>
      </w:rPr>
    </w:lvl>
  </w:abstractNum>
  <w:abstractNum w:abstractNumId="5">
    <w:nsid w:val="D191D001"/>
    <w:multiLevelType w:val="singleLevel"/>
    <w:tmpl w:val="D191D001"/>
    <w:lvl w:ilvl="0" w:tentative="0">
      <w:start w:val="1"/>
      <w:numFmt w:val="chineseCounting"/>
      <w:suff w:val="nothing"/>
      <w:lvlText w:val="（%1）"/>
      <w:lvlJc w:val="left"/>
      <w:rPr>
        <w:rFonts w:hint="eastAsia"/>
      </w:rPr>
    </w:lvl>
  </w:abstractNum>
  <w:abstractNum w:abstractNumId="6">
    <w:nsid w:val="F6D21E66"/>
    <w:multiLevelType w:val="singleLevel"/>
    <w:tmpl w:val="F6D21E66"/>
    <w:lvl w:ilvl="0" w:tentative="0">
      <w:start w:val="1"/>
      <w:numFmt w:val="decimal"/>
      <w:suff w:val="nothing"/>
      <w:lvlText w:val="%1、"/>
      <w:lvlJc w:val="left"/>
    </w:lvl>
  </w:abstractNum>
  <w:abstractNum w:abstractNumId="7">
    <w:nsid w:val="1C0C3297"/>
    <w:multiLevelType w:val="singleLevel"/>
    <w:tmpl w:val="1C0C3297"/>
    <w:lvl w:ilvl="0" w:tentative="0">
      <w:start w:val="1"/>
      <w:numFmt w:val="chineseCounting"/>
      <w:suff w:val="nothing"/>
      <w:lvlText w:val="%1、"/>
      <w:lvlJc w:val="left"/>
      <w:rPr>
        <w:rFonts w:hint="eastAsia"/>
      </w:rPr>
    </w:lvl>
  </w:abstractNum>
  <w:abstractNum w:abstractNumId="8">
    <w:nsid w:val="2A9E38DE"/>
    <w:multiLevelType w:val="multilevel"/>
    <w:tmpl w:val="2A9E38DE"/>
    <w:lvl w:ilvl="0" w:tentative="0">
      <w:start w:val="1"/>
      <w:numFmt w:val="japaneseCounting"/>
      <w:lvlText w:val="%1、"/>
      <w:lvlJc w:val="left"/>
      <w:pPr>
        <w:ind w:left="420" w:hanging="420"/>
      </w:pPr>
      <w:rPr>
        <w:rFonts w:hint="default"/>
      </w:rPr>
    </w:lvl>
    <w:lvl w:ilvl="1" w:tentative="0">
      <w:start w:val="3"/>
      <w:numFmt w:val="decimal"/>
      <w:lvlText w:val="%2、"/>
      <w:lvlJc w:val="left"/>
      <w:pPr>
        <w:ind w:left="780" w:hanging="360"/>
      </w:pPr>
      <w:rPr>
        <w:rFonts w:hint="default"/>
      </w:rPr>
    </w:lvl>
    <w:lvl w:ilvl="2" w:tentative="0">
      <w:start w:val="2"/>
      <w:numFmt w:val="decimal"/>
      <w:lvlText w:val="%3、"/>
      <w:lvlJc w:val="left"/>
      <w:pPr>
        <w:ind w:left="1200" w:hanging="360"/>
      </w:pPr>
      <w:rPr>
        <w:rFonts w:hint="default"/>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2D1C487A"/>
    <w:multiLevelType w:val="multilevel"/>
    <w:tmpl w:val="2D1C487A"/>
    <w:lvl w:ilvl="0" w:tentative="0">
      <w:start w:val="1"/>
      <w:numFmt w:val="decimal"/>
      <w:lvlText w:val="%1、"/>
      <w:lvlJc w:val="left"/>
      <w:pPr>
        <w:ind w:left="1440" w:hanging="720"/>
      </w:pPr>
      <w:rPr>
        <w:rFonts w:ascii="宋体" w:hAnsi="宋体" w:eastAsia="宋体" w:cs="Times New Roman"/>
      </w:rPr>
    </w:lvl>
    <w:lvl w:ilvl="1" w:tentative="0">
      <w:start w:val="1"/>
      <w:numFmt w:val="lowerLetter"/>
      <w:lvlText w:val="%2)"/>
      <w:lvlJc w:val="left"/>
      <w:pPr>
        <w:ind w:left="1560" w:hanging="420"/>
      </w:p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10">
    <w:nsid w:val="6095E1D2"/>
    <w:multiLevelType w:val="singleLevel"/>
    <w:tmpl w:val="6095E1D2"/>
    <w:lvl w:ilvl="0" w:tentative="0">
      <w:start w:val="1"/>
      <w:numFmt w:val="decimal"/>
      <w:suff w:val="nothing"/>
      <w:lvlText w:val="%1、"/>
      <w:lvlJc w:val="left"/>
    </w:lvl>
  </w:abstractNum>
  <w:abstractNum w:abstractNumId="11">
    <w:nsid w:val="60A77BA0"/>
    <w:multiLevelType w:val="singleLevel"/>
    <w:tmpl w:val="60A77BA0"/>
    <w:lvl w:ilvl="0" w:tentative="0">
      <w:start w:val="4"/>
      <w:numFmt w:val="decimal"/>
      <w:suff w:val="nothing"/>
      <w:lvlText w:val="%1、"/>
      <w:lvlJc w:val="left"/>
    </w:lvl>
  </w:abstractNum>
  <w:abstractNum w:abstractNumId="12">
    <w:nsid w:val="60A77C49"/>
    <w:multiLevelType w:val="singleLevel"/>
    <w:tmpl w:val="60A77C49"/>
    <w:lvl w:ilvl="0" w:tentative="0">
      <w:start w:val="3"/>
      <w:numFmt w:val="chineseCounting"/>
      <w:suff w:val="nothing"/>
      <w:lvlText w:val="%1、"/>
      <w:lvlJc w:val="left"/>
    </w:lvl>
  </w:abstractNum>
  <w:num w:numId="1">
    <w:abstractNumId w:val="0"/>
  </w:num>
  <w:num w:numId="2">
    <w:abstractNumId w:val="4"/>
  </w:num>
  <w:num w:numId="3">
    <w:abstractNumId w:val="10"/>
  </w:num>
  <w:num w:numId="4">
    <w:abstractNumId w:val="9"/>
  </w:num>
  <w:num w:numId="5">
    <w:abstractNumId w:val="7"/>
  </w:num>
  <w:num w:numId="6">
    <w:abstractNumId w:val="3"/>
  </w:num>
  <w:num w:numId="7">
    <w:abstractNumId w:val="2"/>
  </w:num>
  <w:num w:numId="8">
    <w:abstractNumId w:val="6"/>
  </w:num>
  <w:num w:numId="9">
    <w:abstractNumId w:val="8"/>
  </w:num>
  <w:num w:numId="10">
    <w:abstractNumId w:val="11"/>
  </w:num>
  <w:num w:numId="11">
    <w:abstractNumId w:val="12"/>
  </w:num>
  <w:num w:numId="12">
    <w:abstractNumId w:val="1"/>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784"/>
    <w:rsid w:val="00000963"/>
    <w:rsid w:val="00006E74"/>
    <w:rsid w:val="000071ED"/>
    <w:rsid w:val="00011EFF"/>
    <w:rsid w:val="00014FBD"/>
    <w:rsid w:val="0002045B"/>
    <w:rsid w:val="000258C2"/>
    <w:rsid w:val="0003246A"/>
    <w:rsid w:val="00036497"/>
    <w:rsid w:val="00040D29"/>
    <w:rsid w:val="00044D60"/>
    <w:rsid w:val="00044F5B"/>
    <w:rsid w:val="00047CD2"/>
    <w:rsid w:val="000504D2"/>
    <w:rsid w:val="0005437F"/>
    <w:rsid w:val="000549C0"/>
    <w:rsid w:val="00055112"/>
    <w:rsid w:val="00055901"/>
    <w:rsid w:val="00056C74"/>
    <w:rsid w:val="000575A7"/>
    <w:rsid w:val="0006130C"/>
    <w:rsid w:val="000629C1"/>
    <w:rsid w:val="0006531A"/>
    <w:rsid w:val="000656E5"/>
    <w:rsid w:val="00065AB7"/>
    <w:rsid w:val="00065FDD"/>
    <w:rsid w:val="00070D1E"/>
    <w:rsid w:val="00071583"/>
    <w:rsid w:val="00072068"/>
    <w:rsid w:val="00072D2A"/>
    <w:rsid w:val="00074A75"/>
    <w:rsid w:val="0007747C"/>
    <w:rsid w:val="000774E0"/>
    <w:rsid w:val="00080B84"/>
    <w:rsid w:val="00082361"/>
    <w:rsid w:val="00082B04"/>
    <w:rsid w:val="000849CA"/>
    <w:rsid w:val="000867E0"/>
    <w:rsid w:val="0009242C"/>
    <w:rsid w:val="00094034"/>
    <w:rsid w:val="000951EC"/>
    <w:rsid w:val="00095284"/>
    <w:rsid w:val="000A0093"/>
    <w:rsid w:val="000A1ABD"/>
    <w:rsid w:val="000A482D"/>
    <w:rsid w:val="000B1EB2"/>
    <w:rsid w:val="000B458B"/>
    <w:rsid w:val="000B4DEF"/>
    <w:rsid w:val="000C0133"/>
    <w:rsid w:val="000C1B7A"/>
    <w:rsid w:val="000D4085"/>
    <w:rsid w:val="000E03F2"/>
    <w:rsid w:val="000E1BDA"/>
    <w:rsid w:val="000E404E"/>
    <w:rsid w:val="000E4A5A"/>
    <w:rsid w:val="000E5605"/>
    <w:rsid w:val="000E5A1E"/>
    <w:rsid w:val="000F3139"/>
    <w:rsid w:val="000F5B74"/>
    <w:rsid w:val="00100095"/>
    <w:rsid w:val="001016B8"/>
    <w:rsid w:val="00103DA8"/>
    <w:rsid w:val="001047C5"/>
    <w:rsid w:val="00114C60"/>
    <w:rsid w:val="00130F7B"/>
    <w:rsid w:val="00132DA2"/>
    <w:rsid w:val="0013308F"/>
    <w:rsid w:val="00133826"/>
    <w:rsid w:val="00133FB7"/>
    <w:rsid w:val="001352A4"/>
    <w:rsid w:val="0013759B"/>
    <w:rsid w:val="001419F7"/>
    <w:rsid w:val="00141B04"/>
    <w:rsid w:val="00142CEA"/>
    <w:rsid w:val="00143442"/>
    <w:rsid w:val="00146827"/>
    <w:rsid w:val="00147BE6"/>
    <w:rsid w:val="00147E69"/>
    <w:rsid w:val="00152DB4"/>
    <w:rsid w:val="00154708"/>
    <w:rsid w:val="00160EAC"/>
    <w:rsid w:val="001672B3"/>
    <w:rsid w:val="00167714"/>
    <w:rsid w:val="00172A27"/>
    <w:rsid w:val="00174197"/>
    <w:rsid w:val="00174976"/>
    <w:rsid w:val="001749F9"/>
    <w:rsid w:val="00174BEC"/>
    <w:rsid w:val="001764AF"/>
    <w:rsid w:val="00177DA2"/>
    <w:rsid w:val="00181496"/>
    <w:rsid w:val="00185B98"/>
    <w:rsid w:val="00190924"/>
    <w:rsid w:val="00193864"/>
    <w:rsid w:val="00194720"/>
    <w:rsid w:val="00195A63"/>
    <w:rsid w:val="00197289"/>
    <w:rsid w:val="001976E0"/>
    <w:rsid w:val="001A02B2"/>
    <w:rsid w:val="001A2F88"/>
    <w:rsid w:val="001A3B8E"/>
    <w:rsid w:val="001A3BC4"/>
    <w:rsid w:val="001A7837"/>
    <w:rsid w:val="001B3249"/>
    <w:rsid w:val="001B4E5E"/>
    <w:rsid w:val="001C237F"/>
    <w:rsid w:val="001C2E0D"/>
    <w:rsid w:val="001D09DD"/>
    <w:rsid w:val="001D1030"/>
    <w:rsid w:val="001D33FF"/>
    <w:rsid w:val="001D6B7D"/>
    <w:rsid w:val="001E0D0D"/>
    <w:rsid w:val="001E1C2B"/>
    <w:rsid w:val="001E31DD"/>
    <w:rsid w:val="001E37EA"/>
    <w:rsid w:val="001E3C0D"/>
    <w:rsid w:val="001E6051"/>
    <w:rsid w:val="001F44E3"/>
    <w:rsid w:val="00200353"/>
    <w:rsid w:val="00213479"/>
    <w:rsid w:val="0021469F"/>
    <w:rsid w:val="00221E97"/>
    <w:rsid w:val="00224428"/>
    <w:rsid w:val="00225D7F"/>
    <w:rsid w:val="00225E2E"/>
    <w:rsid w:val="002321C7"/>
    <w:rsid w:val="0023252C"/>
    <w:rsid w:val="0024134B"/>
    <w:rsid w:val="00243076"/>
    <w:rsid w:val="00243B58"/>
    <w:rsid w:val="002446C0"/>
    <w:rsid w:val="0025081E"/>
    <w:rsid w:val="00256BCE"/>
    <w:rsid w:val="00260196"/>
    <w:rsid w:val="002607D8"/>
    <w:rsid w:val="002613BF"/>
    <w:rsid w:val="002618C9"/>
    <w:rsid w:val="00261F44"/>
    <w:rsid w:val="00262F9B"/>
    <w:rsid w:val="002637F5"/>
    <w:rsid w:val="002649A2"/>
    <w:rsid w:val="002673A4"/>
    <w:rsid w:val="00267761"/>
    <w:rsid w:val="00267B35"/>
    <w:rsid w:val="00271C4B"/>
    <w:rsid w:val="00276F9B"/>
    <w:rsid w:val="00285A87"/>
    <w:rsid w:val="00287F9A"/>
    <w:rsid w:val="0029060D"/>
    <w:rsid w:val="00290EB8"/>
    <w:rsid w:val="002A24D1"/>
    <w:rsid w:val="002A37B1"/>
    <w:rsid w:val="002A61A8"/>
    <w:rsid w:val="002A6BB0"/>
    <w:rsid w:val="002B0039"/>
    <w:rsid w:val="002B0670"/>
    <w:rsid w:val="002B7DE4"/>
    <w:rsid w:val="002C069D"/>
    <w:rsid w:val="002C4548"/>
    <w:rsid w:val="002D3843"/>
    <w:rsid w:val="002D4EC5"/>
    <w:rsid w:val="002E0E5E"/>
    <w:rsid w:val="002E12AF"/>
    <w:rsid w:val="002E39AE"/>
    <w:rsid w:val="002E4DF7"/>
    <w:rsid w:val="002E516D"/>
    <w:rsid w:val="002F39DB"/>
    <w:rsid w:val="002F3BB2"/>
    <w:rsid w:val="002F59B9"/>
    <w:rsid w:val="00303725"/>
    <w:rsid w:val="003113A9"/>
    <w:rsid w:val="00311438"/>
    <w:rsid w:val="00314105"/>
    <w:rsid w:val="0031562E"/>
    <w:rsid w:val="0031613D"/>
    <w:rsid w:val="00317C29"/>
    <w:rsid w:val="00320FC9"/>
    <w:rsid w:val="003260FA"/>
    <w:rsid w:val="00327180"/>
    <w:rsid w:val="00332F86"/>
    <w:rsid w:val="003420DB"/>
    <w:rsid w:val="00346AF5"/>
    <w:rsid w:val="00350128"/>
    <w:rsid w:val="003503E0"/>
    <w:rsid w:val="003506EC"/>
    <w:rsid w:val="00352BED"/>
    <w:rsid w:val="00355259"/>
    <w:rsid w:val="00355B22"/>
    <w:rsid w:val="00363C49"/>
    <w:rsid w:val="00364173"/>
    <w:rsid w:val="00370A4C"/>
    <w:rsid w:val="00380017"/>
    <w:rsid w:val="003832DB"/>
    <w:rsid w:val="00383B13"/>
    <w:rsid w:val="00384262"/>
    <w:rsid w:val="00384756"/>
    <w:rsid w:val="00384C45"/>
    <w:rsid w:val="0038541D"/>
    <w:rsid w:val="00385790"/>
    <w:rsid w:val="00392DAB"/>
    <w:rsid w:val="0039330B"/>
    <w:rsid w:val="0039541F"/>
    <w:rsid w:val="003A0E3D"/>
    <w:rsid w:val="003A122E"/>
    <w:rsid w:val="003A2F2E"/>
    <w:rsid w:val="003B6A6C"/>
    <w:rsid w:val="003C1A8C"/>
    <w:rsid w:val="003C2D0A"/>
    <w:rsid w:val="003C7CE1"/>
    <w:rsid w:val="003C7F9D"/>
    <w:rsid w:val="003D0C25"/>
    <w:rsid w:val="003D1E32"/>
    <w:rsid w:val="003E0125"/>
    <w:rsid w:val="003E25A4"/>
    <w:rsid w:val="003E4735"/>
    <w:rsid w:val="003E52D7"/>
    <w:rsid w:val="003E5507"/>
    <w:rsid w:val="003E5F56"/>
    <w:rsid w:val="003E6978"/>
    <w:rsid w:val="003F17C9"/>
    <w:rsid w:val="003F3635"/>
    <w:rsid w:val="003F3B8D"/>
    <w:rsid w:val="003F591E"/>
    <w:rsid w:val="00400751"/>
    <w:rsid w:val="00400BE2"/>
    <w:rsid w:val="00400D7C"/>
    <w:rsid w:val="00402A5D"/>
    <w:rsid w:val="0040644A"/>
    <w:rsid w:val="00407C9F"/>
    <w:rsid w:val="004178EC"/>
    <w:rsid w:val="004211ED"/>
    <w:rsid w:val="004220A5"/>
    <w:rsid w:val="00426151"/>
    <w:rsid w:val="00430A0A"/>
    <w:rsid w:val="00436472"/>
    <w:rsid w:val="00437A3A"/>
    <w:rsid w:val="00441C5A"/>
    <w:rsid w:val="004436AC"/>
    <w:rsid w:val="00445658"/>
    <w:rsid w:val="00446DE1"/>
    <w:rsid w:val="00447ECB"/>
    <w:rsid w:val="00453336"/>
    <w:rsid w:val="004626C8"/>
    <w:rsid w:val="0046348C"/>
    <w:rsid w:val="00466811"/>
    <w:rsid w:val="0046782B"/>
    <w:rsid w:val="004721AA"/>
    <w:rsid w:val="00475D91"/>
    <w:rsid w:val="00480A6C"/>
    <w:rsid w:val="004838F2"/>
    <w:rsid w:val="004900C9"/>
    <w:rsid w:val="00490C54"/>
    <w:rsid w:val="00492712"/>
    <w:rsid w:val="0049315A"/>
    <w:rsid w:val="004948D7"/>
    <w:rsid w:val="004958B7"/>
    <w:rsid w:val="00496054"/>
    <w:rsid w:val="00497D7C"/>
    <w:rsid w:val="004A34BD"/>
    <w:rsid w:val="004A70C1"/>
    <w:rsid w:val="004B3423"/>
    <w:rsid w:val="004B6262"/>
    <w:rsid w:val="004B73C9"/>
    <w:rsid w:val="004B7C77"/>
    <w:rsid w:val="004C68E2"/>
    <w:rsid w:val="004D0335"/>
    <w:rsid w:val="004D05E2"/>
    <w:rsid w:val="004D182E"/>
    <w:rsid w:val="004D3B66"/>
    <w:rsid w:val="004D521F"/>
    <w:rsid w:val="004D76BD"/>
    <w:rsid w:val="004D78EB"/>
    <w:rsid w:val="004E22E7"/>
    <w:rsid w:val="004E493E"/>
    <w:rsid w:val="004E6FD1"/>
    <w:rsid w:val="0050086F"/>
    <w:rsid w:val="00501550"/>
    <w:rsid w:val="00503B57"/>
    <w:rsid w:val="00514DCF"/>
    <w:rsid w:val="0052008A"/>
    <w:rsid w:val="00520E26"/>
    <w:rsid w:val="0052605A"/>
    <w:rsid w:val="00526924"/>
    <w:rsid w:val="0052744C"/>
    <w:rsid w:val="0053259E"/>
    <w:rsid w:val="00534336"/>
    <w:rsid w:val="00534F2B"/>
    <w:rsid w:val="005404A1"/>
    <w:rsid w:val="00540AD8"/>
    <w:rsid w:val="00541787"/>
    <w:rsid w:val="005428D5"/>
    <w:rsid w:val="0054307E"/>
    <w:rsid w:val="005474D4"/>
    <w:rsid w:val="00553AFF"/>
    <w:rsid w:val="00555CB1"/>
    <w:rsid w:val="00556AB1"/>
    <w:rsid w:val="0056321C"/>
    <w:rsid w:val="00565454"/>
    <w:rsid w:val="00565FB2"/>
    <w:rsid w:val="00575B1F"/>
    <w:rsid w:val="00580C06"/>
    <w:rsid w:val="005822AA"/>
    <w:rsid w:val="0058706B"/>
    <w:rsid w:val="00594E84"/>
    <w:rsid w:val="005953E0"/>
    <w:rsid w:val="00597BAC"/>
    <w:rsid w:val="005A1622"/>
    <w:rsid w:val="005A2087"/>
    <w:rsid w:val="005A3342"/>
    <w:rsid w:val="005A3DA6"/>
    <w:rsid w:val="005A4B0A"/>
    <w:rsid w:val="005A60C2"/>
    <w:rsid w:val="005B09C4"/>
    <w:rsid w:val="005B0F74"/>
    <w:rsid w:val="005B1306"/>
    <w:rsid w:val="005B1DF7"/>
    <w:rsid w:val="005B2CBC"/>
    <w:rsid w:val="005B4270"/>
    <w:rsid w:val="005B5455"/>
    <w:rsid w:val="005B7FB5"/>
    <w:rsid w:val="005C03DE"/>
    <w:rsid w:val="005C19F0"/>
    <w:rsid w:val="005C2040"/>
    <w:rsid w:val="005C20EF"/>
    <w:rsid w:val="005C4109"/>
    <w:rsid w:val="005C4B2E"/>
    <w:rsid w:val="005D0938"/>
    <w:rsid w:val="005D19A3"/>
    <w:rsid w:val="005D4404"/>
    <w:rsid w:val="005D5BB3"/>
    <w:rsid w:val="005D78BA"/>
    <w:rsid w:val="005E26E0"/>
    <w:rsid w:val="005E352A"/>
    <w:rsid w:val="005E6D8A"/>
    <w:rsid w:val="005F5438"/>
    <w:rsid w:val="005F5721"/>
    <w:rsid w:val="00600890"/>
    <w:rsid w:val="00601C20"/>
    <w:rsid w:val="0060210B"/>
    <w:rsid w:val="00602D68"/>
    <w:rsid w:val="00604DD2"/>
    <w:rsid w:val="00613FD6"/>
    <w:rsid w:val="00615940"/>
    <w:rsid w:val="006165DE"/>
    <w:rsid w:val="00626E3E"/>
    <w:rsid w:val="006272AB"/>
    <w:rsid w:val="0063363B"/>
    <w:rsid w:val="00640AE9"/>
    <w:rsid w:val="006437EC"/>
    <w:rsid w:val="00644A27"/>
    <w:rsid w:val="00645914"/>
    <w:rsid w:val="0064665D"/>
    <w:rsid w:val="0064760D"/>
    <w:rsid w:val="00655B9B"/>
    <w:rsid w:val="00656351"/>
    <w:rsid w:val="00656E39"/>
    <w:rsid w:val="00660112"/>
    <w:rsid w:val="0066129A"/>
    <w:rsid w:val="00661556"/>
    <w:rsid w:val="006648F0"/>
    <w:rsid w:val="0066657F"/>
    <w:rsid w:val="006665FF"/>
    <w:rsid w:val="00666EA2"/>
    <w:rsid w:val="0066721D"/>
    <w:rsid w:val="00673AA5"/>
    <w:rsid w:val="006744D1"/>
    <w:rsid w:val="00674AA9"/>
    <w:rsid w:val="00676E31"/>
    <w:rsid w:val="0068056D"/>
    <w:rsid w:val="00680915"/>
    <w:rsid w:val="00681971"/>
    <w:rsid w:val="00683911"/>
    <w:rsid w:val="00683B2B"/>
    <w:rsid w:val="00683C9F"/>
    <w:rsid w:val="006869B6"/>
    <w:rsid w:val="00691548"/>
    <w:rsid w:val="006940BD"/>
    <w:rsid w:val="00695990"/>
    <w:rsid w:val="006A2F77"/>
    <w:rsid w:val="006A489D"/>
    <w:rsid w:val="006A53BE"/>
    <w:rsid w:val="006B1B35"/>
    <w:rsid w:val="006B3A43"/>
    <w:rsid w:val="006C147E"/>
    <w:rsid w:val="006C1F2D"/>
    <w:rsid w:val="006C77D6"/>
    <w:rsid w:val="006D2EF7"/>
    <w:rsid w:val="006D52EE"/>
    <w:rsid w:val="006D626F"/>
    <w:rsid w:val="006D6A78"/>
    <w:rsid w:val="006E0A36"/>
    <w:rsid w:val="006E44E9"/>
    <w:rsid w:val="006E5DF7"/>
    <w:rsid w:val="006F02E6"/>
    <w:rsid w:val="006F6C8F"/>
    <w:rsid w:val="0070102B"/>
    <w:rsid w:val="0070311E"/>
    <w:rsid w:val="0070401E"/>
    <w:rsid w:val="00704AA3"/>
    <w:rsid w:val="00705E7C"/>
    <w:rsid w:val="007077EC"/>
    <w:rsid w:val="00712409"/>
    <w:rsid w:val="007140B7"/>
    <w:rsid w:val="00720F93"/>
    <w:rsid w:val="007211E8"/>
    <w:rsid w:val="0073074A"/>
    <w:rsid w:val="007312B1"/>
    <w:rsid w:val="007315E9"/>
    <w:rsid w:val="00731DA8"/>
    <w:rsid w:val="00732116"/>
    <w:rsid w:val="007323F4"/>
    <w:rsid w:val="007367BF"/>
    <w:rsid w:val="00737E3C"/>
    <w:rsid w:val="00742C0D"/>
    <w:rsid w:val="007431FD"/>
    <w:rsid w:val="0074354C"/>
    <w:rsid w:val="007531DB"/>
    <w:rsid w:val="00753A5D"/>
    <w:rsid w:val="00754798"/>
    <w:rsid w:val="00760A75"/>
    <w:rsid w:val="00773872"/>
    <w:rsid w:val="007750DA"/>
    <w:rsid w:val="00776303"/>
    <w:rsid w:val="007770DA"/>
    <w:rsid w:val="007833F9"/>
    <w:rsid w:val="00783526"/>
    <w:rsid w:val="00784960"/>
    <w:rsid w:val="00784FC1"/>
    <w:rsid w:val="007912FC"/>
    <w:rsid w:val="00793562"/>
    <w:rsid w:val="00797A12"/>
    <w:rsid w:val="007A1D64"/>
    <w:rsid w:val="007A4F6C"/>
    <w:rsid w:val="007A566F"/>
    <w:rsid w:val="007A6C78"/>
    <w:rsid w:val="007A764B"/>
    <w:rsid w:val="007B2E6C"/>
    <w:rsid w:val="007C0169"/>
    <w:rsid w:val="007C1769"/>
    <w:rsid w:val="007C19F6"/>
    <w:rsid w:val="007C479F"/>
    <w:rsid w:val="007D52D8"/>
    <w:rsid w:val="007E0D24"/>
    <w:rsid w:val="00800DCE"/>
    <w:rsid w:val="0080342B"/>
    <w:rsid w:val="00806AC3"/>
    <w:rsid w:val="008120C9"/>
    <w:rsid w:val="0081226E"/>
    <w:rsid w:val="00812A14"/>
    <w:rsid w:val="00812E26"/>
    <w:rsid w:val="00814BB3"/>
    <w:rsid w:val="008162BA"/>
    <w:rsid w:val="00820E22"/>
    <w:rsid w:val="00822C41"/>
    <w:rsid w:val="00827F05"/>
    <w:rsid w:val="00831EDE"/>
    <w:rsid w:val="0083388B"/>
    <w:rsid w:val="00843AA4"/>
    <w:rsid w:val="008454D7"/>
    <w:rsid w:val="00845D19"/>
    <w:rsid w:val="00847AEF"/>
    <w:rsid w:val="008519AF"/>
    <w:rsid w:val="00857546"/>
    <w:rsid w:val="008622F3"/>
    <w:rsid w:val="00865353"/>
    <w:rsid w:val="008677CD"/>
    <w:rsid w:val="00870A77"/>
    <w:rsid w:val="008718DE"/>
    <w:rsid w:val="00872D07"/>
    <w:rsid w:val="008738DC"/>
    <w:rsid w:val="008761D0"/>
    <w:rsid w:val="008858DF"/>
    <w:rsid w:val="0088778D"/>
    <w:rsid w:val="00893FCB"/>
    <w:rsid w:val="00893FD7"/>
    <w:rsid w:val="008975B6"/>
    <w:rsid w:val="008A20A6"/>
    <w:rsid w:val="008A3484"/>
    <w:rsid w:val="008A42D3"/>
    <w:rsid w:val="008A48D7"/>
    <w:rsid w:val="008A4F1C"/>
    <w:rsid w:val="008A544A"/>
    <w:rsid w:val="008A75A6"/>
    <w:rsid w:val="008A770C"/>
    <w:rsid w:val="008A7E01"/>
    <w:rsid w:val="008B34B8"/>
    <w:rsid w:val="008B73B2"/>
    <w:rsid w:val="008C52B7"/>
    <w:rsid w:val="008C5335"/>
    <w:rsid w:val="008C5E0B"/>
    <w:rsid w:val="008C6E24"/>
    <w:rsid w:val="008C6F99"/>
    <w:rsid w:val="008C765C"/>
    <w:rsid w:val="008C7DDD"/>
    <w:rsid w:val="008D1BDE"/>
    <w:rsid w:val="008D4AB4"/>
    <w:rsid w:val="008D6CA0"/>
    <w:rsid w:val="008E4845"/>
    <w:rsid w:val="008E6203"/>
    <w:rsid w:val="008E727A"/>
    <w:rsid w:val="008E7D6E"/>
    <w:rsid w:val="008F193A"/>
    <w:rsid w:val="008F4694"/>
    <w:rsid w:val="008F47E6"/>
    <w:rsid w:val="008F552B"/>
    <w:rsid w:val="009005FD"/>
    <w:rsid w:val="0090764F"/>
    <w:rsid w:val="00915F27"/>
    <w:rsid w:val="00924EA7"/>
    <w:rsid w:val="00927508"/>
    <w:rsid w:val="00930CFF"/>
    <w:rsid w:val="00931FB8"/>
    <w:rsid w:val="009329DD"/>
    <w:rsid w:val="009351E6"/>
    <w:rsid w:val="00935326"/>
    <w:rsid w:val="00935D54"/>
    <w:rsid w:val="00936F65"/>
    <w:rsid w:val="00941371"/>
    <w:rsid w:val="00941851"/>
    <w:rsid w:val="00944FC8"/>
    <w:rsid w:val="00955A7F"/>
    <w:rsid w:val="009571DF"/>
    <w:rsid w:val="009573C7"/>
    <w:rsid w:val="00972BE3"/>
    <w:rsid w:val="0097518E"/>
    <w:rsid w:val="00982522"/>
    <w:rsid w:val="00983464"/>
    <w:rsid w:val="00984EA2"/>
    <w:rsid w:val="00987BE2"/>
    <w:rsid w:val="0099080A"/>
    <w:rsid w:val="00994D56"/>
    <w:rsid w:val="009A0C7B"/>
    <w:rsid w:val="009A0CC5"/>
    <w:rsid w:val="009A6ABB"/>
    <w:rsid w:val="009B217D"/>
    <w:rsid w:val="009B2A9B"/>
    <w:rsid w:val="009B62D6"/>
    <w:rsid w:val="009B6690"/>
    <w:rsid w:val="009C0459"/>
    <w:rsid w:val="009C2D1C"/>
    <w:rsid w:val="009C4D61"/>
    <w:rsid w:val="009D09DA"/>
    <w:rsid w:val="009D22EA"/>
    <w:rsid w:val="009D4943"/>
    <w:rsid w:val="009D494E"/>
    <w:rsid w:val="009D5496"/>
    <w:rsid w:val="009D5FF5"/>
    <w:rsid w:val="009D786D"/>
    <w:rsid w:val="009E2DD2"/>
    <w:rsid w:val="009E32C8"/>
    <w:rsid w:val="009E42AA"/>
    <w:rsid w:val="009E4AF2"/>
    <w:rsid w:val="00A002C5"/>
    <w:rsid w:val="00A00EC9"/>
    <w:rsid w:val="00A01B76"/>
    <w:rsid w:val="00A039D6"/>
    <w:rsid w:val="00A048AC"/>
    <w:rsid w:val="00A14664"/>
    <w:rsid w:val="00A22D33"/>
    <w:rsid w:val="00A25AC3"/>
    <w:rsid w:val="00A25DC1"/>
    <w:rsid w:val="00A2684E"/>
    <w:rsid w:val="00A26D91"/>
    <w:rsid w:val="00A33EE6"/>
    <w:rsid w:val="00A42331"/>
    <w:rsid w:val="00A476A6"/>
    <w:rsid w:val="00A50387"/>
    <w:rsid w:val="00A53488"/>
    <w:rsid w:val="00A5634B"/>
    <w:rsid w:val="00A62177"/>
    <w:rsid w:val="00A626BA"/>
    <w:rsid w:val="00A627DF"/>
    <w:rsid w:val="00A634C7"/>
    <w:rsid w:val="00A7168E"/>
    <w:rsid w:val="00A7320D"/>
    <w:rsid w:val="00A741B5"/>
    <w:rsid w:val="00A83EBA"/>
    <w:rsid w:val="00A83F07"/>
    <w:rsid w:val="00A85738"/>
    <w:rsid w:val="00A8604A"/>
    <w:rsid w:val="00A92232"/>
    <w:rsid w:val="00A9429A"/>
    <w:rsid w:val="00A9567E"/>
    <w:rsid w:val="00AA1E47"/>
    <w:rsid w:val="00AA2331"/>
    <w:rsid w:val="00AA23B9"/>
    <w:rsid w:val="00AA3AF8"/>
    <w:rsid w:val="00AA4446"/>
    <w:rsid w:val="00AA5C62"/>
    <w:rsid w:val="00AA75CB"/>
    <w:rsid w:val="00AB3A36"/>
    <w:rsid w:val="00AB3CE5"/>
    <w:rsid w:val="00AC319D"/>
    <w:rsid w:val="00AC359A"/>
    <w:rsid w:val="00AD1964"/>
    <w:rsid w:val="00AD54C4"/>
    <w:rsid w:val="00AE1CED"/>
    <w:rsid w:val="00AE5217"/>
    <w:rsid w:val="00AF1E8C"/>
    <w:rsid w:val="00AF2605"/>
    <w:rsid w:val="00AF4BF0"/>
    <w:rsid w:val="00AF6B53"/>
    <w:rsid w:val="00B00D52"/>
    <w:rsid w:val="00B02209"/>
    <w:rsid w:val="00B0568E"/>
    <w:rsid w:val="00B1262F"/>
    <w:rsid w:val="00B13623"/>
    <w:rsid w:val="00B15131"/>
    <w:rsid w:val="00B21095"/>
    <w:rsid w:val="00B21FEE"/>
    <w:rsid w:val="00B23552"/>
    <w:rsid w:val="00B24A19"/>
    <w:rsid w:val="00B30294"/>
    <w:rsid w:val="00B3383E"/>
    <w:rsid w:val="00B37568"/>
    <w:rsid w:val="00B40262"/>
    <w:rsid w:val="00B40B8D"/>
    <w:rsid w:val="00B4464B"/>
    <w:rsid w:val="00B454E3"/>
    <w:rsid w:val="00B45F00"/>
    <w:rsid w:val="00B46745"/>
    <w:rsid w:val="00B50DB8"/>
    <w:rsid w:val="00B518AB"/>
    <w:rsid w:val="00B534A0"/>
    <w:rsid w:val="00B560D0"/>
    <w:rsid w:val="00B611E9"/>
    <w:rsid w:val="00B65CF7"/>
    <w:rsid w:val="00B712A0"/>
    <w:rsid w:val="00B720C6"/>
    <w:rsid w:val="00B7560D"/>
    <w:rsid w:val="00B75A2F"/>
    <w:rsid w:val="00B75C6C"/>
    <w:rsid w:val="00B82044"/>
    <w:rsid w:val="00B90CFD"/>
    <w:rsid w:val="00B9227B"/>
    <w:rsid w:val="00B940D2"/>
    <w:rsid w:val="00B9535F"/>
    <w:rsid w:val="00B96447"/>
    <w:rsid w:val="00B96C4B"/>
    <w:rsid w:val="00B9783A"/>
    <w:rsid w:val="00BA2A6B"/>
    <w:rsid w:val="00BB4D02"/>
    <w:rsid w:val="00BC0130"/>
    <w:rsid w:val="00BC4BB2"/>
    <w:rsid w:val="00BC60CC"/>
    <w:rsid w:val="00BD3591"/>
    <w:rsid w:val="00BD53D2"/>
    <w:rsid w:val="00BE0F35"/>
    <w:rsid w:val="00BE1EDD"/>
    <w:rsid w:val="00BE5D72"/>
    <w:rsid w:val="00BE6BD2"/>
    <w:rsid w:val="00BE6E51"/>
    <w:rsid w:val="00BF560F"/>
    <w:rsid w:val="00C00924"/>
    <w:rsid w:val="00C036C3"/>
    <w:rsid w:val="00C04A9C"/>
    <w:rsid w:val="00C05179"/>
    <w:rsid w:val="00C0557F"/>
    <w:rsid w:val="00C06E77"/>
    <w:rsid w:val="00C07C42"/>
    <w:rsid w:val="00C1406D"/>
    <w:rsid w:val="00C209A7"/>
    <w:rsid w:val="00C218C3"/>
    <w:rsid w:val="00C24676"/>
    <w:rsid w:val="00C247B1"/>
    <w:rsid w:val="00C2717C"/>
    <w:rsid w:val="00C35F9B"/>
    <w:rsid w:val="00C40D22"/>
    <w:rsid w:val="00C461C0"/>
    <w:rsid w:val="00C51DD8"/>
    <w:rsid w:val="00C54021"/>
    <w:rsid w:val="00C54ACA"/>
    <w:rsid w:val="00C601E7"/>
    <w:rsid w:val="00C613C6"/>
    <w:rsid w:val="00C623F1"/>
    <w:rsid w:val="00C62B0B"/>
    <w:rsid w:val="00C64A34"/>
    <w:rsid w:val="00C66DBE"/>
    <w:rsid w:val="00C677A4"/>
    <w:rsid w:val="00C736B4"/>
    <w:rsid w:val="00C736C8"/>
    <w:rsid w:val="00C777BD"/>
    <w:rsid w:val="00C77B7A"/>
    <w:rsid w:val="00C80AB1"/>
    <w:rsid w:val="00C919E8"/>
    <w:rsid w:val="00C94812"/>
    <w:rsid w:val="00C96247"/>
    <w:rsid w:val="00C964B8"/>
    <w:rsid w:val="00CA3C1D"/>
    <w:rsid w:val="00CA5A07"/>
    <w:rsid w:val="00CA79AA"/>
    <w:rsid w:val="00CB4029"/>
    <w:rsid w:val="00CC1AEF"/>
    <w:rsid w:val="00CC3040"/>
    <w:rsid w:val="00CC3226"/>
    <w:rsid w:val="00CC70FF"/>
    <w:rsid w:val="00CD120E"/>
    <w:rsid w:val="00CD3C18"/>
    <w:rsid w:val="00CD41A9"/>
    <w:rsid w:val="00CE010B"/>
    <w:rsid w:val="00CE23AB"/>
    <w:rsid w:val="00CE5041"/>
    <w:rsid w:val="00CE6BF6"/>
    <w:rsid w:val="00CF199D"/>
    <w:rsid w:val="00CF4792"/>
    <w:rsid w:val="00D00C1B"/>
    <w:rsid w:val="00D0140D"/>
    <w:rsid w:val="00D0625B"/>
    <w:rsid w:val="00D067E6"/>
    <w:rsid w:val="00D07452"/>
    <w:rsid w:val="00D116A6"/>
    <w:rsid w:val="00D14066"/>
    <w:rsid w:val="00D14C44"/>
    <w:rsid w:val="00D14EAF"/>
    <w:rsid w:val="00D21C00"/>
    <w:rsid w:val="00D220CD"/>
    <w:rsid w:val="00D25690"/>
    <w:rsid w:val="00D279D1"/>
    <w:rsid w:val="00D40405"/>
    <w:rsid w:val="00D41A5C"/>
    <w:rsid w:val="00D45624"/>
    <w:rsid w:val="00D54CC5"/>
    <w:rsid w:val="00D64794"/>
    <w:rsid w:val="00D666F6"/>
    <w:rsid w:val="00D66A58"/>
    <w:rsid w:val="00D7037D"/>
    <w:rsid w:val="00D81066"/>
    <w:rsid w:val="00D828C4"/>
    <w:rsid w:val="00D876E6"/>
    <w:rsid w:val="00D90FC2"/>
    <w:rsid w:val="00D913E7"/>
    <w:rsid w:val="00DA3B16"/>
    <w:rsid w:val="00DA4A6E"/>
    <w:rsid w:val="00DA4D8D"/>
    <w:rsid w:val="00DA6C1F"/>
    <w:rsid w:val="00DA76F3"/>
    <w:rsid w:val="00DB1C8F"/>
    <w:rsid w:val="00DB2BB5"/>
    <w:rsid w:val="00DC037E"/>
    <w:rsid w:val="00DC19A6"/>
    <w:rsid w:val="00DC2605"/>
    <w:rsid w:val="00DC3348"/>
    <w:rsid w:val="00DC436A"/>
    <w:rsid w:val="00DC46C8"/>
    <w:rsid w:val="00DC4DA6"/>
    <w:rsid w:val="00DD4102"/>
    <w:rsid w:val="00DD51BC"/>
    <w:rsid w:val="00DE03E4"/>
    <w:rsid w:val="00DE128E"/>
    <w:rsid w:val="00DE2A2C"/>
    <w:rsid w:val="00DE3A37"/>
    <w:rsid w:val="00DE57A4"/>
    <w:rsid w:val="00DE5CAB"/>
    <w:rsid w:val="00DE6F2D"/>
    <w:rsid w:val="00DF090E"/>
    <w:rsid w:val="00DF15BD"/>
    <w:rsid w:val="00DF4BB4"/>
    <w:rsid w:val="00DF70E3"/>
    <w:rsid w:val="00E00714"/>
    <w:rsid w:val="00E015A6"/>
    <w:rsid w:val="00E11BDF"/>
    <w:rsid w:val="00E25008"/>
    <w:rsid w:val="00E2541B"/>
    <w:rsid w:val="00E25595"/>
    <w:rsid w:val="00E3190F"/>
    <w:rsid w:val="00E32FEA"/>
    <w:rsid w:val="00E33007"/>
    <w:rsid w:val="00E411D9"/>
    <w:rsid w:val="00E41CEE"/>
    <w:rsid w:val="00E452E5"/>
    <w:rsid w:val="00E50761"/>
    <w:rsid w:val="00E50E0C"/>
    <w:rsid w:val="00E6257F"/>
    <w:rsid w:val="00E63DE1"/>
    <w:rsid w:val="00E6466C"/>
    <w:rsid w:val="00E647BF"/>
    <w:rsid w:val="00E64A82"/>
    <w:rsid w:val="00E67311"/>
    <w:rsid w:val="00E7011C"/>
    <w:rsid w:val="00E74036"/>
    <w:rsid w:val="00E7467A"/>
    <w:rsid w:val="00E76E6A"/>
    <w:rsid w:val="00E80201"/>
    <w:rsid w:val="00E90C63"/>
    <w:rsid w:val="00E91EDA"/>
    <w:rsid w:val="00E954EC"/>
    <w:rsid w:val="00E95A7A"/>
    <w:rsid w:val="00EB0EA4"/>
    <w:rsid w:val="00EB100B"/>
    <w:rsid w:val="00EC0608"/>
    <w:rsid w:val="00EC0AAF"/>
    <w:rsid w:val="00EC112D"/>
    <w:rsid w:val="00EC438D"/>
    <w:rsid w:val="00EC5208"/>
    <w:rsid w:val="00EC5EA4"/>
    <w:rsid w:val="00ED3280"/>
    <w:rsid w:val="00ED5148"/>
    <w:rsid w:val="00ED7E8A"/>
    <w:rsid w:val="00EE44D0"/>
    <w:rsid w:val="00EE4771"/>
    <w:rsid w:val="00EE49F0"/>
    <w:rsid w:val="00EE7394"/>
    <w:rsid w:val="00EE7AFF"/>
    <w:rsid w:val="00EF0B2A"/>
    <w:rsid w:val="00EF1286"/>
    <w:rsid w:val="00EF4B99"/>
    <w:rsid w:val="00F00D61"/>
    <w:rsid w:val="00F105BC"/>
    <w:rsid w:val="00F17A30"/>
    <w:rsid w:val="00F206BE"/>
    <w:rsid w:val="00F20F6E"/>
    <w:rsid w:val="00F216D0"/>
    <w:rsid w:val="00F2506F"/>
    <w:rsid w:val="00F32855"/>
    <w:rsid w:val="00F33482"/>
    <w:rsid w:val="00F41CB1"/>
    <w:rsid w:val="00F47967"/>
    <w:rsid w:val="00F51544"/>
    <w:rsid w:val="00F550EC"/>
    <w:rsid w:val="00F553F5"/>
    <w:rsid w:val="00F55DDC"/>
    <w:rsid w:val="00F60787"/>
    <w:rsid w:val="00F607E0"/>
    <w:rsid w:val="00F63086"/>
    <w:rsid w:val="00F7143C"/>
    <w:rsid w:val="00F76501"/>
    <w:rsid w:val="00F85FD2"/>
    <w:rsid w:val="00F87AFD"/>
    <w:rsid w:val="00F90AB2"/>
    <w:rsid w:val="00F92793"/>
    <w:rsid w:val="00FA0A58"/>
    <w:rsid w:val="00FA3BC8"/>
    <w:rsid w:val="00FA41E5"/>
    <w:rsid w:val="00FB11C3"/>
    <w:rsid w:val="00FB3C3D"/>
    <w:rsid w:val="00FB522B"/>
    <w:rsid w:val="00FC1D07"/>
    <w:rsid w:val="00FC3BF2"/>
    <w:rsid w:val="00FD2CE3"/>
    <w:rsid w:val="00FD4258"/>
    <w:rsid w:val="00FE2E6A"/>
    <w:rsid w:val="00FE53CF"/>
    <w:rsid w:val="00FE74F8"/>
    <w:rsid w:val="00FF2402"/>
    <w:rsid w:val="00FF26C2"/>
    <w:rsid w:val="00FF2B90"/>
    <w:rsid w:val="00FF3C77"/>
    <w:rsid w:val="00FF4892"/>
    <w:rsid w:val="00FF6F10"/>
    <w:rsid w:val="00FF779C"/>
    <w:rsid w:val="013E5EA3"/>
    <w:rsid w:val="014B47D7"/>
    <w:rsid w:val="017C4E44"/>
    <w:rsid w:val="019074CA"/>
    <w:rsid w:val="01A36757"/>
    <w:rsid w:val="01E33FA9"/>
    <w:rsid w:val="0250441F"/>
    <w:rsid w:val="0254304B"/>
    <w:rsid w:val="0261567F"/>
    <w:rsid w:val="02761502"/>
    <w:rsid w:val="027E2A09"/>
    <w:rsid w:val="02A70E88"/>
    <w:rsid w:val="02B67D02"/>
    <w:rsid w:val="02F94BC3"/>
    <w:rsid w:val="03195651"/>
    <w:rsid w:val="031E49AD"/>
    <w:rsid w:val="033E4967"/>
    <w:rsid w:val="036B1C86"/>
    <w:rsid w:val="037050C4"/>
    <w:rsid w:val="03E6546F"/>
    <w:rsid w:val="04353CE5"/>
    <w:rsid w:val="04530374"/>
    <w:rsid w:val="045A4D68"/>
    <w:rsid w:val="04714C13"/>
    <w:rsid w:val="04895F3E"/>
    <w:rsid w:val="05511184"/>
    <w:rsid w:val="05683CB4"/>
    <w:rsid w:val="05B4217B"/>
    <w:rsid w:val="05B62F2D"/>
    <w:rsid w:val="05EB2C48"/>
    <w:rsid w:val="061D67F3"/>
    <w:rsid w:val="0624106C"/>
    <w:rsid w:val="06A44E09"/>
    <w:rsid w:val="06C35E18"/>
    <w:rsid w:val="06D96F79"/>
    <w:rsid w:val="06DB7F71"/>
    <w:rsid w:val="06F3073D"/>
    <w:rsid w:val="070337C2"/>
    <w:rsid w:val="07424FAC"/>
    <w:rsid w:val="07516F96"/>
    <w:rsid w:val="08065985"/>
    <w:rsid w:val="08531973"/>
    <w:rsid w:val="08572FD2"/>
    <w:rsid w:val="08F12097"/>
    <w:rsid w:val="092A51B9"/>
    <w:rsid w:val="0951120C"/>
    <w:rsid w:val="09544ACB"/>
    <w:rsid w:val="097839A4"/>
    <w:rsid w:val="09B858E2"/>
    <w:rsid w:val="09E879EE"/>
    <w:rsid w:val="0A037FC9"/>
    <w:rsid w:val="0A240E17"/>
    <w:rsid w:val="0AE30C3B"/>
    <w:rsid w:val="0B36428E"/>
    <w:rsid w:val="0B3B4292"/>
    <w:rsid w:val="0B3D12AF"/>
    <w:rsid w:val="0B863CD5"/>
    <w:rsid w:val="0BB97AC8"/>
    <w:rsid w:val="0C1F4B7C"/>
    <w:rsid w:val="0C8F1796"/>
    <w:rsid w:val="0CAA77DC"/>
    <w:rsid w:val="0CE03565"/>
    <w:rsid w:val="0D0A474A"/>
    <w:rsid w:val="0D44243A"/>
    <w:rsid w:val="0D52226A"/>
    <w:rsid w:val="0D760E50"/>
    <w:rsid w:val="0DDC2678"/>
    <w:rsid w:val="0E646E45"/>
    <w:rsid w:val="0E6D231B"/>
    <w:rsid w:val="0EB25442"/>
    <w:rsid w:val="0ED43A83"/>
    <w:rsid w:val="0EF30C92"/>
    <w:rsid w:val="0EF86F45"/>
    <w:rsid w:val="0F981A05"/>
    <w:rsid w:val="0FF64FCD"/>
    <w:rsid w:val="10026755"/>
    <w:rsid w:val="108D4DE1"/>
    <w:rsid w:val="108F0CB1"/>
    <w:rsid w:val="115F0911"/>
    <w:rsid w:val="11611402"/>
    <w:rsid w:val="11BE6380"/>
    <w:rsid w:val="11F5650A"/>
    <w:rsid w:val="120F6D81"/>
    <w:rsid w:val="121F75C6"/>
    <w:rsid w:val="1247647B"/>
    <w:rsid w:val="12671899"/>
    <w:rsid w:val="12995563"/>
    <w:rsid w:val="12A8563C"/>
    <w:rsid w:val="12DD5FD0"/>
    <w:rsid w:val="130F3B2B"/>
    <w:rsid w:val="131C2069"/>
    <w:rsid w:val="134519AF"/>
    <w:rsid w:val="135A5140"/>
    <w:rsid w:val="135C32C9"/>
    <w:rsid w:val="136832FB"/>
    <w:rsid w:val="136E6F0D"/>
    <w:rsid w:val="138230EE"/>
    <w:rsid w:val="13A320B3"/>
    <w:rsid w:val="13E55DC5"/>
    <w:rsid w:val="141C2D20"/>
    <w:rsid w:val="142C2B79"/>
    <w:rsid w:val="14CE219A"/>
    <w:rsid w:val="14CF37E8"/>
    <w:rsid w:val="14D453C7"/>
    <w:rsid w:val="150F6808"/>
    <w:rsid w:val="15454D09"/>
    <w:rsid w:val="159544D2"/>
    <w:rsid w:val="163E14B6"/>
    <w:rsid w:val="165A107B"/>
    <w:rsid w:val="16894679"/>
    <w:rsid w:val="16923108"/>
    <w:rsid w:val="16CB2553"/>
    <w:rsid w:val="16F74821"/>
    <w:rsid w:val="17A105F8"/>
    <w:rsid w:val="17E2192C"/>
    <w:rsid w:val="17E22897"/>
    <w:rsid w:val="18094542"/>
    <w:rsid w:val="18291BDC"/>
    <w:rsid w:val="184804FF"/>
    <w:rsid w:val="18727C54"/>
    <w:rsid w:val="18846980"/>
    <w:rsid w:val="18B00588"/>
    <w:rsid w:val="1910007A"/>
    <w:rsid w:val="19396E07"/>
    <w:rsid w:val="19453B09"/>
    <w:rsid w:val="19900300"/>
    <w:rsid w:val="1991498D"/>
    <w:rsid w:val="1A031CFC"/>
    <w:rsid w:val="1A515657"/>
    <w:rsid w:val="1A771F16"/>
    <w:rsid w:val="1AA8769E"/>
    <w:rsid w:val="1AAC6B23"/>
    <w:rsid w:val="1AB1271C"/>
    <w:rsid w:val="1ADC356E"/>
    <w:rsid w:val="1AE066F0"/>
    <w:rsid w:val="1AFD6EC1"/>
    <w:rsid w:val="1B171725"/>
    <w:rsid w:val="1B7C0578"/>
    <w:rsid w:val="1B9B5538"/>
    <w:rsid w:val="1C191600"/>
    <w:rsid w:val="1C264396"/>
    <w:rsid w:val="1C7B7AEA"/>
    <w:rsid w:val="1C9673DD"/>
    <w:rsid w:val="1D066045"/>
    <w:rsid w:val="1DC91006"/>
    <w:rsid w:val="1DFB7EEC"/>
    <w:rsid w:val="1E496AD5"/>
    <w:rsid w:val="1EAC28D7"/>
    <w:rsid w:val="1EF45EF4"/>
    <w:rsid w:val="1F1578F0"/>
    <w:rsid w:val="1F37458D"/>
    <w:rsid w:val="1F6705B0"/>
    <w:rsid w:val="1F8719CD"/>
    <w:rsid w:val="1FD413AC"/>
    <w:rsid w:val="1FFD44BD"/>
    <w:rsid w:val="1FFF6D69"/>
    <w:rsid w:val="201F0E5A"/>
    <w:rsid w:val="20557C95"/>
    <w:rsid w:val="20C113C6"/>
    <w:rsid w:val="20D91B6B"/>
    <w:rsid w:val="20E7197A"/>
    <w:rsid w:val="214210BD"/>
    <w:rsid w:val="215A0C30"/>
    <w:rsid w:val="21856552"/>
    <w:rsid w:val="21A4259B"/>
    <w:rsid w:val="21BA0406"/>
    <w:rsid w:val="21FA49EB"/>
    <w:rsid w:val="2208292C"/>
    <w:rsid w:val="2211221A"/>
    <w:rsid w:val="224534F5"/>
    <w:rsid w:val="22CE557A"/>
    <w:rsid w:val="2332321C"/>
    <w:rsid w:val="2347445F"/>
    <w:rsid w:val="23746BD0"/>
    <w:rsid w:val="23837269"/>
    <w:rsid w:val="23EF3AD3"/>
    <w:rsid w:val="240B142F"/>
    <w:rsid w:val="240B7AA4"/>
    <w:rsid w:val="248221F8"/>
    <w:rsid w:val="249D7369"/>
    <w:rsid w:val="24D35C78"/>
    <w:rsid w:val="24ED0FD6"/>
    <w:rsid w:val="25377F10"/>
    <w:rsid w:val="25D94401"/>
    <w:rsid w:val="25EB75BF"/>
    <w:rsid w:val="25FE0219"/>
    <w:rsid w:val="26270918"/>
    <w:rsid w:val="26992971"/>
    <w:rsid w:val="27365B87"/>
    <w:rsid w:val="276137EB"/>
    <w:rsid w:val="27730816"/>
    <w:rsid w:val="27D62775"/>
    <w:rsid w:val="2848220B"/>
    <w:rsid w:val="285E1E89"/>
    <w:rsid w:val="28643705"/>
    <w:rsid w:val="28660569"/>
    <w:rsid w:val="291839BF"/>
    <w:rsid w:val="296E0E9F"/>
    <w:rsid w:val="29A3157E"/>
    <w:rsid w:val="29EA1239"/>
    <w:rsid w:val="2A5F03C4"/>
    <w:rsid w:val="2A7C5E34"/>
    <w:rsid w:val="2AC10A7A"/>
    <w:rsid w:val="2AE144DD"/>
    <w:rsid w:val="2AE368BE"/>
    <w:rsid w:val="2B3B702E"/>
    <w:rsid w:val="2BB21BDF"/>
    <w:rsid w:val="2BE4129C"/>
    <w:rsid w:val="2C016677"/>
    <w:rsid w:val="2C596FCF"/>
    <w:rsid w:val="2CA92CA4"/>
    <w:rsid w:val="2CF65D72"/>
    <w:rsid w:val="2D0472EA"/>
    <w:rsid w:val="2D0E3EFA"/>
    <w:rsid w:val="2D2054BD"/>
    <w:rsid w:val="2D304890"/>
    <w:rsid w:val="2E000605"/>
    <w:rsid w:val="2EFA4ABC"/>
    <w:rsid w:val="2F037232"/>
    <w:rsid w:val="2F04088B"/>
    <w:rsid w:val="2F5E4349"/>
    <w:rsid w:val="2F9913F5"/>
    <w:rsid w:val="302823A3"/>
    <w:rsid w:val="314C1946"/>
    <w:rsid w:val="31CA25A7"/>
    <w:rsid w:val="31D501E9"/>
    <w:rsid w:val="32154562"/>
    <w:rsid w:val="32334BEA"/>
    <w:rsid w:val="32A700E2"/>
    <w:rsid w:val="32D22C3B"/>
    <w:rsid w:val="331502ED"/>
    <w:rsid w:val="33C062AD"/>
    <w:rsid w:val="33D63EE7"/>
    <w:rsid w:val="33FA1F72"/>
    <w:rsid w:val="34851CC3"/>
    <w:rsid w:val="34D36463"/>
    <w:rsid w:val="35086154"/>
    <w:rsid w:val="35346DA7"/>
    <w:rsid w:val="356C1819"/>
    <w:rsid w:val="35B574A4"/>
    <w:rsid w:val="35C5308A"/>
    <w:rsid w:val="35C96640"/>
    <w:rsid w:val="35CE2F0E"/>
    <w:rsid w:val="35F2253F"/>
    <w:rsid w:val="360A0B8A"/>
    <w:rsid w:val="361C1977"/>
    <w:rsid w:val="371D7FBA"/>
    <w:rsid w:val="379B39B5"/>
    <w:rsid w:val="37F72289"/>
    <w:rsid w:val="380E3057"/>
    <w:rsid w:val="382E356E"/>
    <w:rsid w:val="38415446"/>
    <w:rsid w:val="38614339"/>
    <w:rsid w:val="386C4CF1"/>
    <w:rsid w:val="39201FD5"/>
    <w:rsid w:val="396862E9"/>
    <w:rsid w:val="39C318E8"/>
    <w:rsid w:val="3A0977E7"/>
    <w:rsid w:val="3A707738"/>
    <w:rsid w:val="3AE67B1C"/>
    <w:rsid w:val="3AEB0242"/>
    <w:rsid w:val="3AF22733"/>
    <w:rsid w:val="3B7A204A"/>
    <w:rsid w:val="3BC827B9"/>
    <w:rsid w:val="3BD863BB"/>
    <w:rsid w:val="3C153B89"/>
    <w:rsid w:val="3C396CBB"/>
    <w:rsid w:val="3D2A5291"/>
    <w:rsid w:val="3D4A2F7E"/>
    <w:rsid w:val="3DC87424"/>
    <w:rsid w:val="3DCF357A"/>
    <w:rsid w:val="3DFF5A60"/>
    <w:rsid w:val="3E4606BE"/>
    <w:rsid w:val="3E503718"/>
    <w:rsid w:val="3E67144D"/>
    <w:rsid w:val="3E6D3687"/>
    <w:rsid w:val="3E7142DA"/>
    <w:rsid w:val="3E7E0C6C"/>
    <w:rsid w:val="3F277A62"/>
    <w:rsid w:val="3F2F3593"/>
    <w:rsid w:val="3F3157D7"/>
    <w:rsid w:val="4005344C"/>
    <w:rsid w:val="400D36CB"/>
    <w:rsid w:val="401A0812"/>
    <w:rsid w:val="404A5875"/>
    <w:rsid w:val="405F2C30"/>
    <w:rsid w:val="406A1D11"/>
    <w:rsid w:val="406C41F5"/>
    <w:rsid w:val="408B68E9"/>
    <w:rsid w:val="40CD295E"/>
    <w:rsid w:val="411A518F"/>
    <w:rsid w:val="414B3845"/>
    <w:rsid w:val="4155351D"/>
    <w:rsid w:val="41623C57"/>
    <w:rsid w:val="417259DB"/>
    <w:rsid w:val="41C618CD"/>
    <w:rsid w:val="41CF19C7"/>
    <w:rsid w:val="421B6A00"/>
    <w:rsid w:val="42426880"/>
    <w:rsid w:val="42623427"/>
    <w:rsid w:val="42646774"/>
    <w:rsid w:val="4270612A"/>
    <w:rsid w:val="42D61F01"/>
    <w:rsid w:val="43503410"/>
    <w:rsid w:val="435D62FD"/>
    <w:rsid w:val="436406B7"/>
    <w:rsid w:val="436E6C32"/>
    <w:rsid w:val="43703092"/>
    <w:rsid w:val="44291BA7"/>
    <w:rsid w:val="44A97775"/>
    <w:rsid w:val="452D654D"/>
    <w:rsid w:val="45663D56"/>
    <w:rsid w:val="45757EC8"/>
    <w:rsid w:val="45850979"/>
    <w:rsid w:val="45BD525B"/>
    <w:rsid w:val="46005642"/>
    <w:rsid w:val="46BA0B84"/>
    <w:rsid w:val="46E06209"/>
    <w:rsid w:val="472158A5"/>
    <w:rsid w:val="477E4036"/>
    <w:rsid w:val="479003E6"/>
    <w:rsid w:val="480228D8"/>
    <w:rsid w:val="48D52224"/>
    <w:rsid w:val="48DD28EF"/>
    <w:rsid w:val="49787384"/>
    <w:rsid w:val="499462CF"/>
    <w:rsid w:val="49B06B1E"/>
    <w:rsid w:val="49C2797A"/>
    <w:rsid w:val="49F015B2"/>
    <w:rsid w:val="4A336960"/>
    <w:rsid w:val="4A5F2CB9"/>
    <w:rsid w:val="4A99637E"/>
    <w:rsid w:val="4AB50505"/>
    <w:rsid w:val="4AD835A5"/>
    <w:rsid w:val="4B4A29C9"/>
    <w:rsid w:val="4B816881"/>
    <w:rsid w:val="4BC56B3C"/>
    <w:rsid w:val="4BD10897"/>
    <w:rsid w:val="4C1036F1"/>
    <w:rsid w:val="4C5A3050"/>
    <w:rsid w:val="4C60086A"/>
    <w:rsid w:val="4D21186D"/>
    <w:rsid w:val="4D5F6659"/>
    <w:rsid w:val="4D722A68"/>
    <w:rsid w:val="4D7C70CF"/>
    <w:rsid w:val="4DB83A76"/>
    <w:rsid w:val="4DEF77AA"/>
    <w:rsid w:val="4E195EA1"/>
    <w:rsid w:val="4E61191F"/>
    <w:rsid w:val="4ED542CE"/>
    <w:rsid w:val="4ED728BB"/>
    <w:rsid w:val="4F6C7878"/>
    <w:rsid w:val="4F6E3C8B"/>
    <w:rsid w:val="4FAC024E"/>
    <w:rsid w:val="4FAD1BE5"/>
    <w:rsid w:val="4FC91307"/>
    <w:rsid w:val="4FEF57F8"/>
    <w:rsid w:val="5025386F"/>
    <w:rsid w:val="50676755"/>
    <w:rsid w:val="50856935"/>
    <w:rsid w:val="51286E64"/>
    <w:rsid w:val="513067B3"/>
    <w:rsid w:val="51BD0087"/>
    <w:rsid w:val="51C11C7E"/>
    <w:rsid w:val="5206526E"/>
    <w:rsid w:val="520F1C82"/>
    <w:rsid w:val="5234372A"/>
    <w:rsid w:val="5270546A"/>
    <w:rsid w:val="52E449CA"/>
    <w:rsid w:val="536B75B9"/>
    <w:rsid w:val="537F3825"/>
    <w:rsid w:val="53C902BB"/>
    <w:rsid w:val="53CB60A7"/>
    <w:rsid w:val="53E374F9"/>
    <w:rsid w:val="54135087"/>
    <w:rsid w:val="545461A9"/>
    <w:rsid w:val="5475198B"/>
    <w:rsid w:val="54FD3919"/>
    <w:rsid w:val="553650CF"/>
    <w:rsid w:val="559D671D"/>
    <w:rsid w:val="55D1645E"/>
    <w:rsid w:val="55D514A5"/>
    <w:rsid w:val="55DF7083"/>
    <w:rsid w:val="563B5241"/>
    <w:rsid w:val="569C4B60"/>
    <w:rsid w:val="56C943F1"/>
    <w:rsid w:val="56F53D69"/>
    <w:rsid w:val="571746DD"/>
    <w:rsid w:val="57311600"/>
    <w:rsid w:val="57EE3234"/>
    <w:rsid w:val="57F256FF"/>
    <w:rsid w:val="5802057A"/>
    <w:rsid w:val="58205753"/>
    <w:rsid w:val="58237982"/>
    <w:rsid w:val="582C415B"/>
    <w:rsid w:val="5835274B"/>
    <w:rsid w:val="586236D9"/>
    <w:rsid w:val="587721CB"/>
    <w:rsid w:val="58936169"/>
    <w:rsid w:val="589E76C5"/>
    <w:rsid w:val="59181E6C"/>
    <w:rsid w:val="594C121D"/>
    <w:rsid w:val="59A301AC"/>
    <w:rsid w:val="59A81E25"/>
    <w:rsid w:val="59BB284D"/>
    <w:rsid w:val="59DA44BA"/>
    <w:rsid w:val="5A18057C"/>
    <w:rsid w:val="5A277465"/>
    <w:rsid w:val="5A556489"/>
    <w:rsid w:val="5AB74F72"/>
    <w:rsid w:val="5AFB7B09"/>
    <w:rsid w:val="5AFF7CDC"/>
    <w:rsid w:val="5B092AA8"/>
    <w:rsid w:val="5B0C4F0A"/>
    <w:rsid w:val="5B234832"/>
    <w:rsid w:val="5B2D1C0A"/>
    <w:rsid w:val="5B5F65EE"/>
    <w:rsid w:val="5B7E7F53"/>
    <w:rsid w:val="5B9D4491"/>
    <w:rsid w:val="5BB27BCC"/>
    <w:rsid w:val="5BC43140"/>
    <w:rsid w:val="5BCB313A"/>
    <w:rsid w:val="5BD32BB9"/>
    <w:rsid w:val="5C367F58"/>
    <w:rsid w:val="5C440561"/>
    <w:rsid w:val="5CF27F1B"/>
    <w:rsid w:val="5D321208"/>
    <w:rsid w:val="5D5B47AD"/>
    <w:rsid w:val="5D6F15CA"/>
    <w:rsid w:val="5D7840D3"/>
    <w:rsid w:val="5E453729"/>
    <w:rsid w:val="5E6F0642"/>
    <w:rsid w:val="5E914D18"/>
    <w:rsid w:val="5EBF0118"/>
    <w:rsid w:val="5F0810B6"/>
    <w:rsid w:val="5F467091"/>
    <w:rsid w:val="5F643C09"/>
    <w:rsid w:val="5F853CEC"/>
    <w:rsid w:val="5F87217B"/>
    <w:rsid w:val="60113DF0"/>
    <w:rsid w:val="601203F2"/>
    <w:rsid w:val="60124A56"/>
    <w:rsid w:val="601276EE"/>
    <w:rsid w:val="609B1475"/>
    <w:rsid w:val="60B337DD"/>
    <w:rsid w:val="61590AB3"/>
    <w:rsid w:val="61842244"/>
    <w:rsid w:val="619E0BB2"/>
    <w:rsid w:val="61F34961"/>
    <w:rsid w:val="625246FD"/>
    <w:rsid w:val="627F2B16"/>
    <w:rsid w:val="62E960A1"/>
    <w:rsid w:val="630B7F3D"/>
    <w:rsid w:val="630C6184"/>
    <w:rsid w:val="63697369"/>
    <w:rsid w:val="63953FA2"/>
    <w:rsid w:val="63A37D7C"/>
    <w:rsid w:val="63F6651B"/>
    <w:rsid w:val="64004A3A"/>
    <w:rsid w:val="64075317"/>
    <w:rsid w:val="640C2162"/>
    <w:rsid w:val="642B4C71"/>
    <w:rsid w:val="643C5404"/>
    <w:rsid w:val="644A7F53"/>
    <w:rsid w:val="644B037F"/>
    <w:rsid w:val="64890D68"/>
    <w:rsid w:val="64912F3D"/>
    <w:rsid w:val="64A4724D"/>
    <w:rsid w:val="65303EDA"/>
    <w:rsid w:val="654B19C6"/>
    <w:rsid w:val="656709FD"/>
    <w:rsid w:val="65691CEA"/>
    <w:rsid w:val="65D13A97"/>
    <w:rsid w:val="65DA27A2"/>
    <w:rsid w:val="65EE016E"/>
    <w:rsid w:val="65F218DC"/>
    <w:rsid w:val="661D5869"/>
    <w:rsid w:val="66466D9E"/>
    <w:rsid w:val="66526F2A"/>
    <w:rsid w:val="66B07759"/>
    <w:rsid w:val="66B66AD5"/>
    <w:rsid w:val="66BB1086"/>
    <w:rsid w:val="67416F2B"/>
    <w:rsid w:val="67425D8F"/>
    <w:rsid w:val="67957BE3"/>
    <w:rsid w:val="67B37AAD"/>
    <w:rsid w:val="680243CF"/>
    <w:rsid w:val="680C4FE6"/>
    <w:rsid w:val="682D69E1"/>
    <w:rsid w:val="68534398"/>
    <w:rsid w:val="68923CAA"/>
    <w:rsid w:val="697D0C8D"/>
    <w:rsid w:val="69FF1815"/>
    <w:rsid w:val="6A182228"/>
    <w:rsid w:val="6A410AA8"/>
    <w:rsid w:val="6A4D78DD"/>
    <w:rsid w:val="6A595959"/>
    <w:rsid w:val="6A77447A"/>
    <w:rsid w:val="6A977C84"/>
    <w:rsid w:val="6AB77DE5"/>
    <w:rsid w:val="6ACB2096"/>
    <w:rsid w:val="6ACC58D1"/>
    <w:rsid w:val="6B2F7BE7"/>
    <w:rsid w:val="6B8347D1"/>
    <w:rsid w:val="6B8F7F94"/>
    <w:rsid w:val="6C216FEA"/>
    <w:rsid w:val="6C6F6B0C"/>
    <w:rsid w:val="6C7C2B7B"/>
    <w:rsid w:val="6D265FA8"/>
    <w:rsid w:val="6D5D0663"/>
    <w:rsid w:val="6D643EC4"/>
    <w:rsid w:val="6D6817DB"/>
    <w:rsid w:val="6D775244"/>
    <w:rsid w:val="6D8B0695"/>
    <w:rsid w:val="6DF932DB"/>
    <w:rsid w:val="6F022466"/>
    <w:rsid w:val="6FCD1397"/>
    <w:rsid w:val="6FD320BA"/>
    <w:rsid w:val="701029ED"/>
    <w:rsid w:val="70400906"/>
    <w:rsid w:val="704D7FE5"/>
    <w:rsid w:val="705F46F3"/>
    <w:rsid w:val="70AC319C"/>
    <w:rsid w:val="70BB5F1C"/>
    <w:rsid w:val="70E46306"/>
    <w:rsid w:val="70E5207F"/>
    <w:rsid w:val="713E1716"/>
    <w:rsid w:val="71EB256B"/>
    <w:rsid w:val="71EB743F"/>
    <w:rsid w:val="72251A59"/>
    <w:rsid w:val="72CB67E0"/>
    <w:rsid w:val="7305028E"/>
    <w:rsid w:val="7366403D"/>
    <w:rsid w:val="73746C13"/>
    <w:rsid w:val="738B1CFA"/>
    <w:rsid w:val="73BA1099"/>
    <w:rsid w:val="73CB4171"/>
    <w:rsid w:val="73E31CB9"/>
    <w:rsid w:val="73EE7603"/>
    <w:rsid w:val="74004353"/>
    <w:rsid w:val="74133FFD"/>
    <w:rsid w:val="744767B1"/>
    <w:rsid w:val="7451208F"/>
    <w:rsid w:val="74683975"/>
    <w:rsid w:val="74D67A48"/>
    <w:rsid w:val="74F55BA9"/>
    <w:rsid w:val="755B6EEB"/>
    <w:rsid w:val="75764D68"/>
    <w:rsid w:val="75FE45EA"/>
    <w:rsid w:val="762F5CF7"/>
    <w:rsid w:val="766F1E42"/>
    <w:rsid w:val="767D1080"/>
    <w:rsid w:val="767F71BC"/>
    <w:rsid w:val="76B133FE"/>
    <w:rsid w:val="76CD48B8"/>
    <w:rsid w:val="76CE6F85"/>
    <w:rsid w:val="778650D4"/>
    <w:rsid w:val="77A70B72"/>
    <w:rsid w:val="77AE5544"/>
    <w:rsid w:val="77C31ECB"/>
    <w:rsid w:val="77C355DA"/>
    <w:rsid w:val="77D02649"/>
    <w:rsid w:val="77D10F9B"/>
    <w:rsid w:val="77D72CED"/>
    <w:rsid w:val="78031A23"/>
    <w:rsid w:val="780D1A39"/>
    <w:rsid w:val="78CF5B77"/>
    <w:rsid w:val="78DF6787"/>
    <w:rsid w:val="794539C8"/>
    <w:rsid w:val="79717635"/>
    <w:rsid w:val="797F102B"/>
    <w:rsid w:val="7A12408B"/>
    <w:rsid w:val="7A3823EB"/>
    <w:rsid w:val="7A3E7FE3"/>
    <w:rsid w:val="7A485853"/>
    <w:rsid w:val="7A747213"/>
    <w:rsid w:val="7AD037C6"/>
    <w:rsid w:val="7B125A82"/>
    <w:rsid w:val="7B18623E"/>
    <w:rsid w:val="7B484A92"/>
    <w:rsid w:val="7B7540CF"/>
    <w:rsid w:val="7B976541"/>
    <w:rsid w:val="7BC61482"/>
    <w:rsid w:val="7BD2502A"/>
    <w:rsid w:val="7BDA728E"/>
    <w:rsid w:val="7BEB7E0B"/>
    <w:rsid w:val="7C4300E7"/>
    <w:rsid w:val="7C664CA2"/>
    <w:rsid w:val="7C9664B6"/>
    <w:rsid w:val="7D0D3592"/>
    <w:rsid w:val="7D136C54"/>
    <w:rsid w:val="7D1D0446"/>
    <w:rsid w:val="7D2021B9"/>
    <w:rsid w:val="7D5E2492"/>
    <w:rsid w:val="7DFF0962"/>
    <w:rsid w:val="7E3F5D9A"/>
    <w:rsid w:val="7EBA4638"/>
    <w:rsid w:val="7EC105FF"/>
    <w:rsid w:val="7F394697"/>
    <w:rsid w:val="7F4D5A9C"/>
    <w:rsid w:val="7FC70D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9" w:semiHidden="0" w:name="heading 3"/>
    <w:lsdException w:qFormat="1" w:unhideWhenUsed="0" w:uiPriority="0" w:semiHidden="0" w:name="heading 4"/>
    <w:lsdException w:qFormat="1" w:uiPriority="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keepLines/>
      <w:spacing w:before="340" w:after="330" w:line="578" w:lineRule="auto"/>
      <w:outlineLvl w:val="0"/>
    </w:pPr>
    <w:rPr>
      <w:b/>
      <w:bCs/>
      <w:kern w:val="44"/>
      <w:sz w:val="44"/>
      <w:szCs w:val="44"/>
    </w:rPr>
  </w:style>
  <w:style w:type="paragraph" w:styleId="5">
    <w:name w:val="heading 2"/>
    <w:basedOn w:val="1"/>
    <w:next w:val="1"/>
    <w:link w:val="60"/>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link w:val="61"/>
    <w:qFormat/>
    <w:uiPriority w:val="99"/>
    <w:pPr>
      <w:keepNext/>
      <w:keepLines/>
      <w:spacing w:before="260" w:after="260" w:line="416" w:lineRule="auto"/>
      <w:outlineLvl w:val="2"/>
    </w:pPr>
    <w:rPr>
      <w:b/>
      <w:bCs/>
      <w:sz w:val="32"/>
      <w:szCs w:val="32"/>
    </w:rPr>
  </w:style>
  <w:style w:type="paragraph" w:styleId="7">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8">
    <w:name w:val="heading 6"/>
    <w:basedOn w:val="1"/>
    <w:next w:val="1"/>
    <w:qFormat/>
    <w:uiPriority w:val="0"/>
    <w:pPr>
      <w:keepNext/>
      <w:keepLines/>
      <w:widowControl/>
      <w:tabs>
        <w:tab w:val="left" w:pos="1440"/>
      </w:tabs>
      <w:spacing w:before="240" w:after="64" w:line="320" w:lineRule="auto"/>
      <w:ind w:left="1152" w:hanging="1152"/>
      <w:jc w:val="left"/>
      <w:outlineLvl w:val="5"/>
    </w:pPr>
    <w:rPr>
      <w:rFonts w:ascii="Arial" w:hAnsi="Arial" w:eastAsia="黑体"/>
      <w:b/>
      <w:bCs/>
      <w:kern w:val="0"/>
      <w:sz w:val="24"/>
    </w:rPr>
  </w:style>
  <w:style w:type="paragraph" w:styleId="9">
    <w:name w:val="heading 7"/>
    <w:basedOn w:val="1"/>
    <w:next w:val="1"/>
    <w:qFormat/>
    <w:uiPriority w:val="0"/>
    <w:pPr>
      <w:keepNext/>
      <w:keepLines/>
      <w:widowControl/>
      <w:tabs>
        <w:tab w:val="left" w:pos="2520"/>
      </w:tabs>
      <w:spacing w:before="240" w:after="64" w:line="320" w:lineRule="auto"/>
      <w:ind w:left="1296" w:hanging="1296"/>
      <w:jc w:val="left"/>
      <w:outlineLvl w:val="6"/>
    </w:pPr>
    <w:rPr>
      <w:b/>
      <w:bCs/>
      <w:kern w:val="0"/>
      <w:sz w:val="24"/>
    </w:rPr>
  </w:style>
  <w:style w:type="paragraph" w:styleId="10">
    <w:name w:val="heading 8"/>
    <w:basedOn w:val="1"/>
    <w:next w:val="1"/>
    <w:qFormat/>
    <w:uiPriority w:val="0"/>
    <w:pPr>
      <w:keepNext/>
      <w:keepLines/>
      <w:widowControl/>
      <w:tabs>
        <w:tab w:val="left" w:pos="1440"/>
      </w:tabs>
      <w:spacing w:before="240" w:after="64" w:line="320" w:lineRule="auto"/>
      <w:ind w:left="1440" w:hanging="1440"/>
      <w:jc w:val="left"/>
      <w:outlineLvl w:val="7"/>
    </w:pPr>
    <w:rPr>
      <w:rFonts w:ascii="Arial" w:hAnsi="Arial" w:eastAsia="黑体"/>
      <w:kern w:val="0"/>
      <w:sz w:val="24"/>
    </w:rPr>
  </w:style>
  <w:style w:type="paragraph" w:styleId="11">
    <w:name w:val="heading 9"/>
    <w:basedOn w:val="1"/>
    <w:next w:val="1"/>
    <w:qFormat/>
    <w:uiPriority w:val="0"/>
    <w:pPr>
      <w:keepNext/>
      <w:keepLines/>
      <w:widowControl/>
      <w:tabs>
        <w:tab w:val="left" w:pos="1584"/>
      </w:tabs>
      <w:spacing w:before="240" w:after="64" w:line="320" w:lineRule="auto"/>
      <w:ind w:left="1584" w:hanging="1584"/>
      <w:jc w:val="left"/>
      <w:outlineLvl w:val="8"/>
    </w:pPr>
    <w:rPr>
      <w:rFonts w:ascii="Arial" w:hAnsi="Arial" w:eastAsia="黑体"/>
      <w:kern w:val="0"/>
      <w:szCs w:val="21"/>
    </w:rPr>
  </w:style>
  <w:style w:type="character" w:default="1" w:styleId="39">
    <w:name w:val="Default Paragraph Font"/>
    <w:semiHidden/>
    <w:unhideWhenUsed/>
    <w:qFormat/>
    <w:uiPriority w:val="1"/>
  </w:style>
  <w:style w:type="table" w:default="1" w:styleId="3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Body Text 2"/>
    <w:basedOn w:val="1"/>
    <w:qFormat/>
    <w:uiPriority w:val="0"/>
    <w:pPr>
      <w:spacing w:line="900" w:lineRule="exact"/>
      <w:jc w:val="center"/>
    </w:pPr>
    <w:rPr>
      <w:rFonts w:eastAsia="楷体_GB2312"/>
      <w:b/>
      <w:sz w:val="36"/>
    </w:rPr>
  </w:style>
  <w:style w:type="paragraph" w:styleId="12">
    <w:name w:val="toc 7"/>
    <w:basedOn w:val="1"/>
    <w:next w:val="1"/>
    <w:unhideWhenUsed/>
    <w:qFormat/>
    <w:uiPriority w:val="39"/>
    <w:pPr>
      <w:ind w:left="2520" w:leftChars="1200"/>
    </w:pPr>
    <w:rPr>
      <w:rFonts w:ascii="Calibri" w:hAnsi="Calibri"/>
      <w:szCs w:val="22"/>
    </w:rPr>
  </w:style>
  <w:style w:type="paragraph" w:styleId="13">
    <w:name w:val="Normal Indent"/>
    <w:basedOn w:val="1"/>
    <w:qFormat/>
    <w:uiPriority w:val="0"/>
    <w:pPr>
      <w:ind w:firstLine="420" w:firstLineChars="200"/>
    </w:pPr>
  </w:style>
  <w:style w:type="paragraph" w:styleId="14">
    <w:name w:val="Document Map"/>
    <w:basedOn w:val="1"/>
    <w:semiHidden/>
    <w:qFormat/>
    <w:uiPriority w:val="0"/>
    <w:pPr>
      <w:shd w:val="clear" w:color="auto" w:fill="000080"/>
    </w:pPr>
  </w:style>
  <w:style w:type="paragraph" w:styleId="15">
    <w:name w:val="annotation text"/>
    <w:basedOn w:val="1"/>
    <w:link w:val="62"/>
    <w:qFormat/>
    <w:uiPriority w:val="99"/>
    <w:pPr>
      <w:jc w:val="left"/>
    </w:pPr>
  </w:style>
  <w:style w:type="paragraph" w:styleId="16">
    <w:name w:val="Body Text 3"/>
    <w:basedOn w:val="1"/>
    <w:qFormat/>
    <w:uiPriority w:val="0"/>
    <w:rPr>
      <w:rFonts w:ascii="宋体"/>
      <w:sz w:val="24"/>
      <w:szCs w:val="20"/>
    </w:rPr>
  </w:style>
  <w:style w:type="paragraph" w:styleId="17">
    <w:name w:val="Body Text Indent"/>
    <w:basedOn w:val="1"/>
    <w:link w:val="58"/>
    <w:qFormat/>
    <w:uiPriority w:val="0"/>
    <w:pPr>
      <w:spacing w:after="120"/>
      <w:ind w:left="420" w:leftChars="200"/>
    </w:pPr>
  </w:style>
  <w:style w:type="paragraph" w:styleId="18">
    <w:name w:val="toc 5"/>
    <w:basedOn w:val="1"/>
    <w:next w:val="1"/>
    <w:unhideWhenUsed/>
    <w:qFormat/>
    <w:uiPriority w:val="39"/>
    <w:pPr>
      <w:ind w:left="1680" w:leftChars="800"/>
    </w:pPr>
    <w:rPr>
      <w:rFonts w:ascii="Calibri" w:hAnsi="Calibri"/>
      <w:szCs w:val="22"/>
    </w:rPr>
  </w:style>
  <w:style w:type="paragraph" w:styleId="19">
    <w:name w:val="toc 3"/>
    <w:basedOn w:val="1"/>
    <w:next w:val="1"/>
    <w:qFormat/>
    <w:uiPriority w:val="39"/>
    <w:pPr>
      <w:ind w:left="840" w:leftChars="400"/>
    </w:pPr>
  </w:style>
  <w:style w:type="paragraph" w:styleId="20">
    <w:name w:val="Plain Text"/>
    <w:basedOn w:val="1"/>
    <w:qFormat/>
    <w:uiPriority w:val="0"/>
    <w:rPr>
      <w:rFonts w:ascii="宋体" w:hAnsi="Courier New"/>
      <w:szCs w:val="21"/>
    </w:rPr>
  </w:style>
  <w:style w:type="paragraph" w:styleId="21">
    <w:name w:val="toc 8"/>
    <w:basedOn w:val="1"/>
    <w:next w:val="1"/>
    <w:unhideWhenUsed/>
    <w:qFormat/>
    <w:uiPriority w:val="39"/>
    <w:pPr>
      <w:ind w:left="2940" w:leftChars="1400"/>
    </w:pPr>
    <w:rPr>
      <w:rFonts w:ascii="Calibri" w:hAnsi="Calibri"/>
      <w:szCs w:val="22"/>
    </w:rPr>
  </w:style>
  <w:style w:type="paragraph" w:styleId="22">
    <w:name w:val="Date"/>
    <w:basedOn w:val="1"/>
    <w:next w:val="1"/>
    <w:qFormat/>
    <w:uiPriority w:val="0"/>
    <w:rPr>
      <w:sz w:val="24"/>
      <w:szCs w:val="20"/>
    </w:rPr>
  </w:style>
  <w:style w:type="paragraph" w:styleId="23">
    <w:name w:val="Balloon Text"/>
    <w:basedOn w:val="1"/>
    <w:semiHidden/>
    <w:qFormat/>
    <w:uiPriority w:val="0"/>
    <w:rPr>
      <w:sz w:val="18"/>
      <w:szCs w:val="18"/>
    </w:rPr>
  </w:style>
  <w:style w:type="paragraph" w:styleId="24">
    <w:name w:val="footer"/>
    <w:basedOn w:val="1"/>
    <w:qFormat/>
    <w:uiPriority w:val="0"/>
    <w:pPr>
      <w:tabs>
        <w:tab w:val="center" w:pos="4153"/>
        <w:tab w:val="right" w:pos="8306"/>
      </w:tabs>
      <w:snapToGrid w:val="0"/>
      <w:jc w:val="left"/>
    </w:pPr>
    <w:rPr>
      <w:sz w:val="18"/>
      <w:szCs w:val="18"/>
    </w:rPr>
  </w:style>
  <w:style w:type="paragraph" w:styleId="2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6">
    <w:name w:val="toc 1"/>
    <w:basedOn w:val="1"/>
    <w:next w:val="1"/>
    <w:qFormat/>
    <w:uiPriority w:val="39"/>
    <w:pPr>
      <w:tabs>
        <w:tab w:val="right" w:leader="dot" w:pos="8296"/>
      </w:tabs>
      <w:spacing w:line="440" w:lineRule="exact"/>
      <w:jc w:val="center"/>
    </w:pPr>
  </w:style>
  <w:style w:type="paragraph" w:styleId="27">
    <w:name w:val="toc 4"/>
    <w:basedOn w:val="1"/>
    <w:next w:val="1"/>
    <w:unhideWhenUsed/>
    <w:qFormat/>
    <w:uiPriority w:val="39"/>
    <w:pPr>
      <w:ind w:left="1260" w:leftChars="600"/>
    </w:pPr>
    <w:rPr>
      <w:rFonts w:ascii="Calibri" w:hAnsi="Calibri"/>
      <w:szCs w:val="22"/>
    </w:rPr>
  </w:style>
  <w:style w:type="paragraph" w:styleId="28">
    <w:name w:val="toc 6"/>
    <w:basedOn w:val="1"/>
    <w:next w:val="1"/>
    <w:unhideWhenUsed/>
    <w:qFormat/>
    <w:uiPriority w:val="39"/>
    <w:pPr>
      <w:ind w:left="2100" w:leftChars="1000"/>
    </w:pPr>
    <w:rPr>
      <w:rFonts w:ascii="Calibri" w:hAnsi="Calibri"/>
      <w:szCs w:val="22"/>
    </w:rPr>
  </w:style>
  <w:style w:type="paragraph" w:styleId="29">
    <w:name w:val="Body Text Indent 3"/>
    <w:basedOn w:val="1"/>
    <w:qFormat/>
    <w:uiPriority w:val="0"/>
    <w:pPr>
      <w:spacing w:after="120"/>
      <w:ind w:left="420" w:leftChars="200"/>
    </w:pPr>
    <w:rPr>
      <w:sz w:val="16"/>
      <w:szCs w:val="16"/>
    </w:rPr>
  </w:style>
  <w:style w:type="paragraph" w:styleId="30">
    <w:name w:val="toc 2"/>
    <w:basedOn w:val="1"/>
    <w:next w:val="1"/>
    <w:qFormat/>
    <w:uiPriority w:val="39"/>
    <w:pPr>
      <w:ind w:left="420" w:leftChars="200"/>
    </w:pPr>
  </w:style>
  <w:style w:type="paragraph" w:styleId="31">
    <w:name w:val="toc 9"/>
    <w:basedOn w:val="1"/>
    <w:next w:val="1"/>
    <w:unhideWhenUsed/>
    <w:qFormat/>
    <w:uiPriority w:val="39"/>
    <w:pPr>
      <w:ind w:left="3360" w:leftChars="1600"/>
    </w:pPr>
    <w:rPr>
      <w:rFonts w:ascii="Calibri" w:hAnsi="Calibri"/>
      <w:szCs w:val="22"/>
    </w:rPr>
  </w:style>
  <w:style w:type="paragraph" w:styleId="32">
    <w:name w:val="Normal (Web)"/>
    <w:basedOn w:val="1"/>
    <w:qFormat/>
    <w:uiPriority w:val="99"/>
    <w:pPr>
      <w:autoSpaceDE w:val="0"/>
      <w:autoSpaceDN w:val="0"/>
      <w:jc w:val="left"/>
    </w:pPr>
    <w:rPr>
      <w:rFonts w:ascii="Calibri" w:hAnsi="Calibri" w:cs="宋体"/>
      <w:kern w:val="0"/>
      <w:sz w:val="24"/>
      <w:szCs w:val="22"/>
      <w:lang w:val="zh-CN" w:bidi="zh-CN"/>
    </w:rPr>
  </w:style>
  <w:style w:type="paragraph" w:styleId="33">
    <w:name w:val="index 1"/>
    <w:basedOn w:val="1"/>
    <w:next w:val="1"/>
    <w:semiHidden/>
    <w:qFormat/>
    <w:uiPriority w:val="0"/>
    <w:pPr>
      <w:spacing w:line="220" w:lineRule="exact"/>
      <w:jc w:val="center"/>
    </w:pPr>
    <w:rPr>
      <w:rFonts w:ascii="仿宋_GB2312" w:eastAsia="仿宋_GB2312"/>
      <w:szCs w:val="21"/>
    </w:rPr>
  </w:style>
  <w:style w:type="paragraph" w:styleId="34">
    <w:name w:val="Title"/>
    <w:basedOn w:val="1"/>
    <w:next w:val="1"/>
    <w:qFormat/>
    <w:uiPriority w:val="0"/>
    <w:pPr>
      <w:adjustRightInd w:val="0"/>
      <w:spacing w:before="240" w:after="60" w:line="420" w:lineRule="atLeast"/>
      <w:jc w:val="center"/>
      <w:textAlignment w:val="baseline"/>
      <w:outlineLvl w:val="0"/>
    </w:pPr>
    <w:rPr>
      <w:rFonts w:ascii="Arial" w:hAnsi="Arial"/>
      <w:b/>
      <w:kern w:val="0"/>
      <w:sz w:val="32"/>
      <w:szCs w:val="20"/>
    </w:rPr>
  </w:style>
  <w:style w:type="paragraph" w:styleId="35">
    <w:name w:val="annotation subject"/>
    <w:basedOn w:val="15"/>
    <w:next w:val="15"/>
    <w:link w:val="81"/>
    <w:qFormat/>
    <w:uiPriority w:val="0"/>
    <w:rPr>
      <w:b/>
      <w:bCs/>
    </w:rPr>
  </w:style>
  <w:style w:type="paragraph" w:styleId="36">
    <w:name w:val="Body Text First Indent 2"/>
    <w:basedOn w:val="17"/>
    <w:link w:val="64"/>
    <w:qFormat/>
    <w:uiPriority w:val="0"/>
    <w:pPr>
      <w:ind w:firstLine="420" w:firstLineChars="200"/>
    </w:pPr>
  </w:style>
  <w:style w:type="table" w:styleId="38">
    <w:name w:val="Table Grid"/>
    <w:basedOn w:val="37"/>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0">
    <w:name w:val="Strong"/>
    <w:qFormat/>
    <w:uiPriority w:val="0"/>
    <w:rPr>
      <w:b/>
      <w:bCs/>
    </w:rPr>
  </w:style>
  <w:style w:type="character" w:styleId="41">
    <w:name w:val="page number"/>
    <w:basedOn w:val="39"/>
    <w:qFormat/>
    <w:uiPriority w:val="0"/>
  </w:style>
  <w:style w:type="character" w:styleId="42">
    <w:name w:val="FollowedHyperlink"/>
    <w:basedOn w:val="39"/>
    <w:qFormat/>
    <w:uiPriority w:val="0"/>
    <w:rPr>
      <w:color w:val="800080"/>
      <w:u w:val="none"/>
    </w:rPr>
  </w:style>
  <w:style w:type="character" w:styleId="43">
    <w:name w:val="Emphasis"/>
    <w:basedOn w:val="39"/>
    <w:qFormat/>
    <w:uiPriority w:val="0"/>
  </w:style>
  <w:style w:type="character" w:styleId="44">
    <w:name w:val="HTML Definition"/>
    <w:basedOn w:val="39"/>
    <w:qFormat/>
    <w:uiPriority w:val="0"/>
  </w:style>
  <w:style w:type="character" w:styleId="45">
    <w:name w:val="HTML Typewriter"/>
    <w:basedOn w:val="39"/>
    <w:qFormat/>
    <w:uiPriority w:val="0"/>
    <w:rPr>
      <w:rFonts w:hint="default" w:ascii="monospace" w:hAnsi="monospace" w:eastAsia="monospace" w:cs="monospace"/>
      <w:sz w:val="20"/>
    </w:rPr>
  </w:style>
  <w:style w:type="character" w:styleId="46">
    <w:name w:val="HTML Acronym"/>
    <w:basedOn w:val="39"/>
    <w:qFormat/>
    <w:uiPriority w:val="0"/>
  </w:style>
  <w:style w:type="character" w:styleId="47">
    <w:name w:val="HTML Variable"/>
    <w:basedOn w:val="39"/>
    <w:qFormat/>
    <w:uiPriority w:val="0"/>
  </w:style>
  <w:style w:type="character" w:styleId="48">
    <w:name w:val="Hyperlink"/>
    <w:basedOn w:val="39"/>
    <w:qFormat/>
    <w:uiPriority w:val="99"/>
    <w:rPr>
      <w:color w:val="0000FF"/>
      <w:u w:val="single"/>
    </w:rPr>
  </w:style>
  <w:style w:type="character" w:styleId="49">
    <w:name w:val="HTML Code"/>
    <w:basedOn w:val="39"/>
    <w:qFormat/>
    <w:uiPriority w:val="0"/>
    <w:rPr>
      <w:rFonts w:ascii="monospace" w:hAnsi="monospace" w:eastAsia="monospace" w:cs="monospace"/>
      <w:sz w:val="20"/>
    </w:rPr>
  </w:style>
  <w:style w:type="character" w:styleId="50">
    <w:name w:val="annotation reference"/>
    <w:semiHidden/>
    <w:qFormat/>
    <w:uiPriority w:val="0"/>
    <w:rPr>
      <w:sz w:val="21"/>
      <w:szCs w:val="21"/>
    </w:rPr>
  </w:style>
  <w:style w:type="character" w:styleId="51">
    <w:name w:val="HTML Cite"/>
    <w:basedOn w:val="39"/>
    <w:qFormat/>
    <w:uiPriority w:val="0"/>
  </w:style>
  <w:style w:type="character" w:styleId="52">
    <w:name w:val="HTML Keyboard"/>
    <w:basedOn w:val="39"/>
    <w:qFormat/>
    <w:uiPriority w:val="0"/>
    <w:rPr>
      <w:rFonts w:hint="default" w:ascii="monospace" w:hAnsi="monospace" w:eastAsia="monospace" w:cs="monospace"/>
      <w:sz w:val="20"/>
    </w:rPr>
  </w:style>
  <w:style w:type="character" w:styleId="53">
    <w:name w:val="HTML Sample"/>
    <w:basedOn w:val="39"/>
    <w:qFormat/>
    <w:uiPriority w:val="0"/>
    <w:rPr>
      <w:rFonts w:hint="default" w:ascii="monospace" w:hAnsi="monospace" w:eastAsia="monospace" w:cs="monospace"/>
    </w:rPr>
  </w:style>
  <w:style w:type="paragraph" w:customStyle="1" w:styleId="54">
    <w:name w:val="无间隔1"/>
    <w:basedOn w:val="1"/>
    <w:next w:val="55"/>
    <w:qFormat/>
    <w:uiPriority w:val="0"/>
    <w:pPr>
      <w:spacing w:line="400" w:lineRule="exact"/>
    </w:pPr>
    <w:rPr>
      <w:sz w:val="24"/>
    </w:rPr>
  </w:style>
  <w:style w:type="paragraph" w:customStyle="1" w:styleId="55">
    <w:name w:val="TOC Heading1"/>
    <w:next w:val="1"/>
    <w:qFormat/>
    <w:uiPriority w:val="0"/>
    <w:pPr>
      <w:wordWrap w:val="0"/>
    </w:pPr>
    <w:rPr>
      <w:rFonts w:ascii="Calibri" w:hAnsi="Calibri" w:eastAsia="宋体" w:cs="Times New Roman"/>
      <w:sz w:val="32"/>
      <w:szCs w:val="22"/>
      <w:lang w:val="en-US" w:eastAsia="zh-CN" w:bidi="ar-SA"/>
    </w:rPr>
  </w:style>
  <w:style w:type="paragraph" w:customStyle="1" w:styleId="56">
    <w:name w:val="Default"/>
    <w:next w:val="1"/>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57">
    <w:name w:val="访问过的超链接1"/>
    <w:qFormat/>
    <w:uiPriority w:val="0"/>
    <w:rPr>
      <w:color w:val="800080"/>
      <w:u w:val="single"/>
    </w:rPr>
  </w:style>
  <w:style w:type="character" w:customStyle="1" w:styleId="58">
    <w:name w:val="正文文本缩进 字符"/>
    <w:link w:val="17"/>
    <w:qFormat/>
    <w:uiPriority w:val="0"/>
    <w:rPr>
      <w:kern w:val="2"/>
      <w:sz w:val="21"/>
      <w:szCs w:val="24"/>
    </w:rPr>
  </w:style>
  <w:style w:type="character" w:customStyle="1" w:styleId="59">
    <w:name w:val="apple-converted-space"/>
    <w:qFormat/>
    <w:uiPriority w:val="0"/>
  </w:style>
  <w:style w:type="character" w:customStyle="1" w:styleId="60">
    <w:name w:val="标题 2 字符"/>
    <w:link w:val="5"/>
    <w:qFormat/>
    <w:uiPriority w:val="0"/>
    <w:rPr>
      <w:rFonts w:ascii="Arial" w:hAnsi="Arial" w:eastAsia="黑体"/>
      <w:b/>
      <w:bCs/>
      <w:kern w:val="2"/>
      <w:sz w:val="32"/>
      <w:szCs w:val="32"/>
      <w:lang w:val="en-US" w:eastAsia="zh-CN" w:bidi="ar-SA"/>
    </w:rPr>
  </w:style>
  <w:style w:type="character" w:customStyle="1" w:styleId="61">
    <w:name w:val="标题 3 字符"/>
    <w:link w:val="6"/>
    <w:qFormat/>
    <w:uiPriority w:val="99"/>
    <w:rPr>
      <w:b/>
      <w:bCs/>
      <w:kern w:val="2"/>
      <w:sz w:val="32"/>
      <w:szCs w:val="32"/>
    </w:rPr>
  </w:style>
  <w:style w:type="character" w:customStyle="1" w:styleId="62">
    <w:name w:val="批注文字 字符"/>
    <w:link w:val="15"/>
    <w:qFormat/>
    <w:uiPriority w:val="99"/>
    <w:rPr>
      <w:kern w:val="2"/>
      <w:sz w:val="21"/>
      <w:szCs w:val="24"/>
    </w:rPr>
  </w:style>
  <w:style w:type="character" w:customStyle="1" w:styleId="63">
    <w:name w:val="font161"/>
    <w:qFormat/>
    <w:uiPriority w:val="0"/>
    <w:rPr>
      <w:b/>
      <w:bCs/>
      <w:sz w:val="32"/>
      <w:szCs w:val="32"/>
    </w:rPr>
  </w:style>
  <w:style w:type="character" w:customStyle="1" w:styleId="64">
    <w:name w:val="正文文本首行缩进 2 字符"/>
    <w:basedOn w:val="58"/>
    <w:link w:val="36"/>
    <w:qFormat/>
    <w:uiPriority w:val="0"/>
    <w:rPr>
      <w:kern w:val="2"/>
      <w:sz w:val="21"/>
      <w:szCs w:val="24"/>
    </w:rPr>
  </w:style>
  <w:style w:type="paragraph" w:customStyle="1" w:styleId="65">
    <w:name w:val="样式 标题 1 + 黑体 三号 非加粗 居中 段前: 6 磅 段后: 6 磅 行距: 固定值 20 磅"/>
    <w:basedOn w:val="4"/>
    <w:qFormat/>
    <w:uiPriority w:val="0"/>
    <w:pPr>
      <w:spacing w:before="120" w:after="120" w:line="400" w:lineRule="exact"/>
      <w:jc w:val="center"/>
    </w:pPr>
    <w:rPr>
      <w:rFonts w:ascii="黑体" w:hAnsi="黑体" w:eastAsia="黑体" w:cs="宋体"/>
      <w:b w:val="0"/>
      <w:bCs w:val="0"/>
      <w:sz w:val="32"/>
      <w:szCs w:val="20"/>
    </w:rPr>
  </w:style>
  <w:style w:type="paragraph" w:customStyle="1" w:styleId="66">
    <w:name w:val="样式 标题 2 + Times New Roman 四号 非加粗 段前: 5 磅 段后: 0 磅 行距: 固定值 20..."/>
    <w:basedOn w:val="5"/>
    <w:qFormat/>
    <w:uiPriority w:val="0"/>
    <w:pPr>
      <w:spacing w:before="100" w:after="0" w:line="400" w:lineRule="exact"/>
    </w:pPr>
    <w:rPr>
      <w:rFonts w:ascii="Times New Roman" w:hAnsi="Times New Roman" w:cs="宋体"/>
      <w:b w:val="0"/>
      <w:bCs w:val="0"/>
      <w:sz w:val="28"/>
      <w:szCs w:val="20"/>
    </w:rPr>
  </w:style>
  <w:style w:type="paragraph" w:customStyle="1" w:styleId="67">
    <w:name w:val="样式 三级条文 + 段前: 0.5 行 段后: 0.5 行"/>
    <w:basedOn w:val="1"/>
    <w:qFormat/>
    <w:uiPriority w:val="0"/>
    <w:pPr>
      <w:tabs>
        <w:tab w:val="left" w:pos="900"/>
      </w:tabs>
    </w:pPr>
  </w:style>
  <w:style w:type="paragraph" w:customStyle="1" w:styleId="68">
    <w:name w:val="表格"/>
    <w:basedOn w:val="1"/>
    <w:qFormat/>
    <w:uiPriority w:val="0"/>
    <w:pPr>
      <w:jc w:val="center"/>
      <w:textAlignment w:val="center"/>
    </w:pPr>
    <w:rPr>
      <w:rFonts w:ascii="华文细黑" w:hAnsi="华文细黑"/>
      <w:kern w:val="0"/>
      <w:szCs w:val="20"/>
    </w:rPr>
  </w:style>
  <w:style w:type="paragraph" w:customStyle="1" w:styleId="69">
    <w:name w:val="样式 标题 3 + (中文) 黑体 小四 非加粗 段前: 7.8 磅 段后: 0 磅 行距: 固定值 20 磅"/>
    <w:basedOn w:val="6"/>
    <w:qFormat/>
    <w:uiPriority w:val="0"/>
    <w:pPr>
      <w:spacing w:before="0" w:after="0" w:line="400" w:lineRule="exact"/>
    </w:pPr>
    <w:rPr>
      <w:rFonts w:eastAsia="黑体" w:cs="宋体"/>
      <w:b w:val="0"/>
      <w:bCs w:val="0"/>
      <w:sz w:val="24"/>
      <w:szCs w:val="20"/>
    </w:rPr>
  </w:style>
  <w:style w:type="paragraph" w:customStyle="1" w:styleId="70">
    <w:name w:val="*正文"/>
    <w:basedOn w:val="1"/>
    <w:next w:val="1"/>
    <w:qFormat/>
    <w:uiPriority w:val="0"/>
    <w:pPr>
      <w:widowControl/>
      <w:ind w:firstLine="482"/>
    </w:pPr>
    <w:rPr>
      <w:rFonts w:ascii="微软雅黑" w:hAnsi="微软雅黑" w:eastAsia="微软雅黑"/>
    </w:rPr>
  </w:style>
  <w:style w:type="paragraph" w:customStyle="1" w:styleId="71">
    <w:name w:val="表格文字"/>
    <w:basedOn w:val="1"/>
    <w:qFormat/>
    <w:uiPriority w:val="0"/>
    <w:pPr>
      <w:adjustRightInd w:val="0"/>
      <w:spacing w:line="420" w:lineRule="atLeast"/>
      <w:jc w:val="left"/>
      <w:textAlignment w:val="baseline"/>
    </w:pPr>
    <w:rPr>
      <w:kern w:val="0"/>
      <w:szCs w:val="20"/>
    </w:rPr>
  </w:style>
  <w:style w:type="paragraph" w:customStyle="1" w:styleId="72">
    <w:name w:val="Table Paragraph"/>
    <w:basedOn w:val="1"/>
    <w:qFormat/>
    <w:uiPriority w:val="1"/>
    <w:pPr>
      <w:autoSpaceDE w:val="0"/>
      <w:autoSpaceDN w:val="0"/>
      <w:jc w:val="left"/>
    </w:pPr>
    <w:rPr>
      <w:rFonts w:ascii="宋体" w:hAnsi="宋体" w:cs="宋体"/>
      <w:kern w:val="0"/>
      <w:sz w:val="22"/>
      <w:szCs w:val="22"/>
      <w:lang w:val="zh-CN" w:bidi="zh-CN"/>
    </w:rPr>
  </w:style>
  <w:style w:type="paragraph" w:customStyle="1" w:styleId="73">
    <w:name w:val="1"/>
    <w:basedOn w:val="1"/>
    <w:next w:val="1"/>
    <w:qFormat/>
    <w:uiPriority w:val="0"/>
  </w:style>
  <w:style w:type="paragraph" w:customStyle="1" w:styleId="74">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character" w:customStyle="1" w:styleId="75">
    <w:name w:val="未处理的提及1"/>
    <w:semiHidden/>
    <w:unhideWhenUsed/>
    <w:qFormat/>
    <w:uiPriority w:val="99"/>
    <w:rPr>
      <w:color w:val="605E5C"/>
      <w:shd w:val="clear" w:color="auto" w:fill="E1DFDD"/>
    </w:rPr>
  </w:style>
  <w:style w:type="character" w:customStyle="1" w:styleId="76">
    <w:name w:val="标题4 Char"/>
    <w:link w:val="77"/>
    <w:qFormat/>
    <w:uiPriority w:val="0"/>
    <w:rPr>
      <w:sz w:val="28"/>
    </w:rPr>
  </w:style>
  <w:style w:type="paragraph" w:customStyle="1" w:styleId="77">
    <w:name w:val="标题4"/>
    <w:basedOn w:val="1"/>
    <w:next w:val="1"/>
    <w:link w:val="76"/>
    <w:qFormat/>
    <w:uiPriority w:val="0"/>
    <w:pPr>
      <w:spacing w:line="360" w:lineRule="auto"/>
      <w:ind w:firstLine="105" w:firstLineChars="50"/>
      <w:jc w:val="left"/>
    </w:pPr>
    <w:rPr>
      <w:kern w:val="0"/>
      <w:sz w:val="28"/>
      <w:szCs w:val="20"/>
    </w:rPr>
  </w:style>
  <w:style w:type="paragraph" w:styleId="78">
    <w:name w:val="List Paragraph"/>
    <w:basedOn w:val="1"/>
    <w:qFormat/>
    <w:uiPriority w:val="99"/>
    <w:pPr>
      <w:ind w:firstLine="420" w:firstLineChars="200"/>
    </w:pPr>
  </w:style>
  <w:style w:type="character" w:customStyle="1" w:styleId="79">
    <w:name w:val="fontstyle01"/>
    <w:basedOn w:val="39"/>
    <w:qFormat/>
    <w:uiPriority w:val="0"/>
    <w:rPr>
      <w:rFonts w:hint="eastAsia" w:ascii="宋体" w:hAnsi="宋体" w:eastAsia="宋体"/>
      <w:color w:val="000000"/>
      <w:sz w:val="24"/>
      <w:szCs w:val="24"/>
    </w:rPr>
  </w:style>
  <w:style w:type="character" w:customStyle="1" w:styleId="80">
    <w:name w:val="未处理的提及11"/>
    <w:unhideWhenUsed/>
    <w:qFormat/>
    <w:uiPriority w:val="99"/>
    <w:rPr>
      <w:color w:val="605E5C"/>
      <w:shd w:val="clear" w:color="auto" w:fill="E1DFDD"/>
    </w:rPr>
  </w:style>
  <w:style w:type="character" w:customStyle="1" w:styleId="81">
    <w:name w:val="批注主题 字符"/>
    <w:basedOn w:val="62"/>
    <w:link w:val="35"/>
    <w:qFormat/>
    <w:uiPriority w:val="0"/>
    <w:rPr>
      <w:b/>
      <w:bCs/>
      <w:kern w:val="2"/>
      <w:sz w:val="21"/>
      <w:szCs w:val="24"/>
    </w:rPr>
  </w:style>
  <w:style w:type="paragraph" w:customStyle="1" w:styleId="82">
    <w:name w:val="WPSOffice手动目录 1"/>
    <w:qFormat/>
    <w:uiPriority w:val="0"/>
    <w:pPr>
      <w:ind w:leftChars="0"/>
    </w:pPr>
    <w:rPr>
      <w:rFonts w:ascii="Times New Roman" w:hAnsi="Times New Roman" w:eastAsia="宋体" w:cs="Times New Roman"/>
      <w:sz w:val="20"/>
      <w:szCs w:val="20"/>
    </w:rPr>
  </w:style>
  <w:style w:type="paragraph" w:customStyle="1" w:styleId="83">
    <w:name w:val="_Style 80"/>
    <w:basedOn w:val="1"/>
    <w:next w:val="1"/>
    <w:qFormat/>
    <w:uiPriority w:val="0"/>
    <w:pPr>
      <w:pBdr>
        <w:bottom w:val="single" w:color="auto" w:sz="6" w:space="1"/>
      </w:pBdr>
      <w:jc w:val="center"/>
    </w:pPr>
    <w:rPr>
      <w:rFonts w:ascii="Arial" w:eastAsia="宋体"/>
      <w:vanish/>
      <w:sz w:val="16"/>
    </w:rPr>
  </w:style>
  <w:style w:type="paragraph" w:customStyle="1" w:styleId="84">
    <w:name w:val="_Style 81"/>
    <w:basedOn w:val="1"/>
    <w:next w:val="1"/>
    <w:qFormat/>
    <w:uiPriority w:val="0"/>
    <w:pPr>
      <w:pBdr>
        <w:top w:val="single" w:color="auto" w:sz="6" w:space="1"/>
      </w:pBdr>
      <w:jc w:val="center"/>
    </w:pPr>
    <w:rPr>
      <w:rFonts w:ascii="Arial" w:eastAsia="宋体"/>
      <w:vanish/>
      <w:sz w:val="16"/>
    </w:rPr>
  </w:style>
  <w:style w:type="paragraph" w:customStyle="1" w:styleId="85">
    <w:name w:val="Body text|1"/>
    <w:basedOn w:val="1"/>
    <w:qFormat/>
    <w:uiPriority w:val="0"/>
    <w:pPr>
      <w:spacing w:after="220" w:line="420" w:lineRule="auto"/>
      <w:ind w:firstLine="400"/>
      <w:jc w:val="left"/>
    </w:pPr>
    <w:rPr>
      <w:rFonts w:ascii="MingLiU" w:hAnsi="MingLiU" w:eastAsia="MingLiU" w:cs="MingLiU"/>
      <w:sz w:val="20"/>
      <w:szCs w:val="20"/>
      <w:lang w:val="zh-TW" w:eastAsia="zh-TW" w:bidi="zh-TW"/>
    </w:rPr>
  </w:style>
  <w:style w:type="paragraph" w:customStyle="1" w:styleId="86">
    <w:name w:val="&quot;Table caption|1&quot;"/>
    <w:basedOn w:val="1"/>
    <w:qFormat/>
    <w:uiPriority w:val="0"/>
    <w:pPr>
      <w:shd w:val="clear" w:color="FFFFFF" w:fill="FFFFFF"/>
      <w:jc w:val="left"/>
    </w:pPr>
    <w:rPr>
      <w:rFonts w:ascii="MingLiU" w:hAnsi="MingLiU" w:eastAsia="MingLiU" w:cs="MingLiU"/>
      <w:color w:val="000000"/>
      <w:kern w:val="0"/>
      <w:sz w:val="19"/>
      <w:szCs w:val="19"/>
      <w:lang w:val="zh-TW" w:eastAsia="zh-TW" w:bidi="zh-TW"/>
    </w:rPr>
  </w:style>
  <w:style w:type="paragraph" w:customStyle="1" w:styleId="87">
    <w:name w:val="列出段落1"/>
    <w:basedOn w:val="1"/>
    <w:qFormat/>
    <w:uiPriority w:val="0"/>
    <w:pPr>
      <w:widowControl/>
      <w:spacing w:line="300" w:lineRule="auto"/>
      <w:ind w:firstLine="200" w:firstLineChars="200"/>
    </w:pPr>
    <w:rPr>
      <w:rFonts w:ascii="Arial" w:hAnsi="Arial"/>
      <w:kern w:val="0"/>
      <w:sz w:val="18"/>
    </w:rPr>
  </w:style>
  <w:style w:type="character" w:customStyle="1" w:styleId="88">
    <w:name w:val="NormalCharacter"/>
    <w:semiHidden/>
    <w:qFormat/>
    <w:uiPriority w:val="0"/>
    <w:rPr>
      <w:rFonts w:ascii="Calibri" w:hAnsi="Calibri" w:eastAsia="宋体" w:cs="Times New Roman"/>
      <w:kern w:val="2"/>
      <w:sz w:val="21"/>
      <w:szCs w:val="24"/>
      <w:lang w:val="en-US" w:eastAsia="zh-CN" w:bidi="ar-SA"/>
    </w:rPr>
  </w:style>
  <w:style w:type="paragraph" w:customStyle="1" w:styleId="89">
    <w:name w:val="_Style 2"/>
    <w:basedOn w:val="1"/>
    <w:qFormat/>
    <w:uiPriority w:val="0"/>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82</Pages>
  <Words>6335</Words>
  <Characters>36115</Characters>
  <Lines>300</Lines>
  <Paragraphs>84</Paragraphs>
  <TotalTime>1</TotalTime>
  <ScaleCrop>false</ScaleCrop>
  <LinksUpToDate>false</LinksUpToDate>
  <CharactersWithSpaces>42366</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2020-04-13T15:04:00Z</dcterms:created>
  <dc:creator>Administrator</dc:creator>
  <cp:lastModifiedBy>NTKO</cp:lastModifiedBy>
  <cp:lastPrinted>2021-01-20T10:54:00Z</cp:lastPrinted>
  <dcterms:modified xsi:type="dcterms:W3CDTF">2022-02-09T09:45:50Z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375353DCCEA6435A981BC03F2ECD058F</vt:lpwstr>
  </property>
</Properties>
</file>