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hint="eastAsia"/>
          <w:color w:val="auto"/>
          <w:sz w:val="56"/>
          <w:szCs w:val="44"/>
          <w:lang w:eastAsia="zh-CN"/>
        </w:rPr>
      </w:pPr>
    </w:p>
    <w:p>
      <w:pPr>
        <w:pStyle w:val="5"/>
        <w:rPr>
          <w:rFonts w:hint="eastAsia"/>
          <w:color w:val="auto"/>
          <w:sz w:val="56"/>
          <w:szCs w:val="44"/>
          <w:lang w:eastAsia="zh-CN"/>
        </w:rPr>
      </w:pPr>
      <w:r>
        <w:rPr>
          <w:rFonts w:hint="eastAsia"/>
          <w:color w:val="auto"/>
          <w:sz w:val="44"/>
          <w:szCs w:val="32"/>
          <w:lang w:eastAsia="zh-CN"/>
        </w:rPr>
        <w:t>洛阳市涧西区豫北二路（中州西路-景华路）提升改造工程</w:t>
      </w:r>
      <w:r>
        <w:rPr>
          <w:rFonts w:hint="eastAsia"/>
          <w:color w:val="auto"/>
          <w:sz w:val="56"/>
          <w:szCs w:val="44"/>
          <w:lang w:val="en-US" w:eastAsia="zh-CN"/>
        </w:rPr>
        <w:t xml:space="preserve"> </w:t>
      </w:r>
      <w:bookmarkStart w:id="605" w:name="_GoBack"/>
      <w:bookmarkEnd w:id="605"/>
    </w:p>
    <w:p>
      <w:pPr>
        <w:rPr>
          <w:rFonts w:hint="eastAsia"/>
          <w:color w:val="auto"/>
          <w:lang w:eastAsia="zh-CN"/>
        </w:rPr>
      </w:pPr>
    </w:p>
    <w:p>
      <w:pPr>
        <w:pStyle w:val="3"/>
        <w:jc w:val="center"/>
        <w:rPr>
          <w:rFonts w:ascii="宋体" w:cs="宋体"/>
          <w:color w:val="auto"/>
          <w:kern w:val="0"/>
          <w:sz w:val="30"/>
          <w:szCs w:val="30"/>
        </w:rPr>
      </w:pPr>
      <w:r>
        <w:rPr>
          <w:rFonts w:hint="eastAsia" w:ascii="宋体" w:hAnsi="宋体" w:eastAsia="Calibri" w:cs="宋体"/>
          <w:b/>
          <w:color w:val="auto"/>
          <w:sz w:val="72"/>
        </w:rPr>
        <w:t>招 标 文 件</w:t>
      </w:r>
    </w:p>
    <w:p>
      <w:pPr>
        <w:pStyle w:val="3"/>
        <w:jc w:val="center"/>
        <w:rPr>
          <w:rFonts w:hint="eastAsia" w:ascii="宋体" w:hAnsi="Calibri" w:eastAsia="宋体" w:cs="宋体"/>
          <w:b/>
          <w:color w:val="auto"/>
          <w:kern w:val="0"/>
          <w:sz w:val="28"/>
          <w:szCs w:val="28"/>
          <w:lang w:val="en-US" w:eastAsia="zh-CN" w:bidi="ar-SA"/>
        </w:rPr>
      </w:pPr>
      <w:r>
        <w:rPr>
          <w:rFonts w:hint="eastAsia" w:ascii="宋体" w:hAnsi="Calibri" w:eastAsia="宋体" w:cs="宋体"/>
          <w:b/>
          <w:color w:val="auto"/>
          <w:kern w:val="0"/>
          <w:sz w:val="28"/>
          <w:szCs w:val="28"/>
          <w:lang w:val="en-US" w:eastAsia="zh-CN" w:bidi="ar-SA"/>
        </w:rPr>
        <w:t>招标编号：涧西工施招标(2022)0031号</w:t>
      </w:r>
    </w:p>
    <w:p>
      <w:pPr>
        <w:pStyle w:val="3"/>
        <w:jc w:val="center"/>
        <w:rPr>
          <w:rFonts w:hint="eastAsia" w:ascii="宋体" w:cs="宋体"/>
          <w:color w:val="auto"/>
          <w:kern w:val="0"/>
          <w:sz w:val="30"/>
          <w:szCs w:val="30"/>
          <w:lang w:val="en-US" w:eastAsia="zh-CN"/>
        </w:rPr>
      </w:pPr>
      <w:r>
        <w:rPr>
          <w:rFonts w:hint="eastAsia" w:ascii="宋体" w:cs="宋体"/>
          <w:b/>
          <w:color w:val="auto"/>
          <w:kern w:val="0"/>
          <w:sz w:val="28"/>
          <w:szCs w:val="28"/>
          <w:lang w:val="en-US" w:eastAsia="zh-CN" w:bidi="ar-SA"/>
        </w:rPr>
        <w:t>政府采购管理备案编号：洛涧公开-2022-18</w:t>
      </w:r>
      <w:r>
        <w:rPr>
          <w:rFonts w:hint="eastAsia" w:ascii="宋体" w:cs="宋体"/>
          <w:color w:val="auto"/>
          <w:kern w:val="0"/>
          <w:sz w:val="30"/>
          <w:szCs w:val="30"/>
          <w:lang w:val="en-US" w:eastAsia="zh-CN"/>
        </w:rPr>
        <w:t xml:space="preserve"> </w:t>
      </w:r>
    </w:p>
    <w:p>
      <w:pPr>
        <w:pStyle w:val="4"/>
        <w:rPr>
          <w:rFonts w:hint="eastAsia"/>
          <w:color w:val="auto"/>
          <w:lang w:eastAsia="zh-CN"/>
        </w:rPr>
      </w:pPr>
    </w:p>
    <w:p>
      <w:pPr>
        <w:rPr>
          <w:rFonts w:hint="eastAsia"/>
          <w:color w:val="auto"/>
          <w:lang w:eastAsia="zh-CN"/>
        </w:rPr>
      </w:pPr>
    </w:p>
    <w:p>
      <w:pPr>
        <w:pStyle w:val="3"/>
        <w:jc w:val="center"/>
        <w:rPr>
          <w:rFonts w:hint="eastAsia" w:ascii="宋体" w:hAnsi="宋体" w:cs="宋体"/>
          <w:b/>
          <w:bCs/>
          <w:color w:val="auto"/>
          <w:kern w:val="0"/>
          <w:sz w:val="48"/>
          <w:szCs w:val="48"/>
        </w:rPr>
      </w:pPr>
      <w:r>
        <w:rPr>
          <w:rFonts w:hint="eastAsia" w:ascii="宋体" w:hAnsi="宋体" w:cs="宋体"/>
          <w:b/>
          <w:bCs/>
          <w:color w:val="auto"/>
          <w:kern w:val="0"/>
          <w:sz w:val="48"/>
          <w:szCs w:val="48"/>
        </w:rPr>
        <w:drawing>
          <wp:inline distT="0" distB="0" distL="114300" distR="114300">
            <wp:extent cx="2751455" cy="2194560"/>
            <wp:effectExtent l="0" t="0" r="10795" b="15240"/>
            <wp:docPr id="2" name="图片 1" descr="达诺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达诺XT"/>
                    <pic:cNvPicPr>
                      <a:picLocks noChangeAspect="1"/>
                    </pic:cNvPicPr>
                  </pic:nvPicPr>
                  <pic:blipFill>
                    <a:blip r:embed="rId10"/>
                    <a:stretch>
                      <a:fillRect/>
                    </a:stretch>
                  </pic:blipFill>
                  <pic:spPr>
                    <a:xfrm>
                      <a:off x="0" y="0"/>
                      <a:ext cx="2751455" cy="2194560"/>
                    </a:xfrm>
                    <a:prstGeom prst="rect">
                      <a:avLst/>
                    </a:prstGeom>
                    <a:noFill/>
                    <a:ln>
                      <a:noFill/>
                    </a:ln>
                  </pic:spPr>
                </pic:pic>
              </a:graphicData>
            </a:graphic>
          </wp:inline>
        </w:drawing>
      </w:r>
    </w:p>
    <w:p>
      <w:pPr>
        <w:pStyle w:val="15"/>
        <w:rPr>
          <w:color w:val="auto"/>
        </w:rPr>
      </w:pPr>
    </w:p>
    <w:p>
      <w:pPr>
        <w:widowControl/>
        <w:spacing w:line="360" w:lineRule="auto"/>
        <w:ind w:left="0" w:leftChars="0" w:firstLine="1265" w:firstLineChars="450"/>
        <w:rPr>
          <w:rFonts w:hint="eastAsia" w:ascii="宋体" w:eastAsia="宋体" w:cs="宋体"/>
          <w:b/>
          <w:color w:val="auto"/>
          <w:kern w:val="0"/>
          <w:sz w:val="28"/>
          <w:szCs w:val="28"/>
          <w:lang w:eastAsia="zh-CN"/>
        </w:rPr>
      </w:pPr>
      <w:bookmarkStart w:id="0" w:name="_Toc410335690"/>
      <w:bookmarkStart w:id="1" w:name="_Toc410317109"/>
      <w:bookmarkStart w:id="2" w:name="_Toc410335536"/>
      <w:bookmarkStart w:id="3" w:name="_Toc410334946"/>
      <w:r>
        <w:rPr>
          <w:rFonts w:hint="eastAsia" w:ascii="宋体" w:cs="宋体"/>
          <w:b/>
          <w:color w:val="auto"/>
          <w:kern w:val="0"/>
          <w:sz w:val="28"/>
          <w:szCs w:val="28"/>
        </w:rPr>
        <w:t>招   标   人：</w:t>
      </w:r>
      <w:bookmarkEnd w:id="0"/>
      <w:bookmarkEnd w:id="1"/>
      <w:bookmarkEnd w:id="2"/>
      <w:bookmarkEnd w:id="3"/>
      <w:r>
        <w:rPr>
          <w:rFonts w:hint="eastAsia" w:ascii="宋体" w:cs="宋体"/>
          <w:b/>
          <w:color w:val="auto"/>
          <w:kern w:val="0"/>
          <w:sz w:val="28"/>
          <w:szCs w:val="28"/>
          <w:lang w:eastAsia="zh-CN"/>
        </w:rPr>
        <w:t>洛阳市涧西区住房和城乡建设局</w:t>
      </w:r>
    </w:p>
    <w:p>
      <w:pPr>
        <w:tabs>
          <w:tab w:val="left" w:pos="4680"/>
        </w:tabs>
        <w:spacing w:line="360" w:lineRule="auto"/>
        <w:ind w:left="0" w:leftChars="0" w:firstLine="1265" w:firstLineChars="450"/>
        <w:jc w:val="both"/>
        <w:rPr>
          <w:rFonts w:hint="eastAsia" w:ascii="宋体" w:eastAsia="宋体" w:cs="宋体"/>
          <w:b/>
          <w:color w:val="auto"/>
          <w:kern w:val="0"/>
          <w:sz w:val="28"/>
          <w:szCs w:val="28"/>
          <w:lang w:eastAsia="zh-CN"/>
        </w:rPr>
      </w:pPr>
      <w:r>
        <w:rPr>
          <w:rFonts w:hint="eastAsia" w:ascii="宋体" w:cs="宋体"/>
          <w:b/>
          <w:color w:val="auto"/>
          <w:kern w:val="0"/>
          <w:sz w:val="28"/>
          <w:szCs w:val="28"/>
        </w:rPr>
        <w:t>招标代理机构：</w:t>
      </w:r>
      <w:r>
        <w:rPr>
          <w:rFonts w:hint="eastAsia" w:ascii="宋体" w:cs="宋体"/>
          <w:b/>
          <w:color w:val="auto"/>
          <w:kern w:val="0"/>
          <w:sz w:val="28"/>
          <w:szCs w:val="28"/>
          <w:lang w:eastAsia="zh-CN"/>
        </w:rPr>
        <w:t>河南达诺工程咨询服务有限公司</w:t>
      </w:r>
    </w:p>
    <w:p>
      <w:pPr>
        <w:tabs>
          <w:tab w:val="left" w:pos="4680"/>
        </w:tabs>
        <w:spacing w:line="360" w:lineRule="auto"/>
        <w:ind w:left="0" w:leftChars="0" w:firstLine="1265" w:firstLineChars="450"/>
        <w:rPr>
          <w:rFonts w:ascii="宋体" w:cs="宋体"/>
          <w:b/>
          <w:color w:val="auto"/>
          <w:kern w:val="0"/>
          <w:sz w:val="28"/>
          <w:szCs w:val="28"/>
        </w:rPr>
      </w:pPr>
      <w:r>
        <w:rPr>
          <w:rFonts w:hint="eastAsia" w:ascii="宋体" w:cs="宋体"/>
          <w:b/>
          <w:color w:val="auto"/>
          <w:kern w:val="0"/>
          <w:sz w:val="28"/>
          <w:szCs w:val="28"/>
        </w:rPr>
        <w:t>日        期：二○二</w:t>
      </w:r>
      <w:r>
        <w:rPr>
          <w:rFonts w:hint="eastAsia" w:ascii="宋体" w:cs="宋体"/>
          <w:b/>
          <w:color w:val="auto"/>
          <w:kern w:val="0"/>
          <w:sz w:val="28"/>
          <w:szCs w:val="28"/>
          <w:lang w:eastAsia="zh-CN"/>
        </w:rPr>
        <w:t>二</w:t>
      </w:r>
      <w:r>
        <w:rPr>
          <w:rFonts w:hint="eastAsia" w:ascii="宋体" w:cs="宋体"/>
          <w:b/>
          <w:color w:val="auto"/>
          <w:kern w:val="0"/>
          <w:sz w:val="28"/>
          <w:szCs w:val="28"/>
        </w:rPr>
        <w:t>年</w:t>
      </w:r>
      <w:r>
        <w:rPr>
          <w:rFonts w:hint="eastAsia" w:ascii="宋体" w:cs="宋体"/>
          <w:b/>
          <w:color w:val="auto"/>
          <w:kern w:val="0"/>
          <w:sz w:val="28"/>
          <w:szCs w:val="28"/>
          <w:lang w:eastAsia="zh-CN"/>
        </w:rPr>
        <w:t>三</w:t>
      </w:r>
      <w:r>
        <w:rPr>
          <w:rFonts w:hint="eastAsia" w:ascii="宋体" w:cs="宋体"/>
          <w:b/>
          <w:color w:val="auto"/>
          <w:kern w:val="0"/>
          <w:sz w:val="28"/>
          <w:szCs w:val="28"/>
        </w:rPr>
        <w:t>月</w:t>
      </w:r>
    </w:p>
    <w:p>
      <w:pPr>
        <w:spacing w:line="360" w:lineRule="auto"/>
        <w:jc w:val="left"/>
        <w:rPr>
          <w:rFonts w:ascii="宋体" w:cs="宋体"/>
          <w:color w:val="auto"/>
          <w:szCs w:val="21"/>
        </w:rPr>
      </w:pPr>
      <w:bookmarkStart w:id="4" w:name="_Toc246996898"/>
      <w:bookmarkStart w:id="5" w:name="_Toc247085669"/>
      <w:bookmarkStart w:id="6" w:name="_Toc296602400"/>
      <w:bookmarkStart w:id="7" w:name="_Toc10475"/>
    </w:p>
    <w:p>
      <w:pPr>
        <w:spacing w:line="360" w:lineRule="auto"/>
        <w:ind w:firstLine="420" w:firstLineChars="200"/>
        <w:jc w:val="center"/>
        <w:rPr>
          <w:rFonts w:ascii="宋体" w:cs="宋体"/>
          <w:b/>
          <w:bCs/>
          <w:color w:val="auto"/>
          <w:sz w:val="48"/>
          <w:szCs w:val="48"/>
        </w:rPr>
      </w:pPr>
      <w:r>
        <w:rPr>
          <w:rFonts w:hint="eastAsia" w:ascii="宋体" w:cs="宋体"/>
          <w:color w:val="auto"/>
          <w:szCs w:val="21"/>
        </w:rPr>
        <w:br w:type="page"/>
      </w:r>
      <w:r>
        <w:rPr>
          <w:rFonts w:hint="eastAsia" w:ascii="宋体" w:cs="宋体"/>
          <w:b/>
          <w:bCs/>
          <w:color w:val="auto"/>
          <w:sz w:val="48"/>
          <w:szCs w:val="48"/>
        </w:rPr>
        <w:t xml:space="preserve"> 目   录</w:t>
      </w:r>
      <w:bookmarkEnd w:id="4"/>
      <w:bookmarkEnd w:id="5"/>
      <w:bookmarkEnd w:id="6"/>
      <w:bookmarkEnd w:id="7"/>
    </w:p>
    <w:p>
      <w:pPr>
        <w:pStyle w:val="36"/>
        <w:tabs>
          <w:tab w:val="right" w:leader="dot" w:pos="8306"/>
        </w:tabs>
        <w:rPr>
          <w:rFonts w:ascii="宋体" w:cs="宋体"/>
          <w:b/>
          <w:bCs/>
          <w:color w:val="auto"/>
          <w:sz w:val="28"/>
          <w:szCs w:val="28"/>
        </w:rPr>
      </w:pPr>
      <w:bookmarkStart w:id="8" w:name="_Toc152045511"/>
      <w:bookmarkStart w:id="9" w:name="_Toc144974479"/>
      <w:bookmarkStart w:id="10" w:name="_Toc152042287"/>
      <w:bookmarkStart w:id="11" w:name="_Toc179632527"/>
      <w:r>
        <w:rPr>
          <w:rFonts w:hint="eastAsia" w:ascii="宋体" w:cs="宋体"/>
          <w:b/>
          <w:bCs/>
          <w:iCs/>
          <w:caps/>
          <w:color w:val="auto"/>
          <w:kern w:val="2"/>
          <w:sz w:val="28"/>
          <w:szCs w:val="28"/>
        </w:rPr>
        <w:fldChar w:fldCharType="begin"/>
      </w:r>
      <w:r>
        <w:rPr>
          <w:rFonts w:hint="eastAsia" w:ascii="宋体" w:cs="宋体"/>
          <w:b/>
          <w:bCs/>
          <w:iCs/>
          <w:caps/>
          <w:color w:val="auto"/>
          <w:kern w:val="2"/>
          <w:sz w:val="28"/>
          <w:szCs w:val="28"/>
        </w:rPr>
        <w:instrText xml:space="preserve">TOC \o "1-1" \h \u </w:instrText>
      </w:r>
      <w:r>
        <w:rPr>
          <w:rFonts w:hint="eastAsia" w:ascii="宋体" w:cs="宋体"/>
          <w:b/>
          <w:bCs/>
          <w:iCs/>
          <w:caps/>
          <w:color w:val="auto"/>
          <w:kern w:val="2"/>
          <w:sz w:val="28"/>
          <w:szCs w:val="28"/>
        </w:rPr>
        <w:fldChar w:fldCharType="separate"/>
      </w:r>
      <w:r>
        <w:rPr>
          <w:color w:val="auto"/>
        </w:rPr>
        <w:fldChar w:fldCharType="begin"/>
      </w:r>
      <w:r>
        <w:rPr>
          <w:color w:val="auto"/>
        </w:rPr>
        <w:instrText xml:space="preserve"> HYPERLINK \l "_Toc28252" </w:instrText>
      </w:r>
      <w:r>
        <w:rPr>
          <w:color w:val="auto"/>
        </w:rPr>
        <w:fldChar w:fldCharType="separate"/>
      </w:r>
      <w:r>
        <w:rPr>
          <w:rFonts w:hint="eastAsia" w:ascii="宋体" w:cs="宋体"/>
          <w:b/>
          <w:bCs/>
          <w:color w:val="auto"/>
          <w:sz w:val="28"/>
          <w:szCs w:val="28"/>
        </w:rPr>
        <w:t>第一章 招标公告</w:t>
      </w:r>
      <w:r>
        <w:rPr>
          <w:rFonts w:hint="eastAsia" w:ascii="宋体" w:cs="宋体"/>
          <w:b/>
          <w:bCs/>
          <w:color w:val="auto"/>
          <w:sz w:val="28"/>
          <w:szCs w:val="28"/>
        </w:rPr>
        <w:tab/>
      </w:r>
      <w:r>
        <w:rPr>
          <w:rFonts w:hint="eastAsia" w:ascii="宋体" w:cs="宋体"/>
          <w:b/>
          <w:bCs/>
          <w:color w:val="auto"/>
          <w:sz w:val="28"/>
          <w:szCs w:val="28"/>
        </w:rPr>
        <w:t>1</w:t>
      </w:r>
      <w:r>
        <w:rPr>
          <w:rFonts w:hint="eastAsia" w:ascii="宋体" w:cs="宋体"/>
          <w:b/>
          <w:bCs/>
          <w:color w:val="auto"/>
          <w:sz w:val="28"/>
          <w:szCs w:val="28"/>
        </w:rPr>
        <w:fldChar w:fldCharType="end"/>
      </w:r>
    </w:p>
    <w:p>
      <w:pPr>
        <w:pStyle w:val="36"/>
        <w:tabs>
          <w:tab w:val="right" w:leader="dot" w:pos="8306"/>
        </w:tabs>
        <w:rPr>
          <w:rFonts w:ascii="宋体" w:cs="宋体"/>
          <w:b/>
          <w:bCs/>
          <w:color w:val="auto"/>
          <w:sz w:val="28"/>
          <w:szCs w:val="28"/>
        </w:rPr>
      </w:pPr>
      <w:r>
        <w:rPr>
          <w:color w:val="auto"/>
        </w:rPr>
        <w:fldChar w:fldCharType="begin"/>
      </w:r>
      <w:r>
        <w:rPr>
          <w:color w:val="auto"/>
        </w:rPr>
        <w:instrText xml:space="preserve"> HYPERLINK \l "_Toc16568" </w:instrText>
      </w:r>
      <w:r>
        <w:rPr>
          <w:color w:val="auto"/>
        </w:rPr>
        <w:fldChar w:fldCharType="separate"/>
      </w:r>
      <w:r>
        <w:rPr>
          <w:rFonts w:hint="eastAsia" w:ascii="宋体" w:cs="宋体"/>
          <w:b/>
          <w:bCs/>
          <w:color w:val="auto"/>
          <w:sz w:val="28"/>
          <w:szCs w:val="28"/>
        </w:rPr>
        <w:t>第二章 投标人须知</w:t>
      </w:r>
      <w:r>
        <w:rPr>
          <w:rFonts w:hint="eastAsia" w:ascii="宋体" w:cs="宋体"/>
          <w:b/>
          <w:bCs/>
          <w:color w:val="auto"/>
          <w:sz w:val="28"/>
          <w:szCs w:val="28"/>
        </w:rPr>
        <w:tab/>
      </w:r>
      <w:r>
        <w:rPr>
          <w:rFonts w:hint="eastAsia" w:ascii="宋体" w:cs="宋体"/>
          <w:b/>
          <w:bCs/>
          <w:color w:val="auto"/>
          <w:sz w:val="28"/>
          <w:szCs w:val="28"/>
        </w:rPr>
        <w:fldChar w:fldCharType="begin"/>
      </w:r>
      <w:r>
        <w:rPr>
          <w:rFonts w:hint="eastAsia" w:ascii="宋体" w:cs="宋体"/>
          <w:b/>
          <w:bCs/>
          <w:color w:val="auto"/>
          <w:sz w:val="28"/>
          <w:szCs w:val="28"/>
        </w:rPr>
        <w:instrText xml:space="preserve"> PAGEREF _Toc16568 </w:instrText>
      </w:r>
      <w:r>
        <w:rPr>
          <w:rFonts w:hint="eastAsia" w:ascii="宋体" w:cs="宋体"/>
          <w:b/>
          <w:bCs/>
          <w:color w:val="auto"/>
          <w:sz w:val="28"/>
          <w:szCs w:val="28"/>
        </w:rPr>
        <w:fldChar w:fldCharType="separate"/>
      </w:r>
      <w:r>
        <w:rPr>
          <w:rFonts w:hint="eastAsia" w:ascii="宋体" w:cs="宋体"/>
          <w:b/>
          <w:bCs/>
          <w:color w:val="auto"/>
          <w:sz w:val="28"/>
          <w:szCs w:val="28"/>
        </w:rPr>
        <w:t>9</w:t>
      </w:r>
      <w:r>
        <w:rPr>
          <w:rFonts w:hint="eastAsia" w:ascii="宋体" w:cs="宋体"/>
          <w:b/>
          <w:bCs/>
          <w:color w:val="auto"/>
          <w:sz w:val="28"/>
          <w:szCs w:val="28"/>
        </w:rPr>
        <w:fldChar w:fldCharType="end"/>
      </w:r>
      <w:r>
        <w:rPr>
          <w:rFonts w:hint="eastAsia" w:ascii="宋体" w:cs="宋体"/>
          <w:b/>
          <w:bCs/>
          <w:color w:val="auto"/>
          <w:sz w:val="28"/>
          <w:szCs w:val="28"/>
        </w:rPr>
        <w:fldChar w:fldCharType="end"/>
      </w:r>
    </w:p>
    <w:p>
      <w:pPr>
        <w:pStyle w:val="36"/>
        <w:tabs>
          <w:tab w:val="right" w:leader="dot" w:pos="8306"/>
        </w:tabs>
        <w:rPr>
          <w:rFonts w:ascii="宋体" w:cs="宋体"/>
          <w:b/>
          <w:bCs/>
          <w:color w:val="auto"/>
          <w:sz w:val="28"/>
          <w:szCs w:val="28"/>
        </w:rPr>
      </w:pPr>
      <w:r>
        <w:rPr>
          <w:color w:val="auto"/>
        </w:rPr>
        <w:fldChar w:fldCharType="begin"/>
      </w:r>
      <w:r>
        <w:rPr>
          <w:color w:val="auto"/>
        </w:rPr>
        <w:instrText xml:space="preserve"> HYPERLINK \l "_Toc16191" </w:instrText>
      </w:r>
      <w:r>
        <w:rPr>
          <w:color w:val="auto"/>
        </w:rPr>
        <w:fldChar w:fldCharType="separate"/>
      </w:r>
      <w:r>
        <w:rPr>
          <w:rFonts w:hint="eastAsia" w:ascii="宋体" w:cs="宋体"/>
          <w:b/>
          <w:bCs/>
          <w:color w:val="auto"/>
          <w:sz w:val="28"/>
          <w:szCs w:val="28"/>
        </w:rPr>
        <w:t>第三章 评标办法（综合计分法）</w:t>
      </w:r>
      <w:r>
        <w:rPr>
          <w:rFonts w:hint="eastAsia" w:ascii="宋体" w:cs="宋体"/>
          <w:b/>
          <w:bCs/>
          <w:color w:val="auto"/>
          <w:sz w:val="28"/>
          <w:szCs w:val="28"/>
        </w:rPr>
        <w:tab/>
      </w:r>
      <w:r>
        <w:rPr>
          <w:rFonts w:hint="eastAsia" w:ascii="宋体" w:cs="宋体"/>
          <w:b/>
          <w:bCs/>
          <w:color w:val="auto"/>
          <w:sz w:val="28"/>
          <w:szCs w:val="28"/>
        </w:rPr>
        <w:fldChar w:fldCharType="begin"/>
      </w:r>
      <w:r>
        <w:rPr>
          <w:rFonts w:hint="eastAsia" w:ascii="宋体" w:cs="宋体"/>
          <w:b/>
          <w:bCs/>
          <w:color w:val="auto"/>
          <w:sz w:val="28"/>
          <w:szCs w:val="28"/>
        </w:rPr>
        <w:instrText xml:space="preserve"> PAGEREF _Toc16191 </w:instrText>
      </w:r>
      <w:r>
        <w:rPr>
          <w:rFonts w:hint="eastAsia" w:ascii="宋体" w:cs="宋体"/>
          <w:b/>
          <w:bCs/>
          <w:color w:val="auto"/>
          <w:sz w:val="28"/>
          <w:szCs w:val="28"/>
        </w:rPr>
        <w:fldChar w:fldCharType="separate"/>
      </w:r>
      <w:r>
        <w:rPr>
          <w:rFonts w:hint="eastAsia" w:ascii="宋体" w:cs="宋体"/>
          <w:b/>
          <w:bCs/>
          <w:color w:val="auto"/>
          <w:sz w:val="28"/>
          <w:szCs w:val="28"/>
        </w:rPr>
        <w:t>32</w:t>
      </w:r>
      <w:r>
        <w:rPr>
          <w:rFonts w:hint="eastAsia" w:ascii="宋体" w:cs="宋体"/>
          <w:b/>
          <w:bCs/>
          <w:color w:val="auto"/>
          <w:sz w:val="28"/>
          <w:szCs w:val="28"/>
        </w:rPr>
        <w:fldChar w:fldCharType="end"/>
      </w:r>
      <w:r>
        <w:rPr>
          <w:rFonts w:hint="eastAsia" w:ascii="宋体" w:cs="宋体"/>
          <w:b/>
          <w:bCs/>
          <w:color w:val="auto"/>
          <w:sz w:val="28"/>
          <w:szCs w:val="28"/>
        </w:rPr>
        <w:fldChar w:fldCharType="end"/>
      </w:r>
    </w:p>
    <w:p>
      <w:pPr>
        <w:pStyle w:val="36"/>
        <w:tabs>
          <w:tab w:val="right" w:leader="dot" w:pos="8306"/>
        </w:tabs>
        <w:rPr>
          <w:rFonts w:ascii="宋体" w:cs="宋体"/>
          <w:b/>
          <w:bCs/>
          <w:color w:val="auto"/>
          <w:sz w:val="28"/>
          <w:szCs w:val="28"/>
        </w:rPr>
      </w:pPr>
      <w:r>
        <w:rPr>
          <w:color w:val="auto"/>
        </w:rPr>
        <w:fldChar w:fldCharType="begin"/>
      </w:r>
      <w:r>
        <w:rPr>
          <w:color w:val="auto"/>
        </w:rPr>
        <w:instrText xml:space="preserve"> HYPERLINK \l "_Toc13831" </w:instrText>
      </w:r>
      <w:r>
        <w:rPr>
          <w:color w:val="auto"/>
        </w:rPr>
        <w:fldChar w:fldCharType="separate"/>
      </w:r>
      <w:r>
        <w:rPr>
          <w:rFonts w:hint="eastAsia" w:ascii="宋体" w:cs="宋体"/>
          <w:b/>
          <w:bCs/>
          <w:color w:val="auto"/>
          <w:sz w:val="28"/>
          <w:szCs w:val="28"/>
        </w:rPr>
        <w:t>第四章 合同条款及格式</w:t>
      </w:r>
      <w:r>
        <w:rPr>
          <w:rFonts w:hint="eastAsia" w:ascii="宋体" w:cs="宋体"/>
          <w:b/>
          <w:bCs/>
          <w:color w:val="auto"/>
          <w:sz w:val="28"/>
          <w:szCs w:val="28"/>
        </w:rPr>
        <w:tab/>
      </w:r>
      <w:r>
        <w:rPr>
          <w:rFonts w:hint="eastAsia" w:ascii="宋体" w:cs="宋体"/>
          <w:b/>
          <w:bCs/>
          <w:color w:val="auto"/>
          <w:sz w:val="28"/>
          <w:szCs w:val="28"/>
        </w:rPr>
        <w:t>3</w:t>
      </w:r>
      <w:r>
        <w:rPr>
          <w:rFonts w:hint="eastAsia" w:ascii="宋体" w:cs="宋体"/>
          <w:b/>
          <w:bCs/>
          <w:color w:val="auto"/>
          <w:sz w:val="28"/>
          <w:szCs w:val="28"/>
        </w:rPr>
        <w:fldChar w:fldCharType="end"/>
      </w:r>
      <w:r>
        <w:rPr>
          <w:rFonts w:hint="eastAsia" w:ascii="宋体" w:cs="宋体"/>
          <w:b/>
          <w:bCs/>
          <w:color w:val="auto"/>
          <w:sz w:val="28"/>
          <w:szCs w:val="28"/>
        </w:rPr>
        <w:t>8</w:t>
      </w:r>
    </w:p>
    <w:p>
      <w:pPr>
        <w:pStyle w:val="36"/>
        <w:tabs>
          <w:tab w:val="right" w:leader="dot" w:pos="8306"/>
        </w:tabs>
        <w:rPr>
          <w:rFonts w:ascii="宋体" w:cs="宋体"/>
          <w:b/>
          <w:bCs/>
          <w:color w:val="auto"/>
          <w:sz w:val="28"/>
          <w:szCs w:val="28"/>
        </w:rPr>
      </w:pPr>
      <w:r>
        <w:rPr>
          <w:color w:val="auto"/>
        </w:rPr>
        <w:fldChar w:fldCharType="begin"/>
      </w:r>
      <w:r>
        <w:rPr>
          <w:color w:val="auto"/>
        </w:rPr>
        <w:instrText xml:space="preserve"> HYPERLINK \l "_Toc16645" </w:instrText>
      </w:r>
      <w:r>
        <w:rPr>
          <w:color w:val="auto"/>
        </w:rPr>
        <w:fldChar w:fldCharType="separate"/>
      </w:r>
      <w:r>
        <w:rPr>
          <w:rFonts w:hint="eastAsia" w:ascii="宋体" w:cs="宋体"/>
          <w:b/>
          <w:bCs/>
          <w:color w:val="auto"/>
          <w:sz w:val="28"/>
          <w:szCs w:val="28"/>
        </w:rPr>
        <w:t>第五章 图  纸</w:t>
      </w:r>
      <w:r>
        <w:rPr>
          <w:rFonts w:hint="eastAsia" w:ascii="宋体" w:cs="宋体"/>
          <w:b/>
          <w:bCs/>
          <w:color w:val="auto"/>
          <w:sz w:val="28"/>
          <w:szCs w:val="28"/>
        </w:rPr>
        <w:tab/>
      </w:r>
      <w:r>
        <w:rPr>
          <w:rFonts w:hint="eastAsia" w:ascii="宋体" w:cs="宋体"/>
          <w:b/>
          <w:bCs/>
          <w:color w:val="auto"/>
          <w:sz w:val="28"/>
          <w:szCs w:val="28"/>
        </w:rPr>
        <w:t>4</w:t>
      </w:r>
      <w:r>
        <w:rPr>
          <w:rFonts w:hint="eastAsia" w:ascii="宋体" w:cs="宋体"/>
          <w:b/>
          <w:bCs/>
          <w:color w:val="auto"/>
          <w:sz w:val="28"/>
          <w:szCs w:val="28"/>
        </w:rPr>
        <w:fldChar w:fldCharType="end"/>
      </w:r>
      <w:r>
        <w:rPr>
          <w:rFonts w:hint="eastAsia" w:ascii="宋体" w:cs="宋体"/>
          <w:b/>
          <w:bCs/>
          <w:color w:val="auto"/>
          <w:sz w:val="28"/>
          <w:szCs w:val="28"/>
        </w:rPr>
        <w:t>8</w:t>
      </w:r>
    </w:p>
    <w:p>
      <w:pPr>
        <w:pStyle w:val="36"/>
        <w:tabs>
          <w:tab w:val="right" w:leader="dot" w:pos="8306"/>
        </w:tabs>
        <w:rPr>
          <w:rFonts w:ascii="宋体" w:cs="宋体"/>
          <w:b/>
          <w:bCs/>
          <w:color w:val="auto"/>
          <w:sz w:val="28"/>
          <w:szCs w:val="28"/>
        </w:rPr>
      </w:pPr>
      <w:r>
        <w:rPr>
          <w:color w:val="auto"/>
        </w:rPr>
        <w:fldChar w:fldCharType="begin"/>
      </w:r>
      <w:r>
        <w:rPr>
          <w:color w:val="auto"/>
        </w:rPr>
        <w:instrText xml:space="preserve"> HYPERLINK \l "_Toc16064" </w:instrText>
      </w:r>
      <w:r>
        <w:rPr>
          <w:color w:val="auto"/>
        </w:rPr>
        <w:fldChar w:fldCharType="separate"/>
      </w:r>
      <w:r>
        <w:rPr>
          <w:rFonts w:hint="eastAsia" w:ascii="宋体" w:cs="宋体"/>
          <w:b/>
          <w:bCs/>
          <w:color w:val="auto"/>
          <w:sz w:val="28"/>
          <w:szCs w:val="28"/>
        </w:rPr>
        <w:t>第六章 工程量清单</w:t>
      </w:r>
      <w:r>
        <w:rPr>
          <w:rFonts w:hint="eastAsia" w:ascii="宋体" w:cs="宋体"/>
          <w:b/>
          <w:bCs/>
          <w:color w:val="auto"/>
          <w:sz w:val="28"/>
          <w:szCs w:val="28"/>
        </w:rPr>
        <w:tab/>
      </w:r>
      <w:r>
        <w:rPr>
          <w:rFonts w:hint="eastAsia" w:ascii="宋体" w:cs="宋体"/>
          <w:b/>
          <w:bCs/>
          <w:color w:val="auto"/>
          <w:sz w:val="28"/>
          <w:szCs w:val="28"/>
        </w:rPr>
        <w:t>4</w:t>
      </w:r>
      <w:r>
        <w:rPr>
          <w:rFonts w:hint="eastAsia" w:ascii="宋体" w:cs="宋体"/>
          <w:b/>
          <w:bCs/>
          <w:color w:val="auto"/>
          <w:sz w:val="28"/>
          <w:szCs w:val="28"/>
        </w:rPr>
        <w:fldChar w:fldCharType="end"/>
      </w:r>
      <w:r>
        <w:rPr>
          <w:rFonts w:hint="eastAsia" w:ascii="宋体" w:cs="宋体"/>
          <w:b/>
          <w:bCs/>
          <w:color w:val="auto"/>
          <w:sz w:val="28"/>
          <w:szCs w:val="28"/>
        </w:rPr>
        <w:t>9</w:t>
      </w:r>
    </w:p>
    <w:p>
      <w:pPr>
        <w:pStyle w:val="36"/>
        <w:tabs>
          <w:tab w:val="right" w:leader="dot" w:pos="8306"/>
        </w:tabs>
        <w:rPr>
          <w:rFonts w:ascii="宋体" w:cs="宋体"/>
          <w:b/>
          <w:bCs/>
          <w:color w:val="auto"/>
          <w:sz w:val="28"/>
          <w:szCs w:val="28"/>
        </w:rPr>
      </w:pPr>
      <w:r>
        <w:rPr>
          <w:color w:val="auto"/>
        </w:rPr>
        <w:fldChar w:fldCharType="begin"/>
      </w:r>
      <w:r>
        <w:rPr>
          <w:color w:val="auto"/>
        </w:rPr>
        <w:instrText xml:space="preserve"> HYPERLINK \l "_Toc25438" </w:instrText>
      </w:r>
      <w:r>
        <w:rPr>
          <w:color w:val="auto"/>
        </w:rPr>
        <w:fldChar w:fldCharType="separate"/>
      </w:r>
      <w:r>
        <w:rPr>
          <w:rFonts w:hint="eastAsia" w:ascii="宋体" w:cs="宋体"/>
          <w:b/>
          <w:bCs/>
          <w:color w:val="auto"/>
          <w:sz w:val="28"/>
          <w:szCs w:val="28"/>
        </w:rPr>
        <w:t>第七章 技术标准和要求</w:t>
      </w:r>
      <w:r>
        <w:rPr>
          <w:rFonts w:hint="eastAsia" w:ascii="宋体" w:cs="宋体"/>
          <w:b/>
          <w:bCs/>
          <w:color w:val="auto"/>
          <w:sz w:val="28"/>
          <w:szCs w:val="28"/>
        </w:rPr>
        <w:tab/>
      </w:r>
      <w:r>
        <w:rPr>
          <w:rFonts w:hint="eastAsia" w:ascii="宋体" w:cs="宋体"/>
          <w:b/>
          <w:bCs/>
          <w:color w:val="auto"/>
          <w:sz w:val="28"/>
          <w:szCs w:val="28"/>
        </w:rPr>
        <w:t>5</w:t>
      </w:r>
      <w:r>
        <w:rPr>
          <w:rFonts w:hint="eastAsia" w:ascii="宋体" w:cs="宋体"/>
          <w:b/>
          <w:bCs/>
          <w:color w:val="auto"/>
          <w:sz w:val="28"/>
          <w:szCs w:val="28"/>
        </w:rPr>
        <w:fldChar w:fldCharType="end"/>
      </w:r>
      <w:r>
        <w:rPr>
          <w:rFonts w:hint="eastAsia" w:ascii="宋体" w:cs="宋体"/>
          <w:b/>
          <w:bCs/>
          <w:color w:val="auto"/>
          <w:sz w:val="28"/>
          <w:szCs w:val="28"/>
        </w:rPr>
        <w:t>0</w:t>
      </w:r>
    </w:p>
    <w:p>
      <w:pPr>
        <w:pStyle w:val="36"/>
        <w:tabs>
          <w:tab w:val="right" w:leader="dot" w:pos="8306"/>
        </w:tabs>
        <w:rPr>
          <w:rFonts w:ascii="宋体" w:cs="宋体"/>
          <w:b/>
          <w:bCs/>
          <w:color w:val="auto"/>
          <w:sz w:val="28"/>
          <w:szCs w:val="28"/>
        </w:rPr>
      </w:pPr>
      <w:r>
        <w:rPr>
          <w:color w:val="auto"/>
        </w:rPr>
        <w:fldChar w:fldCharType="begin"/>
      </w:r>
      <w:r>
        <w:rPr>
          <w:color w:val="auto"/>
        </w:rPr>
        <w:instrText xml:space="preserve"> HYPERLINK \l "_Toc28230" </w:instrText>
      </w:r>
      <w:r>
        <w:rPr>
          <w:color w:val="auto"/>
        </w:rPr>
        <w:fldChar w:fldCharType="separate"/>
      </w:r>
      <w:r>
        <w:rPr>
          <w:rFonts w:hint="eastAsia" w:ascii="宋体" w:cs="宋体"/>
          <w:b/>
          <w:bCs/>
          <w:color w:val="auto"/>
          <w:kern w:val="44"/>
          <w:sz w:val="28"/>
          <w:szCs w:val="28"/>
        </w:rPr>
        <w:t>第八章 投标文件格式</w:t>
      </w:r>
      <w:r>
        <w:rPr>
          <w:rFonts w:hint="eastAsia" w:ascii="宋体" w:cs="宋体"/>
          <w:b/>
          <w:bCs/>
          <w:color w:val="auto"/>
          <w:sz w:val="28"/>
          <w:szCs w:val="28"/>
        </w:rPr>
        <w:tab/>
      </w:r>
      <w:r>
        <w:rPr>
          <w:rFonts w:hint="eastAsia" w:ascii="宋体" w:cs="宋体"/>
          <w:b/>
          <w:bCs/>
          <w:color w:val="auto"/>
          <w:sz w:val="28"/>
          <w:szCs w:val="28"/>
        </w:rPr>
        <w:t>5</w:t>
      </w:r>
      <w:r>
        <w:rPr>
          <w:rFonts w:hint="eastAsia" w:ascii="宋体" w:cs="宋体"/>
          <w:b/>
          <w:bCs/>
          <w:color w:val="auto"/>
          <w:sz w:val="28"/>
          <w:szCs w:val="28"/>
        </w:rPr>
        <w:fldChar w:fldCharType="end"/>
      </w:r>
      <w:r>
        <w:rPr>
          <w:rFonts w:hint="eastAsia" w:ascii="宋体" w:cs="宋体"/>
          <w:b/>
          <w:bCs/>
          <w:color w:val="auto"/>
          <w:sz w:val="28"/>
          <w:szCs w:val="28"/>
        </w:rPr>
        <w:t>1</w:t>
      </w:r>
    </w:p>
    <w:p>
      <w:pPr>
        <w:pStyle w:val="6"/>
        <w:spacing w:line="240" w:lineRule="auto"/>
        <w:rPr>
          <w:rFonts w:ascii="宋体" w:cs="宋体"/>
          <w:b w:val="0"/>
          <w:iCs/>
          <w:caps/>
          <w:color w:val="auto"/>
          <w:sz w:val="21"/>
          <w:szCs w:val="21"/>
        </w:rPr>
      </w:pPr>
      <w:r>
        <w:rPr>
          <w:rFonts w:hint="eastAsia" w:ascii="宋体" w:cs="宋体"/>
          <w:iCs/>
          <w:caps/>
          <w:color w:val="auto"/>
          <w:sz w:val="28"/>
          <w:szCs w:val="28"/>
        </w:rPr>
        <w:fldChar w:fldCharType="end"/>
      </w:r>
    </w:p>
    <w:p>
      <w:pPr>
        <w:pStyle w:val="5"/>
        <w:rPr>
          <w:rFonts w:ascii="宋体" w:cs="宋体"/>
          <w:color w:val="auto"/>
          <w:sz w:val="21"/>
          <w:szCs w:val="21"/>
        </w:rPr>
      </w:pPr>
      <w:bookmarkStart w:id="12" w:name="_Toc246996157"/>
      <w:bookmarkStart w:id="13" w:name="_Toc247085671"/>
      <w:bookmarkStart w:id="14" w:name="_Toc246996900"/>
      <w:bookmarkStart w:id="15" w:name="_Toc247096243"/>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r>
        <w:rPr>
          <w:rFonts w:ascii="宋体" w:cs="宋体"/>
          <w:color w:val="auto"/>
        </w:rPr>
        <w:br w:type="page"/>
      </w:r>
    </w:p>
    <w:p>
      <w:pPr>
        <w:rPr>
          <w:rFonts w:ascii="宋体" w:cs="宋体"/>
          <w:color w:val="auto"/>
        </w:rPr>
      </w:pPr>
    </w:p>
    <w:p>
      <w:pPr>
        <w:autoSpaceDE w:val="0"/>
        <w:autoSpaceDN w:val="0"/>
        <w:adjustRightInd w:val="0"/>
        <w:spacing w:line="360" w:lineRule="auto"/>
        <w:jc w:val="center"/>
        <w:rPr>
          <w:rFonts w:ascii="仿宋" w:hAnsi="仿宋" w:eastAsia="仿宋" w:cs="宋体"/>
          <w:b/>
          <w:bCs/>
          <w:color w:val="auto"/>
          <w:kern w:val="0"/>
          <w:sz w:val="30"/>
          <w:szCs w:val="30"/>
        </w:rPr>
      </w:pPr>
      <w:bookmarkStart w:id="16" w:name="_Hlk33558777"/>
      <w:r>
        <w:rPr>
          <w:rFonts w:hint="eastAsia" w:ascii="仿宋" w:hAnsi="仿宋" w:eastAsia="仿宋" w:cs="宋体"/>
          <w:b/>
          <w:bCs/>
          <w:color w:val="auto"/>
          <w:kern w:val="0"/>
          <w:sz w:val="30"/>
          <w:szCs w:val="30"/>
        </w:rPr>
        <w:t>特 别 提 示</w:t>
      </w:r>
      <w:r>
        <w:rPr>
          <w:rFonts w:ascii="仿宋" w:hAnsi="仿宋" w:eastAsia="仿宋" w:cs="宋体"/>
          <w:b/>
          <w:bCs/>
          <w:color w:val="auto"/>
          <w:kern w:val="0"/>
          <w:sz w:val="30"/>
          <w:szCs w:val="30"/>
        </w:rPr>
        <w:t xml:space="preserve"> </w:t>
      </w:r>
    </w:p>
    <w:p>
      <w:pPr>
        <w:autoSpaceDE w:val="0"/>
        <w:autoSpaceDN w:val="0"/>
        <w:adjustRightInd w:val="0"/>
        <w:spacing w:line="360" w:lineRule="auto"/>
        <w:jc w:val="left"/>
        <w:rPr>
          <w:rFonts w:hint="eastAsia" w:ascii="宋体" w:hAnsi="宋体" w:eastAsia="宋体" w:cs="宋体"/>
          <w:b/>
          <w:color w:val="auto"/>
          <w:kern w:val="0"/>
          <w:szCs w:val="21"/>
        </w:rPr>
      </w:pPr>
      <w:r>
        <w:rPr>
          <w:rFonts w:hint="eastAsia" w:ascii="宋体" w:hAnsi="宋体" w:eastAsia="宋体" w:cs="宋体"/>
          <w:b/>
          <w:color w:val="auto"/>
          <w:kern w:val="0"/>
          <w:szCs w:val="21"/>
        </w:rPr>
        <w:t xml:space="preserve">1、投标文件制作 </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1.1 投标人登录“洛阳市公共资源交易中心”网站，进入【办事指南】-【下载中心】-【操作手册】下载“新点投标文件制作软件”。</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 xml:space="preserve">1.2 投标人凭 CA 锁登录，并按网上提示自行下载招标文件。使用“新点投标文件制作软件”按要求制作电子投标文件。投标人在制作电子投标文件时，应按要求进行电子签章。投标人编辑电子投标文件时，根据招标文件要求用法定代表人CA锁和企业CA锁进行签章制作；最后一步生成电子投标文件（*.lytf格式）时，只能用本单位的企业 CA 锁。联合体投标的，投标文件由联合体牵头人按上述规定进行签章。 </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 xml:space="preserve">1.3 加密的电子投标文件为“洛阳市公共资源交易中心”网站提供的“新点投标文件制作软件”制作生成的加密版投标文件。未加密的电子投标文件应与加密的电子投标文件为同时生成的版本。 </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 xml:space="preserve">1.4 招标文件格式所要求包含的全部资料应全部制作在投标文件内，严格按照本项目招标文件所有格式如实填写（不涉及的内容除外），不应存在漏项或缺项，否则将存在投标被否决的风险。 </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 xml:space="preserve">1.5 投标文件所附证明材料均为原件的扫描件（或照片），尺寸和清晰度应该能够在电脑上被阅读、识别和判断；若投标人未按要求提供证明材料或提供不清晰的扫描件（或照片）的，评标委员会有权认定其投标文件未对招标文件有关要求进行响应。 </w:t>
      </w:r>
    </w:p>
    <w:p>
      <w:pPr>
        <w:autoSpaceDE w:val="0"/>
        <w:autoSpaceDN w:val="0"/>
        <w:adjustRightInd w:val="0"/>
        <w:spacing w:line="360" w:lineRule="auto"/>
        <w:jc w:val="left"/>
        <w:rPr>
          <w:rFonts w:hint="eastAsia" w:ascii="宋体" w:hAnsi="宋体" w:eastAsia="宋体" w:cs="宋体"/>
          <w:b/>
          <w:color w:val="auto"/>
          <w:kern w:val="0"/>
          <w:szCs w:val="21"/>
        </w:rPr>
      </w:pPr>
      <w:r>
        <w:rPr>
          <w:rFonts w:hint="eastAsia" w:ascii="宋体" w:hAnsi="宋体" w:eastAsia="宋体" w:cs="宋体"/>
          <w:b/>
          <w:color w:val="auto"/>
          <w:kern w:val="0"/>
          <w:szCs w:val="21"/>
        </w:rPr>
        <w:t xml:space="preserve">2、投标文件的提交 </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2.1除电子投标文件外，投标时不再接受任何纸质文件、资料等。</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 xml:space="preserve">2.2 投标人应在投标截止时间前上传加密的电子投标文件（*.lytf）到洛阳市电子招投标交易平台指定位置。上传时投标人须使用制作该投标文件的同一CA 锁进行上传操作。请投标人在上传时认真检查上传投标文件是否完整、正确。投标人应充分考虑上传文件时的不可预见因素，未在投标截止时间前完成上传的，视为逾期送达，洛阳市电子招投标交易平台将拒绝接收。上传成功后将得到上传成功的确认。 </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2.3 投标人因洛阳市电子招投标交易平台问题无法上传电子投标文件时，请在工作时间与交易中心联系。</w:t>
      </w:r>
    </w:p>
    <w:p>
      <w:pPr>
        <w:autoSpaceDE w:val="0"/>
        <w:autoSpaceDN w:val="0"/>
        <w:adjustRightInd w:val="0"/>
        <w:spacing w:line="360" w:lineRule="auto"/>
        <w:jc w:val="left"/>
        <w:rPr>
          <w:rFonts w:hint="eastAsia" w:ascii="宋体" w:hAnsi="宋体" w:eastAsia="宋体" w:cs="宋体"/>
          <w:b/>
          <w:color w:val="auto"/>
          <w:kern w:val="0"/>
          <w:szCs w:val="21"/>
        </w:rPr>
      </w:pPr>
      <w:r>
        <w:rPr>
          <w:rFonts w:hint="eastAsia" w:ascii="宋体" w:hAnsi="宋体" w:eastAsia="宋体" w:cs="宋体"/>
          <w:b/>
          <w:color w:val="auto"/>
          <w:kern w:val="0"/>
          <w:szCs w:val="21"/>
        </w:rPr>
        <w:t xml:space="preserve">3、招标文件的澄清、修改 </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 xml:space="preserve">3.1招标文件的澄清、修改将在洛阳市公共资源交易中心网站上发布“变更公告”，如需修改招标文件，则同时在洛阳市电子招投标交易平台发布“答疑文件”（答疑文件指修改后最新的招标文件）。对于各项目中已经成功下载招标文件的投标人，将通过第三方短信群发方式提醒投标人进行查询。各投标人须重新下载最新的“答疑文件”，并以此编制投标文件。如不以最新发布的“答疑文件”编制投标文件，造成投标无效的后果由投标人自己承担。 </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 xml:space="preserve">3.2 因洛阳市电子招投标交易平台在开标前具有保密性，投标人在投标文件递交截止时间前须自行查看项目进展、变更通知、澄清及回复，因投标人未及时查看而造成的后果自负。 </w:t>
      </w:r>
    </w:p>
    <w:p>
      <w:pPr>
        <w:autoSpaceDE w:val="0"/>
        <w:autoSpaceDN w:val="0"/>
        <w:adjustRightInd w:val="0"/>
        <w:spacing w:line="360" w:lineRule="auto"/>
        <w:jc w:val="left"/>
        <w:rPr>
          <w:rFonts w:hint="eastAsia" w:ascii="宋体" w:hAnsi="宋体" w:eastAsia="宋体" w:cs="宋体"/>
          <w:b/>
          <w:color w:val="auto"/>
          <w:kern w:val="0"/>
          <w:szCs w:val="21"/>
        </w:rPr>
      </w:pPr>
      <w:r>
        <w:rPr>
          <w:rFonts w:hint="eastAsia" w:ascii="宋体" w:hAnsi="宋体" w:eastAsia="宋体" w:cs="宋体"/>
          <w:b/>
          <w:color w:val="auto"/>
          <w:kern w:val="0"/>
          <w:szCs w:val="21"/>
        </w:rPr>
        <w:t xml:space="preserve">4、开标 </w:t>
      </w:r>
    </w:p>
    <w:p>
      <w:pPr>
        <w:pStyle w:val="3"/>
        <w:spacing w:after="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4.1本项目采用远程不见面交易的模式。开标当日，招标人在招标文件规定的时间和地点开标，投标人无需到开标现场参加开标会议，投标人应当在投标截止时间前，登录远程开标大厅选择洛阳市公共资源电子招投标系统进行登录（网址为http://t.cn/A6huPROa），在线准时参加开标活动并进行投标文件解密等。因供应商原因未能解密、解密失败或解密超时的将被拒绝。请参照洛阳市公共资源交易中心首页—办事指南—下载中心—操作手册—《洛阳市公共资源交易中心不见面开标大厅操作手册（投标人）》。</w:t>
      </w:r>
    </w:p>
    <w:p>
      <w:pPr>
        <w:pStyle w:val="3"/>
        <w:spacing w:after="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4.2开标时，各投标人应在规定时间内对本单位的投标文件解密。</w:t>
      </w:r>
    </w:p>
    <w:p>
      <w:pPr>
        <w:pStyle w:val="3"/>
        <w:spacing w:after="0" w:line="360" w:lineRule="auto"/>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4.3开标时，招标代理机构将通过洛阳市电子招投标交易平台进行唱标。</w:t>
      </w:r>
    </w:p>
    <w:p>
      <w:pPr>
        <w:autoSpaceDE w:val="0"/>
        <w:autoSpaceDN w:val="0"/>
        <w:adjustRightInd w:val="0"/>
        <w:spacing w:line="360" w:lineRule="auto"/>
        <w:jc w:val="left"/>
        <w:rPr>
          <w:rFonts w:hint="eastAsia" w:ascii="宋体" w:hAnsi="宋体" w:eastAsia="宋体" w:cs="宋体"/>
          <w:b/>
          <w:color w:val="auto"/>
          <w:kern w:val="0"/>
          <w:szCs w:val="21"/>
        </w:rPr>
      </w:pPr>
      <w:r>
        <w:rPr>
          <w:rFonts w:hint="eastAsia" w:ascii="宋体" w:hAnsi="宋体" w:eastAsia="宋体" w:cs="宋体"/>
          <w:b/>
          <w:color w:val="auto"/>
          <w:kern w:val="0"/>
          <w:szCs w:val="21"/>
        </w:rPr>
        <w:t>5、开标异常处理</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当出现以下情况时，应对未开标的中止电子开标，对原有资料及信息作出妥善保密处理，并在恢复正常后及时安排时间开标：</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（1）系统服务器发生故障，无法访问或无法使用系统；</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（2）系统的软件或数据库出现错误，不能进行正常操作；</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（3）系统发现有安全漏洞，有潜在的泄密危险；</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（4）出现断电事故且短时间内无法恢复供电；</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r>
        <w:rPr>
          <w:rFonts w:hint="eastAsia" w:ascii="宋体" w:hAnsi="宋体" w:eastAsia="宋体" w:cs="宋体"/>
          <w:color w:val="auto"/>
          <w:kern w:val="0"/>
          <w:szCs w:val="21"/>
        </w:rPr>
        <w:t>（5）其他无法保证招投标过程正常进行的情形。</w:t>
      </w:r>
    </w:p>
    <w:p>
      <w:pPr>
        <w:autoSpaceDE w:val="0"/>
        <w:autoSpaceDN w:val="0"/>
        <w:adjustRightInd w:val="0"/>
        <w:spacing w:line="360" w:lineRule="auto"/>
        <w:ind w:firstLine="420" w:firstLineChars="200"/>
        <w:jc w:val="left"/>
        <w:rPr>
          <w:rFonts w:hint="eastAsia" w:ascii="宋体" w:hAnsi="宋体" w:eastAsia="宋体" w:cs="宋体"/>
          <w:color w:val="auto"/>
          <w:kern w:val="0"/>
          <w:szCs w:val="21"/>
        </w:rPr>
      </w:pPr>
    </w:p>
    <w:bookmarkEnd w:id="16"/>
    <w:p>
      <w:pPr>
        <w:rPr>
          <w:rFonts w:hint="eastAsia" w:ascii="宋体" w:hAnsi="宋体" w:eastAsia="宋体" w:cs="宋体"/>
          <w:color w:val="auto"/>
        </w:rPr>
        <w:sectPr>
          <w:headerReference r:id="rId3" w:type="default"/>
          <w:footerReference r:id="rId4" w:type="default"/>
          <w:pgSz w:w="11906" w:h="16838"/>
          <w:pgMar w:top="1440" w:right="1800" w:bottom="1440" w:left="1800" w:header="851" w:footer="992" w:gutter="0"/>
          <w:pgNumType w:start="1"/>
          <w:cols w:space="720" w:num="1"/>
          <w:docGrid w:type="lines" w:linePitch="312" w:charSpace="0"/>
        </w:sectPr>
      </w:pPr>
    </w:p>
    <w:bookmarkEnd w:id="8"/>
    <w:bookmarkEnd w:id="9"/>
    <w:bookmarkEnd w:id="10"/>
    <w:bookmarkEnd w:id="11"/>
    <w:bookmarkEnd w:id="12"/>
    <w:bookmarkEnd w:id="13"/>
    <w:bookmarkEnd w:id="14"/>
    <w:bookmarkEnd w:id="15"/>
    <w:p>
      <w:pPr>
        <w:numPr>
          <w:ilvl w:val="0"/>
          <w:numId w:val="1"/>
        </w:numPr>
        <w:spacing w:line="360" w:lineRule="auto"/>
        <w:jc w:val="center"/>
        <w:rPr>
          <w:rFonts w:ascii="宋体" w:cs="宋体"/>
          <w:b/>
          <w:bCs/>
          <w:color w:val="auto"/>
          <w:kern w:val="44"/>
          <w:sz w:val="36"/>
          <w:szCs w:val="36"/>
        </w:rPr>
      </w:pPr>
      <w:bookmarkStart w:id="17" w:name="_Toc27092"/>
      <w:bookmarkStart w:id="18" w:name="_Toc6497"/>
      <w:bookmarkStart w:id="19" w:name="_Toc144974495"/>
      <w:bookmarkStart w:id="20" w:name="_Toc247085687"/>
      <w:bookmarkStart w:id="21" w:name="_Toc152045527"/>
      <w:bookmarkStart w:id="22" w:name="_Toc246996916"/>
      <w:bookmarkStart w:id="23" w:name="_Toc152042303"/>
      <w:bookmarkStart w:id="24" w:name="_Toc179632544"/>
      <w:bookmarkStart w:id="25" w:name="_Toc246996173"/>
      <w:r>
        <w:rPr>
          <w:rFonts w:hint="eastAsia" w:ascii="宋体" w:cs="宋体"/>
          <w:b/>
          <w:bCs/>
          <w:color w:val="auto"/>
          <w:kern w:val="44"/>
          <w:sz w:val="36"/>
          <w:szCs w:val="36"/>
        </w:rPr>
        <w:t>招标公告</w:t>
      </w:r>
    </w:p>
    <w:bookmarkEnd w:id="17"/>
    <w:bookmarkEnd w:id="18"/>
    <w:p>
      <w:pPr>
        <w:spacing w:line="360" w:lineRule="auto"/>
        <w:jc w:val="center"/>
        <w:rPr>
          <w:rFonts w:hint="eastAsia" w:ascii="宋体" w:hAnsi="宋体" w:eastAsia="宋体" w:cs="宋体"/>
          <w:b/>
          <w:bCs/>
          <w:color w:val="auto"/>
          <w:sz w:val="28"/>
          <w:szCs w:val="28"/>
          <w:lang w:eastAsia="zh-CN"/>
        </w:rPr>
      </w:pPr>
      <w:r>
        <w:rPr>
          <w:rFonts w:hint="eastAsia" w:ascii="宋体" w:hAnsi="宋体" w:cs="宋体"/>
          <w:b/>
          <w:bCs/>
          <w:color w:val="auto"/>
          <w:sz w:val="28"/>
          <w:szCs w:val="28"/>
          <w:lang w:eastAsia="zh-CN"/>
        </w:rPr>
        <w:t>洛阳市涧西区豫北二路（中州西路-景华路）提升改造工程</w:t>
      </w:r>
    </w:p>
    <w:p>
      <w:pPr>
        <w:spacing w:line="360" w:lineRule="auto"/>
        <w:jc w:val="center"/>
        <w:rPr>
          <w:rFonts w:ascii="宋体" w:cs="宋体"/>
          <w:color w:val="auto"/>
          <w:sz w:val="28"/>
          <w:szCs w:val="28"/>
        </w:rPr>
      </w:pPr>
      <w:r>
        <w:rPr>
          <w:rFonts w:ascii="宋体" w:hAnsi="宋体" w:cs="宋体"/>
          <w:b/>
          <w:bCs/>
          <w:color w:val="auto"/>
          <w:sz w:val="28"/>
          <w:szCs w:val="28"/>
        </w:rPr>
        <w:t>招标公告</w:t>
      </w:r>
    </w:p>
    <w:p>
      <w:pPr>
        <w:pStyle w:val="16"/>
        <w:shd w:val="clear" w:color="auto" w:fill="FFFFFF"/>
        <w:spacing w:before="120" w:beforeLines="50" w:beforeAutospacing="0" w:after="120" w:afterLines="50" w:afterAutospacing="0" w:line="360" w:lineRule="auto"/>
        <w:ind w:firstLine="482" w:firstLineChars="200"/>
        <w:rPr>
          <w:b/>
          <w:bCs/>
          <w:color w:val="auto"/>
        </w:rPr>
      </w:pPr>
      <w:r>
        <w:rPr>
          <w:rFonts w:hint="eastAsia"/>
          <w:b/>
          <w:bCs/>
          <w:color w:val="auto"/>
        </w:rPr>
        <w:t>一、</w:t>
      </w:r>
      <w:r>
        <w:rPr>
          <w:rFonts w:hint="eastAsia"/>
          <w:b/>
          <w:bCs/>
          <w:color w:val="auto"/>
          <w:lang w:eastAsia="zh-CN"/>
        </w:rPr>
        <w:t>招标条件</w:t>
      </w:r>
    </w:p>
    <w:p>
      <w:pPr>
        <w:pStyle w:val="16"/>
        <w:shd w:val="clear" w:color="auto" w:fill="FFFFFF"/>
        <w:spacing w:before="0" w:beforeAutospacing="0" w:after="0" w:afterAutospacing="0" w:line="360" w:lineRule="auto"/>
        <w:ind w:firstLine="480" w:firstLineChars="200"/>
        <w:rPr>
          <w:rFonts w:hint="eastAsia" w:eastAsia="宋体"/>
          <w:color w:val="auto"/>
          <w:lang w:eastAsia="zh-CN"/>
        </w:rPr>
      </w:pPr>
      <w:r>
        <w:rPr>
          <w:rFonts w:hint="eastAsia" w:eastAsia="宋体"/>
          <w:color w:val="auto"/>
          <w:lang w:eastAsia="zh-CN"/>
        </w:rPr>
        <w:t>洛阳市涧西区豫北二路（中州西路-景华路）提升改造工程已由相关部门批准建设，该项目已具备招标条件。河南达诺工程咨询服务有限公司受洛阳市涧西区住房和城乡建设局的委托,就洛阳市涧西区豫北二路（中州西路-景华路）提升改造工程进行公开招标，欢迎符合相关条件的投标人参加投标。</w:t>
      </w:r>
    </w:p>
    <w:p>
      <w:pPr>
        <w:pStyle w:val="16"/>
        <w:shd w:val="clear" w:color="auto" w:fill="FFFFFF"/>
        <w:spacing w:before="120" w:beforeLines="50" w:beforeAutospacing="0" w:after="120" w:afterLines="50" w:afterAutospacing="0" w:line="360" w:lineRule="auto"/>
        <w:ind w:firstLine="482" w:firstLineChars="200"/>
        <w:rPr>
          <w:rFonts w:hint="eastAsia" w:eastAsia="宋体"/>
          <w:b/>
          <w:bCs/>
          <w:color w:val="auto"/>
          <w:lang w:eastAsia="zh-CN"/>
        </w:rPr>
      </w:pPr>
      <w:r>
        <w:rPr>
          <w:rFonts w:hint="eastAsia"/>
          <w:b/>
          <w:bCs/>
          <w:color w:val="auto"/>
          <w:lang w:eastAsia="zh-CN"/>
        </w:rPr>
        <w:t>二</w:t>
      </w:r>
      <w:r>
        <w:rPr>
          <w:rFonts w:hint="eastAsia"/>
          <w:b/>
          <w:bCs/>
          <w:color w:val="auto"/>
        </w:rPr>
        <w:t>、项目</w:t>
      </w:r>
      <w:r>
        <w:rPr>
          <w:rFonts w:hint="eastAsia"/>
          <w:b/>
          <w:bCs/>
          <w:color w:val="auto"/>
          <w:lang w:eastAsia="zh-CN"/>
        </w:rPr>
        <w:t>概况与招标范围</w:t>
      </w:r>
    </w:p>
    <w:p>
      <w:pPr>
        <w:pStyle w:val="16"/>
        <w:shd w:val="clear" w:color="auto" w:fill="FFFFFF"/>
        <w:spacing w:before="0" w:beforeAutospacing="0" w:after="0" w:afterAutospacing="0" w:line="360" w:lineRule="auto"/>
        <w:ind w:firstLine="480" w:firstLineChars="200"/>
        <w:rPr>
          <w:rFonts w:hint="eastAsia" w:eastAsia="宋体"/>
          <w:color w:val="auto"/>
          <w:lang w:eastAsia="zh-CN"/>
        </w:rPr>
      </w:pPr>
      <w:r>
        <w:rPr>
          <w:rFonts w:hint="eastAsia"/>
          <w:color w:val="auto"/>
        </w:rPr>
        <w:t>1、项目编号：涧西工施招标(2022)0031号；</w:t>
      </w:r>
      <w:r>
        <w:rPr>
          <w:color w:val="auto"/>
        </w:rPr>
        <w:t>政府采购管理部门备案编号</w:t>
      </w:r>
      <w:r>
        <w:rPr>
          <w:rFonts w:hint="eastAsia"/>
          <w:color w:val="auto"/>
        </w:rPr>
        <w:t>：</w:t>
      </w:r>
      <w:r>
        <w:rPr>
          <w:rFonts w:hint="eastAsia"/>
          <w:color w:val="auto"/>
          <w:lang w:eastAsia="zh-CN"/>
        </w:rPr>
        <w:t>洛涧公开-2022-18</w:t>
      </w:r>
    </w:p>
    <w:p>
      <w:pPr>
        <w:pStyle w:val="16"/>
        <w:shd w:val="clear" w:color="auto" w:fill="FFFFFF"/>
        <w:tabs>
          <w:tab w:val="left" w:pos="6720"/>
        </w:tabs>
        <w:spacing w:before="0" w:beforeAutospacing="0" w:after="0" w:afterAutospacing="0" w:line="360" w:lineRule="auto"/>
        <w:ind w:firstLine="480" w:firstLineChars="200"/>
        <w:rPr>
          <w:color w:val="auto"/>
        </w:rPr>
      </w:pPr>
      <w:r>
        <w:rPr>
          <w:rFonts w:hint="eastAsia"/>
          <w:color w:val="auto"/>
          <w:lang w:val="en-US" w:eastAsia="zh-CN"/>
        </w:rPr>
        <w:t>2</w:t>
      </w:r>
      <w:r>
        <w:rPr>
          <w:rFonts w:hint="eastAsia"/>
          <w:color w:val="auto"/>
        </w:rPr>
        <w:t>、项目名称：</w:t>
      </w:r>
      <w:r>
        <w:rPr>
          <w:rFonts w:hint="eastAsia"/>
          <w:bCs/>
          <w:color w:val="auto"/>
          <w:lang w:eastAsia="zh-CN"/>
        </w:rPr>
        <w:t>洛阳市涧西区豫北二路（中州西路-景华路）提升改造工程</w:t>
      </w:r>
      <w:r>
        <w:rPr>
          <w:rFonts w:hint="eastAsia"/>
          <w:color w:val="auto"/>
        </w:rPr>
        <w:t>；</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lang w:val="en-US" w:eastAsia="zh-CN"/>
        </w:rPr>
        <w:t>3</w:t>
      </w:r>
      <w:r>
        <w:rPr>
          <w:rFonts w:hint="eastAsia"/>
          <w:color w:val="auto"/>
        </w:rPr>
        <w:t>、采购方式：公开招标；</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lang w:val="en-US" w:eastAsia="zh-CN"/>
        </w:rPr>
        <w:t>4</w:t>
      </w:r>
      <w:r>
        <w:rPr>
          <w:rFonts w:hint="eastAsia"/>
          <w:color w:val="auto"/>
        </w:rPr>
        <w:t>、招标控制价：</w:t>
      </w:r>
      <w:r>
        <w:rPr>
          <w:rFonts w:hint="eastAsia"/>
          <w:color w:val="auto"/>
          <w:lang w:eastAsia="zh-CN"/>
        </w:rPr>
        <w:t>7218495.42</w:t>
      </w:r>
      <w:r>
        <w:rPr>
          <w:rFonts w:hint="eastAsia"/>
          <w:color w:val="auto"/>
        </w:rPr>
        <w:t>元；</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5、招标需求：（包括但不限于标的的名称、数量、简要技术需求或服务要求等）。</w:t>
      </w:r>
    </w:p>
    <w:p>
      <w:pPr>
        <w:pStyle w:val="16"/>
        <w:shd w:val="clear" w:color="auto" w:fill="FFFFFF"/>
        <w:spacing w:before="0" w:beforeAutospacing="0" w:after="0" w:afterAutospacing="0" w:line="360" w:lineRule="auto"/>
        <w:ind w:firstLine="480" w:firstLineChars="200"/>
        <w:rPr>
          <w:rFonts w:hint="eastAsia"/>
          <w:bCs/>
          <w:color w:val="auto"/>
          <w:lang w:val="en-US" w:eastAsia="zh-CN"/>
        </w:rPr>
      </w:pPr>
      <w:r>
        <w:rPr>
          <w:rFonts w:hint="eastAsia"/>
          <w:color w:val="auto"/>
        </w:rPr>
        <w:t>5.1项目概况：</w:t>
      </w:r>
      <w:r>
        <w:rPr>
          <w:rFonts w:hint="eastAsia"/>
          <w:color w:val="auto"/>
          <w:lang w:eastAsia="zh-CN"/>
        </w:rPr>
        <w:t>本工程为</w:t>
      </w:r>
      <w:r>
        <w:rPr>
          <w:rFonts w:hint="eastAsia"/>
          <w:bCs/>
          <w:color w:val="auto"/>
          <w:lang w:eastAsia="zh-CN"/>
        </w:rPr>
        <w:t>洛阳市涧西区豫北二路（中州西路-景华路）提升改造工程。建设地点：洛阳市涧西区；建设单位：洛阳市涧西区住房和城乡建设局；豫北二路北起中州西路，南至景华路，设计长度</w:t>
      </w:r>
      <w:r>
        <w:rPr>
          <w:rFonts w:hint="eastAsia"/>
          <w:bCs/>
          <w:color w:val="auto"/>
          <w:lang w:val="en-US" w:eastAsia="zh-CN"/>
        </w:rPr>
        <w:t>429.961m，道路红线宽度25m，道路等级为城市支路，设计速度为30km/h。</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5.2工期：</w:t>
      </w:r>
      <w:r>
        <w:rPr>
          <w:rFonts w:hint="eastAsia"/>
          <w:color w:val="auto"/>
          <w:lang w:val="en-US" w:eastAsia="zh-CN"/>
        </w:rPr>
        <w:t>100</w:t>
      </w:r>
      <w:r>
        <w:rPr>
          <w:rFonts w:hint="eastAsia"/>
          <w:color w:val="auto"/>
        </w:rPr>
        <w:t>日历天；</w:t>
      </w:r>
    </w:p>
    <w:p>
      <w:pPr>
        <w:pStyle w:val="16"/>
        <w:shd w:val="clear" w:color="auto" w:fill="FFFFFF"/>
        <w:spacing w:before="0" w:beforeAutospacing="0" w:after="0" w:afterAutospacing="0" w:line="360" w:lineRule="auto"/>
        <w:ind w:firstLine="480" w:firstLineChars="200"/>
        <w:rPr>
          <w:color w:val="auto"/>
        </w:rPr>
      </w:pPr>
      <w:r>
        <w:rPr>
          <w:rFonts w:hint="eastAsia"/>
          <w:color w:val="auto"/>
        </w:rPr>
        <w:t>5.</w:t>
      </w:r>
      <w:r>
        <w:rPr>
          <w:rFonts w:hint="eastAsia"/>
          <w:color w:val="auto"/>
          <w:lang w:val="en-US" w:eastAsia="zh-CN"/>
        </w:rPr>
        <w:t>3</w:t>
      </w:r>
      <w:r>
        <w:rPr>
          <w:rFonts w:hint="eastAsia"/>
          <w:color w:val="auto"/>
        </w:rPr>
        <w:t>质量标准：符合国家质量验收备案合格标准；</w:t>
      </w:r>
    </w:p>
    <w:p>
      <w:pPr>
        <w:pStyle w:val="16"/>
        <w:shd w:val="clear" w:color="auto" w:fill="FFFFFF"/>
        <w:spacing w:before="0" w:beforeAutospacing="0" w:after="0" w:afterAutospacing="0" w:line="360" w:lineRule="auto"/>
        <w:ind w:firstLine="480" w:firstLineChars="200"/>
        <w:rPr>
          <w:color w:val="auto"/>
        </w:rPr>
      </w:pPr>
      <w:r>
        <w:rPr>
          <w:rFonts w:hint="eastAsia"/>
          <w:color w:val="auto"/>
        </w:rPr>
        <w:t>5.</w:t>
      </w:r>
      <w:r>
        <w:rPr>
          <w:rFonts w:hint="eastAsia"/>
          <w:color w:val="auto"/>
          <w:lang w:val="en-US" w:eastAsia="zh-CN"/>
        </w:rPr>
        <w:t>4</w:t>
      </w:r>
      <w:r>
        <w:rPr>
          <w:rFonts w:hint="eastAsia"/>
          <w:color w:val="auto"/>
        </w:rPr>
        <w:t>安全目标</w:t>
      </w:r>
      <w:r>
        <w:rPr>
          <w:rFonts w:hint="eastAsia"/>
          <w:color w:val="auto"/>
          <w:lang w:eastAsia="zh-CN"/>
        </w:rPr>
        <w:t>：</w:t>
      </w:r>
      <w:r>
        <w:rPr>
          <w:rFonts w:hint="eastAsia"/>
          <w:color w:val="auto"/>
        </w:rPr>
        <w:t>杜绝死亡、重伤事故；</w:t>
      </w:r>
    </w:p>
    <w:p>
      <w:pPr>
        <w:pStyle w:val="16"/>
        <w:shd w:val="clear" w:color="auto" w:fill="FFFFFF"/>
        <w:spacing w:before="0" w:beforeAutospacing="0" w:after="0" w:afterAutospacing="0" w:line="360" w:lineRule="auto"/>
        <w:ind w:firstLine="480" w:firstLineChars="200"/>
        <w:rPr>
          <w:color w:val="auto"/>
        </w:rPr>
      </w:pPr>
      <w:r>
        <w:rPr>
          <w:rFonts w:hint="eastAsia"/>
          <w:color w:val="auto"/>
        </w:rPr>
        <w:t>5.</w:t>
      </w:r>
      <w:r>
        <w:rPr>
          <w:rFonts w:hint="eastAsia"/>
          <w:color w:val="auto"/>
          <w:lang w:val="en-US" w:eastAsia="zh-CN"/>
        </w:rPr>
        <w:t>5</w:t>
      </w:r>
      <w:r>
        <w:rPr>
          <w:color w:val="auto"/>
        </w:rPr>
        <w:t>文明工地目标</w:t>
      </w:r>
      <w:r>
        <w:rPr>
          <w:rFonts w:hint="eastAsia"/>
          <w:color w:val="auto"/>
        </w:rPr>
        <w:t>：</w:t>
      </w:r>
      <w:r>
        <w:rPr>
          <w:color w:val="auto"/>
        </w:rPr>
        <w:t>市级文明工地</w:t>
      </w:r>
      <w:r>
        <w:rPr>
          <w:rFonts w:hint="eastAsia"/>
          <w:color w:val="auto"/>
        </w:rPr>
        <w:t>；</w:t>
      </w:r>
    </w:p>
    <w:p>
      <w:pPr>
        <w:pStyle w:val="16"/>
        <w:shd w:val="clear" w:color="auto" w:fill="FFFFFF"/>
        <w:spacing w:before="0" w:beforeAutospacing="0" w:after="0" w:afterAutospacing="0" w:line="360" w:lineRule="auto"/>
        <w:ind w:firstLine="480" w:firstLineChars="200"/>
        <w:rPr>
          <w:color w:val="auto"/>
        </w:rPr>
      </w:pPr>
      <w:r>
        <w:rPr>
          <w:rFonts w:hint="eastAsia"/>
          <w:color w:val="auto"/>
        </w:rPr>
        <w:t>5.</w:t>
      </w:r>
      <w:r>
        <w:rPr>
          <w:rFonts w:hint="eastAsia"/>
          <w:color w:val="auto"/>
          <w:lang w:val="en-US" w:eastAsia="zh-CN"/>
        </w:rPr>
        <w:t>6</w:t>
      </w:r>
      <w:r>
        <w:rPr>
          <w:rFonts w:hint="eastAsia"/>
          <w:color w:val="auto"/>
        </w:rPr>
        <w:t>扬尘防治目标：严格按照国家、省、市扬尘污染防治标准及各项扬尘管控指令，做到达标生产；</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5.</w:t>
      </w:r>
      <w:r>
        <w:rPr>
          <w:rFonts w:hint="eastAsia"/>
          <w:color w:val="auto"/>
          <w:lang w:val="en-US" w:eastAsia="zh-CN"/>
        </w:rPr>
        <w:t>7</w:t>
      </w:r>
      <w:r>
        <w:rPr>
          <w:rFonts w:hint="eastAsia"/>
          <w:color w:val="auto"/>
        </w:rPr>
        <w:t>招标范围：本项目施工图纸、工程量清单及招标文件范围内的全部内容；</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6.合同履行期限：</w:t>
      </w:r>
      <w:r>
        <w:rPr>
          <w:rFonts w:hint="eastAsia"/>
          <w:color w:val="auto"/>
          <w:lang w:val="en-US" w:eastAsia="zh-CN"/>
        </w:rPr>
        <w:t>100</w:t>
      </w:r>
      <w:r>
        <w:rPr>
          <w:rFonts w:hint="eastAsia"/>
          <w:color w:val="auto"/>
        </w:rPr>
        <w:t>日历天；</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7.标段划分：本项目共一个标段；</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8.</w:t>
      </w:r>
      <w:r>
        <w:rPr>
          <w:rStyle w:val="44"/>
          <w:rFonts w:ascii="宋体" w:hAnsi="宋体"/>
          <w:b w:val="0"/>
          <w:i w:val="0"/>
          <w:caps w:val="0"/>
          <w:color w:val="auto"/>
          <w:spacing w:val="14"/>
          <w:w w:val="100"/>
          <w:kern w:val="0"/>
          <w:sz w:val="24"/>
          <w:szCs w:val="24"/>
          <w:lang w:val="en-US" w:eastAsia="zh-CN" w:bidi="ar-SA"/>
        </w:rPr>
        <w:t>落实政府采购政策需满足的资格要求：支持中小微企业、监狱企业及残疾人企业；</w:t>
      </w:r>
    </w:p>
    <w:p>
      <w:pPr>
        <w:pStyle w:val="16"/>
        <w:shd w:val="clear" w:color="auto" w:fill="FFFFFF"/>
        <w:spacing w:before="0" w:beforeAutospacing="0" w:after="0" w:afterAutospacing="0" w:line="360" w:lineRule="auto"/>
        <w:ind w:firstLine="480" w:firstLineChars="200"/>
        <w:rPr>
          <w:color w:val="auto"/>
        </w:rPr>
      </w:pPr>
      <w:r>
        <w:rPr>
          <w:rFonts w:hint="eastAsia"/>
          <w:color w:val="auto"/>
          <w:lang w:val="en-US" w:eastAsia="zh-CN"/>
        </w:rPr>
        <w:t>9.</w:t>
      </w:r>
      <w:r>
        <w:rPr>
          <w:rFonts w:hint="eastAsia"/>
          <w:color w:val="auto"/>
        </w:rPr>
        <w:t>本项目不接受联合体。</w:t>
      </w:r>
    </w:p>
    <w:p>
      <w:pPr>
        <w:pStyle w:val="16"/>
        <w:shd w:val="clear" w:color="auto" w:fill="FFFFFF"/>
        <w:spacing w:before="120" w:beforeLines="50" w:beforeAutospacing="0" w:after="120" w:afterLines="50" w:afterAutospacing="0" w:line="360" w:lineRule="auto"/>
        <w:ind w:firstLine="482" w:firstLineChars="200"/>
        <w:rPr>
          <w:b/>
          <w:bCs/>
          <w:color w:val="auto"/>
        </w:rPr>
      </w:pPr>
      <w:r>
        <w:rPr>
          <w:rFonts w:hint="eastAsia"/>
          <w:b/>
          <w:bCs/>
          <w:color w:val="auto"/>
          <w:lang w:eastAsia="zh-CN"/>
        </w:rPr>
        <w:t>三</w:t>
      </w:r>
      <w:r>
        <w:rPr>
          <w:rFonts w:hint="eastAsia"/>
          <w:b/>
          <w:bCs/>
          <w:color w:val="auto"/>
        </w:rPr>
        <w:t>、</w:t>
      </w:r>
      <w:r>
        <w:rPr>
          <w:rFonts w:hint="eastAsia"/>
          <w:b/>
          <w:bCs/>
          <w:color w:val="auto"/>
          <w:lang w:eastAsia="zh-CN"/>
        </w:rPr>
        <w:t>投标人</w:t>
      </w:r>
      <w:r>
        <w:rPr>
          <w:rFonts w:hint="eastAsia"/>
          <w:b/>
          <w:bCs/>
          <w:color w:val="auto"/>
        </w:rPr>
        <w:t>资格要求</w:t>
      </w:r>
    </w:p>
    <w:p>
      <w:pPr>
        <w:pStyle w:val="16"/>
        <w:shd w:val="clear" w:color="auto" w:fill="FFFFFF"/>
        <w:spacing w:before="0" w:beforeAutospacing="0" w:after="0" w:afterAutospacing="0" w:line="360" w:lineRule="auto"/>
        <w:ind w:firstLine="480" w:firstLineChars="200"/>
        <w:rPr>
          <w:color w:val="auto"/>
        </w:rPr>
      </w:pPr>
      <w:r>
        <w:rPr>
          <w:rFonts w:hint="eastAsia"/>
          <w:color w:val="auto"/>
        </w:rPr>
        <w:t>1、</w:t>
      </w:r>
      <w:r>
        <w:rPr>
          <w:rFonts w:hint="eastAsia" w:eastAsia="宋体"/>
          <w:color w:val="auto"/>
          <w:lang w:val="en-US" w:eastAsia="zh-CN"/>
        </w:rPr>
        <w:t>投标人应具有独立承担民事责任的能力，具有有效的营业执照或事业单位法人证书</w:t>
      </w:r>
      <w:r>
        <w:rPr>
          <w:rFonts w:hint="eastAsia"/>
          <w:color w:val="auto"/>
        </w:rPr>
        <w:t>；</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2</w:t>
      </w:r>
      <w:r>
        <w:rPr>
          <w:rFonts w:hint="eastAsia"/>
          <w:color w:val="auto"/>
          <w:lang w:eastAsia="zh-CN"/>
        </w:rPr>
        <w:t>、</w:t>
      </w:r>
      <w:r>
        <w:rPr>
          <w:rFonts w:hint="eastAsia"/>
          <w:color w:val="auto"/>
        </w:rPr>
        <w:t>投标人须具有建设行政主管部门核发的市政公用工程施工总承包叁级（含）及以上资质证书，并持有有效的安全生产许可证；</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lang w:val="en-US" w:eastAsia="zh-CN"/>
        </w:rPr>
        <w:t>3、</w:t>
      </w:r>
      <w:r>
        <w:rPr>
          <w:rFonts w:hint="eastAsia"/>
          <w:color w:val="auto"/>
        </w:rPr>
        <w:t>投标人拟派项目经理须具备市政公用工程贰级（含）以上</w:t>
      </w:r>
      <w:r>
        <w:rPr>
          <w:rFonts w:hint="eastAsia"/>
          <w:color w:val="auto"/>
          <w:lang w:eastAsia="zh-CN"/>
        </w:rPr>
        <w:t>注册</w:t>
      </w:r>
      <w:r>
        <w:rPr>
          <w:rFonts w:hint="eastAsia"/>
          <w:color w:val="auto"/>
        </w:rPr>
        <w:t>建造师资格（不含临时）</w:t>
      </w:r>
      <w:r>
        <w:rPr>
          <w:rFonts w:hint="eastAsia"/>
          <w:color w:val="auto"/>
          <w:lang w:eastAsia="zh-CN"/>
        </w:rPr>
        <w:t>，并</w:t>
      </w:r>
      <w:r>
        <w:rPr>
          <w:rFonts w:hint="eastAsia"/>
          <w:color w:val="auto"/>
        </w:rPr>
        <w:t>具有有效的安全生产考核合格证，须提供相关证书原件扫描件，且无在建项目（出具由法定代表人及项目经理本人亲笔签署的加盖单位公章的承诺书</w:t>
      </w:r>
      <w:r>
        <w:rPr>
          <w:rFonts w:hint="eastAsia"/>
          <w:color w:val="auto"/>
          <w:lang w:eastAsia="zh-CN"/>
        </w:rPr>
        <w:t>，格式自拟</w:t>
      </w:r>
      <w:r>
        <w:rPr>
          <w:rFonts w:hint="eastAsia"/>
          <w:color w:val="auto"/>
        </w:rPr>
        <w:t>）；</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lang w:val="en-US" w:eastAsia="zh-CN"/>
        </w:rPr>
        <w:t>4、</w:t>
      </w:r>
      <w:r>
        <w:rPr>
          <w:rFonts w:hint="eastAsia"/>
          <w:color w:val="auto"/>
        </w:rPr>
        <w:t>技术负责人应具备中级以上（含）相关专业职称。（须提供所报技术负责人的相关证书原件扫描件，否则其将不被接受，投标人所提供的相关证书为投标人本单位人员；若为聘用人员，须</w:t>
      </w:r>
      <w:r>
        <w:rPr>
          <w:rFonts w:hint="eastAsia"/>
          <w:color w:val="auto"/>
          <w:lang w:eastAsia="zh-CN"/>
        </w:rPr>
        <w:t>提供</w:t>
      </w:r>
      <w:r>
        <w:rPr>
          <w:rFonts w:hint="eastAsia"/>
          <w:color w:val="auto"/>
        </w:rPr>
        <w:t>聘书或聘用合同原件扫描件，否则其投标不被接受）；</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lang w:val="en-US" w:eastAsia="zh-CN"/>
        </w:rPr>
        <w:t>5、</w:t>
      </w:r>
      <w:r>
        <w:rPr>
          <w:rFonts w:hint="eastAsia"/>
          <w:color w:val="auto"/>
        </w:rPr>
        <w:t>在项目建设期间，未经甲方允许项目经理与技术负责人不得更换，且不得离开洛阳本地（如有特殊原因，需提前上报甲方）。</w:t>
      </w:r>
      <w:r>
        <w:rPr>
          <w:rFonts w:hint="eastAsia"/>
          <w:color w:val="auto"/>
          <w:lang w:val="en-US" w:eastAsia="zh-CN"/>
        </w:rPr>
        <w:t xml:space="preserve"> </w:t>
      </w:r>
      <w:r>
        <w:rPr>
          <w:rFonts w:hint="eastAsia"/>
          <w:color w:val="auto"/>
        </w:rPr>
        <w:t>项目一旦中标，在项目建设期间，项目经理与技术负责人每天必须到现场，若累计三次不到场，将被列入失信名单，上报相关部门处理（投标文件中须出具对以上内容的承诺书，格式自拟）；</w:t>
      </w:r>
    </w:p>
    <w:p>
      <w:pPr>
        <w:pStyle w:val="16"/>
        <w:shd w:val="clear" w:color="auto" w:fill="FFFFFF"/>
        <w:spacing w:before="0" w:beforeAutospacing="0" w:after="0" w:afterAutospacing="0" w:line="360" w:lineRule="auto"/>
        <w:ind w:firstLine="480" w:firstLineChars="200"/>
        <w:rPr>
          <w:color w:val="auto"/>
        </w:rPr>
      </w:pPr>
      <w:r>
        <w:rPr>
          <w:rFonts w:hint="eastAsia"/>
          <w:color w:val="auto"/>
          <w:lang w:val="en-US" w:eastAsia="zh-CN"/>
        </w:rPr>
        <w:t>6、</w:t>
      </w:r>
      <w:r>
        <w:rPr>
          <w:rFonts w:hint="eastAsia"/>
          <w:color w:val="auto"/>
        </w:rPr>
        <w:t>投标人须提供2020年度</w:t>
      </w:r>
      <w:r>
        <w:rPr>
          <w:rFonts w:hint="eastAsia"/>
          <w:color w:val="auto"/>
          <w:lang w:eastAsia="zh-CN"/>
        </w:rPr>
        <w:t>或</w:t>
      </w:r>
      <w:r>
        <w:rPr>
          <w:rFonts w:hint="eastAsia"/>
          <w:color w:val="auto"/>
          <w:lang w:val="en-US" w:eastAsia="zh-CN"/>
        </w:rPr>
        <w:t>2021年度</w:t>
      </w:r>
      <w:r>
        <w:rPr>
          <w:rFonts w:hint="eastAsia"/>
          <w:color w:val="auto"/>
        </w:rPr>
        <w:t>的经第三方审计机构出具的审计报告：包括经第三方审计机构出具的审计报告和经审计的财务报表(包含资产负债表、利润表、现金流量表和财务报表附注)。投标人成立不满的一年的提供自成立之日以来的财务报表；</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lang w:val="en-US" w:eastAsia="zh-CN"/>
        </w:rPr>
        <w:t>7、</w:t>
      </w:r>
      <w:r>
        <w:rPr>
          <w:rFonts w:hint="eastAsia"/>
          <w:color w:val="auto"/>
        </w:rPr>
        <w:t>投标人须提供202</w:t>
      </w:r>
      <w:r>
        <w:rPr>
          <w:rFonts w:hint="eastAsia"/>
          <w:color w:val="auto"/>
          <w:lang w:val="en-US" w:eastAsia="zh-CN"/>
        </w:rPr>
        <w:t>1</w:t>
      </w:r>
      <w:r>
        <w:rPr>
          <w:rFonts w:hint="eastAsia"/>
          <w:color w:val="auto"/>
        </w:rPr>
        <w:t>年</w:t>
      </w:r>
      <w:r>
        <w:rPr>
          <w:rFonts w:hint="eastAsia"/>
          <w:color w:val="auto"/>
          <w:lang w:val="en-US" w:eastAsia="zh-CN"/>
        </w:rPr>
        <w:t>6</w:t>
      </w:r>
      <w:r>
        <w:rPr>
          <w:rFonts w:hint="eastAsia"/>
          <w:color w:val="auto"/>
        </w:rPr>
        <w:t>月1日以来任意连续</w:t>
      </w:r>
      <w:r>
        <w:rPr>
          <w:rFonts w:hint="eastAsia"/>
          <w:color w:val="auto"/>
          <w:lang w:eastAsia="zh-CN"/>
        </w:rPr>
        <w:t>六个月</w:t>
      </w:r>
      <w:r>
        <w:rPr>
          <w:rFonts w:hint="eastAsia"/>
          <w:color w:val="auto"/>
        </w:rPr>
        <w:t>依法缴纳税收和社会保障资金的证明资料：主要是指投标人缴纳增值税的凭据（完税证明或银行盖章的原始转账凭证）及缴纳社会保险（完税证明或银行盖章的原始转账凭证）的凭据。投标人成立不满</w:t>
      </w:r>
      <w:r>
        <w:rPr>
          <w:rFonts w:hint="eastAsia"/>
          <w:color w:val="auto"/>
          <w:lang w:eastAsia="zh-CN"/>
        </w:rPr>
        <w:t>六个月</w:t>
      </w:r>
      <w:r>
        <w:rPr>
          <w:rFonts w:hint="eastAsia"/>
          <w:color w:val="auto"/>
        </w:rPr>
        <w:t>的，则提供自成立日以来的纳税和社保证明资料；（须在投标文件中附缴纳税收和社会保障资金的证明资料的扫描件，否则其投标不被接受）依法免税或不需要缴纳社会保障资金的投标人，应提供相应文件证明其依法免税或不需要缴纳社会保障资金；</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lang w:val="en-US" w:eastAsia="zh-CN"/>
        </w:rPr>
        <w:t>8、</w:t>
      </w:r>
      <w:r>
        <w:rPr>
          <w:rFonts w:hint="eastAsia"/>
          <w:color w:val="auto"/>
        </w:rPr>
        <w:t>外省企业需在“河南省建筑市场监管公共服务平台”按规定报送企业基本信息（须在投标文件中附网页截图）；</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lang w:val="en-US" w:eastAsia="zh-CN"/>
        </w:rPr>
        <w:t xml:space="preserve">9、投标人通过“信用中国”网站（ </w:t>
      </w:r>
      <w:r>
        <w:rPr>
          <w:rFonts w:hint="eastAsia"/>
          <w:color w:val="auto"/>
          <w:lang w:val="en-US" w:eastAsia="zh-CN"/>
        </w:rPr>
        <w:fldChar w:fldCharType="begin"/>
      </w:r>
      <w:r>
        <w:rPr>
          <w:rFonts w:hint="eastAsia"/>
          <w:color w:val="auto"/>
          <w:lang w:val="en-US" w:eastAsia="zh-CN"/>
        </w:rPr>
        <w:instrText xml:space="preserve"> HYPERLINK "http://www.creditchina.gov.cn/" \h </w:instrText>
      </w:r>
      <w:r>
        <w:rPr>
          <w:rFonts w:hint="eastAsia"/>
          <w:color w:val="auto"/>
          <w:lang w:val="en-US" w:eastAsia="zh-CN"/>
        </w:rPr>
        <w:fldChar w:fldCharType="separate"/>
      </w:r>
      <w:r>
        <w:rPr>
          <w:rFonts w:hint="eastAsia"/>
          <w:color w:val="auto"/>
          <w:lang w:val="en-US" w:eastAsia="zh-CN"/>
        </w:rPr>
        <w:t>www.creditchina.gov.cn</w:t>
      </w:r>
      <w:r>
        <w:rPr>
          <w:rFonts w:hint="eastAsia"/>
          <w:color w:val="auto"/>
          <w:lang w:val="en-US" w:eastAsia="zh-CN"/>
        </w:rPr>
        <w:fldChar w:fldCharType="end"/>
      </w:r>
      <w:r>
        <w:rPr>
          <w:rFonts w:hint="eastAsia"/>
          <w:color w:val="auto"/>
          <w:lang w:val="en-US" w:eastAsia="zh-CN"/>
        </w:rPr>
        <w:t xml:space="preserve">）、中国政府采购网（ </w:t>
      </w:r>
      <w:r>
        <w:rPr>
          <w:rFonts w:hint="eastAsia"/>
          <w:color w:val="auto"/>
          <w:lang w:val="en-US" w:eastAsia="zh-CN"/>
        </w:rPr>
        <w:fldChar w:fldCharType="begin"/>
      </w:r>
      <w:r>
        <w:rPr>
          <w:rFonts w:hint="eastAsia"/>
          <w:color w:val="auto"/>
          <w:lang w:val="en-US" w:eastAsia="zh-CN"/>
        </w:rPr>
        <w:instrText xml:space="preserve"> HYPERLINK "http://www.ccgp.gov.cn/" \h </w:instrText>
      </w:r>
      <w:r>
        <w:rPr>
          <w:rFonts w:hint="eastAsia"/>
          <w:color w:val="auto"/>
          <w:lang w:val="en-US" w:eastAsia="zh-CN"/>
        </w:rPr>
        <w:fldChar w:fldCharType="separate"/>
      </w:r>
      <w:r>
        <w:rPr>
          <w:rFonts w:hint="eastAsia"/>
          <w:color w:val="auto"/>
          <w:lang w:val="en-US" w:eastAsia="zh-CN"/>
        </w:rPr>
        <w:t>www.ccgp.gov.cn</w:t>
      </w:r>
      <w:r>
        <w:rPr>
          <w:rFonts w:hint="eastAsia"/>
          <w:color w:val="auto"/>
          <w:lang w:val="en-US" w:eastAsia="zh-CN"/>
        </w:rPr>
        <w:fldChar w:fldCharType="end"/>
      </w:r>
      <w:r>
        <w:rPr>
          <w:rFonts w:hint="eastAsia"/>
          <w:color w:val="auto"/>
          <w:lang w:val="en-US" w:eastAsia="zh-CN"/>
        </w:rPr>
        <w:t>）查询投标人信用记录，未被列入“信用中国”网站“失信惩戒名单”和“中国政府采购网”网站“政府采购严重违法失信行为记录名单”。若被列入，将拒绝其参与本项目投标</w:t>
      </w:r>
      <w:r>
        <w:rPr>
          <w:rFonts w:hint="eastAsia"/>
          <w:color w:val="auto"/>
        </w:rPr>
        <w:t>（须在投标文件中附信用查询结果页面截图）；</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lang w:val="en-US" w:eastAsia="zh-CN"/>
        </w:rPr>
        <w:t>10、</w:t>
      </w:r>
      <w:r>
        <w:rPr>
          <w:rFonts w:hint="eastAsia"/>
          <w:color w:val="auto"/>
        </w:rPr>
        <w:t>为本招标项目的前期准备或者监理工作提供设计、咨询服务的任何法人及其任何附属机构（单位），都无资格参加本次招标项目的投标；</w:t>
      </w:r>
    </w:p>
    <w:p>
      <w:pPr>
        <w:pStyle w:val="16"/>
        <w:shd w:val="clear" w:color="auto" w:fill="FFFFFF"/>
        <w:spacing w:before="0" w:beforeAutospacing="0" w:after="0" w:afterAutospacing="0" w:line="360" w:lineRule="auto"/>
        <w:ind w:firstLine="480" w:firstLineChars="200"/>
        <w:rPr>
          <w:color w:val="auto"/>
        </w:rPr>
      </w:pPr>
      <w:r>
        <w:rPr>
          <w:rFonts w:hint="eastAsia"/>
          <w:color w:val="auto"/>
          <w:lang w:val="en-US" w:eastAsia="zh-CN"/>
        </w:rPr>
        <w:t>11、</w:t>
      </w:r>
      <w:r>
        <w:rPr>
          <w:rFonts w:hint="eastAsia"/>
          <w:color w:val="auto"/>
        </w:rPr>
        <w:t>本次招标不接受联合体投标；</w:t>
      </w:r>
    </w:p>
    <w:p>
      <w:pPr>
        <w:pStyle w:val="16"/>
        <w:shd w:val="clear" w:color="auto" w:fill="FFFFFF"/>
        <w:spacing w:before="0" w:beforeAutospacing="0" w:after="0" w:afterAutospacing="0" w:line="360" w:lineRule="auto"/>
        <w:ind w:firstLine="480" w:firstLineChars="200"/>
        <w:rPr>
          <w:rFonts w:hint="eastAsia" w:eastAsia="宋体"/>
          <w:color w:val="auto"/>
          <w:lang w:eastAsia="zh-CN"/>
        </w:rPr>
      </w:pPr>
      <w:r>
        <w:rPr>
          <w:rFonts w:hint="eastAsia"/>
          <w:color w:val="auto"/>
          <w:lang w:val="en-US" w:eastAsia="zh-CN"/>
        </w:rPr>
        <w:t>12、</w:t>
      </w:r>
      <w:r>
        <w:rPr>
          <w:rFonts w:hint="eastAsia"/>
          <w:color w:val="auto"/>
        </w:rPr>
        <w:t>本次招标实行资格后审，资格审查的具体要求见招标文件</w:t>
      </w:r>
      <w:r>
        <w:rPr>
          <w:rFonts w:hint="eastAsia"/>
          <w:color w:val="auto"/>
          <w:lang w:eastAsia="zh-CN"/>
        </w:rPr>
        <w:t>。</w:t>
      </w:r>
    </w:p>
    <w:p>
      <w:pPr>
        <w:pStyle w:val="16"/>
        <w:shd w:val="clear" w:color="auto" w:fill="FFFFFF"/>
        <w:spacing w:before="120" w:beforeLines="50" w:beforeAutospacing="0" w:after="120" w:afterLines="50" w:afterAutospacing="0" w:line="360" w:lineRule="auto"/>
        <w:ind w:firstLine="482" w:firstLineChars="200"/>
        <w:rPr>
          <w:b/>
          <w:bCs/>
          <w:color w:val="auto"/>
        </w:rPr>
      </w:pPr>
      <w:r>
        <w:rPr>
          <w:rFonts w:hint="eastAsia"/>
          <w:b/>
          <w:bCs/>
          <w:color w:val="auto"/>
          <w:lang w:eastAsia="zh-CN"/>
        </w:rPr>
        <w:t>四</w:t>
      </w:r>
      <w:r>
        <w:rPr>
          <w:rFonts w:hint="eastAsia"/>
          <w:b/>
          <w:bCs/>
          <w:color w:val="auto"/>
        </w:rPr>
        <w:t>、招标文件的获取</w:t>
      </w:r>
    </w:p>
    <w:p>
      <w:pPr>
        <w:pStyle w:val="16"/>
        <w:shd w:val="clear" w:color="auto" w:fill="FFFFFF"/>
        <w:spacing w:before="0" w:beforeAutospacing="0" w:after="0" w:afterAutospacing="0" w:line="360" w:lineRule="auto"/>
        <w:ind w:firstLine="480" w:firstLineChars="200"/>
        <w:rPr>
          <w:rFonts w:hint="eastAsia" w:ascii="宋体" w:hAnsi="宋体" w:eastAsia="宋体" w:cs="宋体"/>
          <w:color w:val="auto"/>
        </w:rPr>
      </w:pPr>
      <w:r>
        <w:rPr>
          <w:rFonts w:hint="eastAsia" w:ascii="宋体" w:hAnsi="宋体" w:eastAsia="宋体" w:cs="宋体"/>
          <w:color w:val="auto"/>
        </w:rPr>
        <w:t>1、本次招标文件在网上获取，请登录洛阳市公共资源交易中心网站（lyggzyjy.ly.gov.cn），点击“交易登录”进入“洛阳市电子招投标交易平台”进行用户注册，并办理CA数字证书。详见洛阳市公共资源交易中心网站—办事指南—办事流程—主体注册CA办理。</w:t>
      </w:r>
    </w:p>
    <w:p>
      <w:pPr>
        <w:pStyle w:val="16"/>
        <w:shd w:val="clear" w:color="auto" w:fill="FFFFFF"/>
        <w:spacing w:before="0" w:beforeAutospacing="0" w:after="0" w:afterAutospacing="0" w:line="360" w:lineRule="auto"/>
        <w:ind w:firstLine="480" w:firstLineChars="200"/>
        <w:rPr>
          <w:rFonts w:hint="eastAsia" w:ascii="宋体" w:hAnsi="宋体" w:eastAsia="宋体" w:cs="宋体"/>
          <w:color w:val="auto"/>
        </w:rPr>
      </w:pPr>
      <w:r>
        <w:rPr>
          <w:rFonts w:hint="eastAsia" w:ascii="宋体" w:hAnsi="宋体" w:eastAsia="宋体" w:cs="宋体"/>
          <w:color w:val="auto"/>
        </w:rPr>
        <w:t>2、办理数字证书后，请于</w:t>
      </w:r>
      <w:r>
        <w:rPr>
          <w:rFonts w:hint="eastAsia" w:ascii="宋体" w:hAnsi="宋体" w:eastAsia="宋体" w:cs="宋体"/>
          <w:color w:val="auto"/>
        </w:rPr>
        <w:t>2022年</w:t>
      </w:r>
      <w:r>
        <w:rPr>
          <w:rFonts w:hint="eastAsia" w:ascii="宋体" w:hAnsi="宋体" w:cs="宋体"/>
          <w:color w:val="auto"/>
          <w:lang w:val="en-US" w:eastAsia="zh-CN"/>
        </w:rPr>
        <w:t>03</w:t>
      </w:r>
      <w:r>
        <w:rPr>
          <w:rFonts w:hint="eastAsia" w:ascii="宋体" w:hAnsi="宋体" w:eastAsia="宋体" w:cs="宋体"/>
          <w:color w:val="auto"/>
        </w:rPr>
        <w:t>月</w:t>
      </w:r>
      <w:r>
        <w:rPr>
          <w:rFonts w:hint="eastAsia" w:ascii="宋体" w:hAnsi="宋体" w:cs="宋体"/>
          <w:color w:val="auto"/>
          <w:lang w:val="en-US" w:eastAsia="zh-CN"/>
        </w:rPr>
        <w:t>31</w:t>
      </w:r>
      <w:r>
        <w:rPr>
          <w:rFonts w:hint="eastAsia" w:ascii="宋体" w:hAnsi="宋体" w:eastAsia="宋体" w:cs="宋体"/>
          <w:color w:val="auto"/>
        </w:rPr>
        <w:t>日至2022年</w:t>
      </w:r>
      <w:r>
        <w:rPr>
          <w:rFonts w:hint="eastAsia" w:ascii="宋体" w:hAnsi="宋体" w:cs="宋体"/>
          <w:color w:val="auto"/>
          <w:lang w:val="en-US" w:eastAsia="zh-CN"/>
        </w:rPr>
        <w:t>04</w:t>
      </w:r>
      <w:r>
        <w:rPr>
          <w:rFonts w:hint="eastAsia" w:ascii="宋体" w:hAnsi="宋体" w:eastAsia="宋体" w:cs="宋体"/>
          <w:color w:val="auto"/>
        </w:rPr>
        <w:t>月</w:t>
      </w:r>
      <w:r>
        <w:rPr>
          <w:rFonts w:hint="eastAsia" w:ascii="宋体" w:hAnsi="宋体" w:cs="宋体"/>
          <w:color w:val="auto"/>
          <w:lang w:val="en-US" w:eastAsia="zh-CN"/>
        </w:rPr>
        <w:t>07</w:t>
      </w:r>
      <w:r>
        <w:rPr>
          <w:rFonts w:hint="eastAsia" w:ascii="宋体" w:hAnsi="宋体" w:eastAsia="宋体" w:cs="宋体"/>
          <w:color w:val="auto"/>
        </w:rPr>
        <w:t>日24:0</w:t>
      </w:r>
      <w:r>
        <w:rPr>
          <w:rFonts w:hint="eastAsia" w:ascii="宋体" w:hAnsi="宋体" w:eastAsia="宋体" w:cs="宋体"/>
          <w:color w:val="auto"/>
        </w:rPr>
        <w:t>0，登录洛阳市公共资源交易中心网站，点击“交易登录”，选择“证书Key”方式登录，免费下载招标文件。如投多个标段，则应就所投每个标段分别下载获取。联合体投标的，由联合体牵头人完成招标文件下载。</w:t>
      </w:r>
    </w:p>
    <w:p>
      <w:pPr>
        <w:pStyle w:val="16"/>
        <w:shd w:val="clear" w:color="auto" w:fill="FFFFFF"/>
        <w:spacing w:before="0" w:beforeAutospacing="0" w:after="0" w:afterAutospacing="0" w:line="360" w:lineRule="auto"/>
        <w:ind w:firstLine="480" w:firstLineChars="200"/>
        <w:rPr>
          <w:rFonts w:hint="eastAsia" w:ascii="宋体" w:hAnsi="宋体" w:eastAsia="宋体" w:cs="宋体"/>
          <w:color w:val="auto"/>
        </w:rPr>
      </w:pPr>
      <w:r>
        <w:rPr>
          <w:rFonts w:hint="eastAsia" w:ascii="宋体" w:hAnsi="宋体" w:eastAsia="宋体" w:cs="宋体"/>
          <w:color w:val="auto"/>
        </w:rPr>
        <w:t>3、获取招标文件后，请到洛阳市公共资源交易中心网站—办事指南—下载中心栏目下载并安装最新版本投标文件制作工具，查看招标文件和制作电子投标文件。</w:t>
      </w:r>
    </w:p>
    <w:p>
      <w:pPr>
        <w:pStyle w:val="16"/>
        <w:shd w:val="clear" w:color="auto" w:fill="FFFFFF"/>
        <w:spacing w:before="120" w:beforeLines="50" w:beforeAutospacing="0" w:after="120" w:afterLines="50" w:afterAutospacing="0" w:line="360" w:lineRule="auto"/>
        <w:ind w:firstLine="482" w:firstLineChars="200"/>
        <w:rPr>
          <w:rFonts w:hint="eastAsia" w:eastAsia="宋体"/>
          <w:b/>
          <w:bCs/>
          <w:color w:val="auto"/>
          <w:lang w:eastAsia="zh-CN"/>
        </w:rPr>
      </w:pPr>
      <w:r>
        <w:rPr>
          <w:rFonts w:hint="eastAsia"/>
          <w:b/>
          <w:bCs/>
          <w:color w:val="auto"/>
          <w:lang w:eastAsia="zh-CN"/>
        </w:rPr>
        <w:t>五</w:t>
      </w:r>
      <w:r>
        <w:rPr>
          <w:rFonts w:hint="eastAsia"/>
          <w:b/>
          <w:bCs/>
          <w:color w:val="auto"/>
        </w:rPr>
        <w:t>、</w:t>
      </w:r>
      <w:r>
        <w:rPr>
          <w:b/>
          <w:bCs/>
          <w:color w:val="auto"/>
        </w:rPr>
        <w:t>投标</w:t>
      </w:r>
      <w:r>
        <w:rPr>
          <w:rFonts w:hint="eastAsia"/>
          <w:b/>
          <w:bCs/>
          <w:color w:val="auto"/>
          <w:lang w:eastAsia="zh-CN"/>
        </w:rPr>
        <w:t>文件的递交</w:t>
      </w:r>
    </w:p>
    <w:p>
      <w:pPr>
        <w:pStyle w:val="16"/>
        <w:shd w:val="clear" w:color="auto" w:fill="FFFFFF"/>
        <w:spacing w:before="0" w:beforeAutospacing="0" w:after="0" w:afterAutospacing="0" w:line="360" w:lineRule="auto"/>
        <w:ind w:firstLine="480" w:firstLineChars="200"/>
        <w:rPr>
          <w:rFonts w:hint="eastAsia" w:ascii="宋体" w:hAnsi="宋体" w:eastAsia="宋体" w:cs="宋体"/>
          <w:color w:val="auto"/>
        </w:rPr>
      </w:pPr>
      <w:r>
        <w:rPr>
          <w:rFonts w:hint="eastAsia" w:ascii="宋体" w:hAnsi="宋体" w:eastAsia="宋体" w:cs="宋体"/>
          <w:color w:val="auto"/>
        </w:rPr>
        <w:t>1、投标文件递交的截止时间（投标截止时间</w:t>
      </w:r>
      <w:r>
        <w:rPr>
          <w:rFonts w:hint="eastAsia" w:ascii="宋体" w:hAnsi="宋体" w:eastAsia="宋体" w:cs="宋体"/>
          <w:color w:val="auto"/>
        </w:rPr>
        <w:t>）为2022年</w:t>
      </w:r>
      <w:r>
        <w:rPr>
          <w:rFonts w:hint="eastAsia" w:ascii="宋体" w:hAnsi="宋体" w:cs="宋体"/>
          <w:color w:val="auto"/>
          <w:lang w:val="en-US" w:eastAsia="zh-CN"/>
        </w:rPr>
        <w:t>04</w:t>
      </w:r>
      <w:r>
        <w:rPr>
          <w:rFonts w:hint="eastAsia" w:ascii="宋体" w:hAnsi="宋体" w:eastAsia="宋体" w:cs="宋体"/>
          <w:color w:val="auto"/>
        </w:rPr>
        <w:t>月</w:t>
      </w:r>
      <w:r>
        <w:rPr>
          <w:rFonts w:hint="eastAsia" w:ascii="宋体" w:hAnsi="宋体" w:cs="宋体"/>
          <w:color w:val="auto"/>
          <w:lang w:val="en-US" w:eastAsia="zh-CN"/>
        </w:rPr>
        <w:t>22</w:t>
      </w:r>
      <w:r>
        <w:rPr>
          <w:rFonts w:hint="eastAsia" w:ascii="宋体" w:hAnsi="宋体" w:eastAsia="宋体" w:cs="宋体"/>
          <w:color w:val="auto"/>
        </w:rPr>
        <w:t>日9时</w:t>
      </w:r>
      <w:r>
        <w:rPr>
          <w:rFonts w:hint="eastAsia" w:ascii="宋体" w:hAnsi="宋体" w:cs="宋体"/>
          <w:color w:val="auto"/>
          <w:lang w:val="en-US" w:eastAsia="zh-CN"/>
        </w:rPr>
        <w:t>30</w:t>
      </w:r>
      <w:r>
        <w:rPr>
          <w:rFonts w:hint="eastAsia" w:ascii="宋体" w:hAnsi="宋体" w:eastAsia="宋体" w:cs="宋体"/>
          <w:color w:val="auto"/>
        </w:rPr>
        <w:t>分</w:t>
      </w:r>
      <w:r>
        <w:rPr>
          <w:rFonts w:hint="eastAsia" w:ascii="宋体" w:hAnsi="宋体" w:eastAsia="宋体" w:cs="宋体"/>
          <w:color w:val="auto"/>
        </w:rPr>
        <w:t> (北京时间)。</w:t>
      </w:r>
    </w:p>
    <w:p>
      <w:pPr>
        <w:pStyle w:val="16"/>
        <w:shd w:val="clear" w:color="auto" w:fill="FFFFFF"/>
        <w:spacing w:before="0" w:beforeAutospacing="0" w:after="0" w:afterAutospacing="0" w:line="360" w:lineRule="auto"/>
        <w:ind w:firstLine="480" w:firstLineChars="200"/>
        <w:rPr>
          <w:rFonts w:hint="eastAsia" w:ascii="宋体" w:hAnsi="宋体" w:eastAsia="宋体" w:cs="宋体"/>
          <w:color w:val="auto"/>
        </w:rPr>
      </w:pPr>
      <w:r>
        <w:rPr>
          <w:rFonts w:hint="eastAsia" w:ascii="宋体" w:hAnsi="宋体" w:eastAsia="宋体" w:cs="宋体"/>
          <w:color w:val="auto"/>
        </w:rPr>
        <w:t>2、投标文件接收地点及开标地点为</w:t>
      </w:r>
      <w:r>
        <w:rPr>
          <w:rFonts w:hint="eastAsia" w:ascii="宋体" w:hAnsi="宋体" w:eastAsia="宋体" w:cs="宋体"/>
          <w:color w:val="auto"/>
          <w:lang w:eastAsia="zh-CN"/>
        </w:rPr>
        <w:t>涧西区</w:t>
      </w:r>
      <w:r>
        <w:rPr>
          <w:rFonts w:hint="eastAsia" w:ascii="宋体" w:hAnsi="宋体" w:eastAsia="宋体" w:cs="宋体"/>
          <w:color w:val="auto"/>
        </w:rPr>
        <w:t>公共资源交易中</w:t>
      </w:r>
      <w:r>
        <w:rPr>
          <w:rFonts w:hint="eastAsia" w:ascii="宋体" w:hAnsi="宋体" w:eastAsia="宋体" w:cs="宋体"/>
          <w:color w:val="auto"/>
        </w:rPr>
        <w:t>心开标</w:t>
      </w:r>
      <w:r>
        <w:rPr>
          <w:rFonts w:hint="eastAsia" w:ascii="宋体" w:hAnsi="宋体" w:cs="宋体"/>
          <w:color w:val="auto"/>
          <w:lang w:val="en-US" w:eastAsia="zh-CN"/>
        </w:rPr>
        <w:t>一</w:t>
      </w:r>
      <w:r>
        <w:rPr>
          <w:rFonts w:hint="eastAsia" w:ascii="宋体" w:hAnsi="宋体" w:eastAsia="宋体" w:cs="宋体"/>
          <w:color w:val="auto"/>
        </w:rPr>
        <w:t>室</w:t>
      </w:r>
      <w:r>
        <w:rPr>
          <w:rFonts w:hint="eastAsia" w:ascii="宋体" w:hAnsi="宋体" w:eastAsia="宋体" w:cs="宋体"/>
          <w:color w:val="auto"/>
        </w:rPr>
        <w:t>。</w:t>
      </w:r>
    </w:p>
    <w:p>
      <w:pPr>
        <w:pStyle w:val="16"/>
        <w:shd w:val="clear" w:color="auto" w:fill="FFFFFF"/>
        <w:spacing w:before="0" w:beforeAutospacing="0" w:after="0" w:afterAutospacing="0" w:line="360" w:lineRule="auto"/>
        <w:ind w:firstLine="480" w:firstLineChars="200"/>
        <w:rPr>
          <w:rFonts w:hint="eastAsia" w:ascii="宋体" w:hAnsi="宋体" w:eastAsia="宋体" w:cs="宋体"/>
          <w:color w:val="auto"/>
        </w:rPr>
      </w:pPr>
      <w:r>
        <w:rPr>
          <w:rFonts w:hint="eastAsia" w:ascii="宋体" w:hAnsi="宋体" w:eastAsia="宋体" w:cs="宋体"/>
          <w:color w:val="auto"/>
        </w:rPr>
        <w:t>3、投标人应在投标截止时间前，通过互联网使用CA 数字证书登录洛阳市公共资源交易中心网站，将加密的投标文件上传至“洛阳市电子招投标交易平台”指定位置，上传成功后将得到上传成功的确认。投标人应充分考虑上传文件时的不可预见因素，未在投标截止时间前完成上传的，视为逾期送达，洛阳市电子招投标交易平台将拒绝接收。</w:t>
      </w:r>
    </w:p>
    <w:p>
      <w:pPr>
        <w:pStyle w:val="16"/>
        <w:shd w:val="clear" w:color="auto" w:fill="FFFFFF"/>
        <w:spacing w:before="0" w:beforeAutospacing="0" w:after="0" w:afterAutospacing="0" w:line="360" w:lineRule="auto"/>
        <w:ind w:firstLine="480" w:firstLineChars="200"/>
        <w:rPr>
          <w:rFonts w:hint="eastAsia" w:ascii="宋体" w:hAnsi="宋体" w:eastAsia="宋体" w:cs="宋体"/>
          <w:color w:val="auto"/>
        </w:rPr>
      </w:pPr>
      <w:r>
        <w:rPr>
          <w:rFonts w:hint="eastAsia" w:ascii="宋体" w:hAnsi="宋体" w:eastAsia="宋体" w:cs="宋体"/>
          <w:color w:val="auto"/>
        </w:rPr>
        <w:t>4、本项目采用远程不见面交易的模式，开标当日，投标人无需到开标现场参加开标会议，投标人应当在投标截止时间前，登录到洛阳市电子招投标交易平台（http://lyggzyjy.ly.gov.cn/TPBidder），点击右上方【不见面开标大厅】按钮进入，在线准时参加开标活动并进行投标文件解密等。因投标人原因未能解密、解密失败或解密超时的将被拒绝。请参照洛阳市公共资源交易中心首页-办事指南-下载中心-操作手册-《洛阳市公共资源交易中心不见面开标大厅操作手册（投标人）》。</w:t>
      </w:r>
    </w:p>
    <w:p>
      <w:pPr>
        <w:pStyle w:val="16"/>
        <w:shd w:val="clear" w:color="auto" w:fill="FFFFFF"/>
        <w:spacing w:before="0" w:beforeAutospacing="0" w:after="0" w:afterAutospacing="0" w:line="360" w:lineRule="auto"/>
        <w:ind w:firstLine="480" w:firstLineChars="200"/>
        <w:rPr>
          <w:rFonts w:hint="eastAsia" w:ascii="宋体" w:hAnsi="宋体" w:eastAsia="宋体" w:cs="宋体"/>
          <w:color w:val="auto"/>
        </w:rPr>
      </w:pPr>
      <w:r>
        <w:rPr>
          <w:rFonts w:hint="eastAsia" w:ascii="宋体" w:hAnsi="宋体" w:eastAsia="宋体" w:cs="宋体"/>
          <w:color w:val="auto"/>
        </w:rPr>
        <w:t>5、除电子投标文件外，投标时不再接受任何纸质文件、资料等。逾期送达的或者未送达指定地点的投标文件，招标人不予受理。</w:t>
      </w:r>
    </w:p>
    <w:p>
      <w:pPr>
        <w:pStyle w:val="16"/>
        <w:shd w:val="clear" w:color="auto" w:fill="FFFFFF"/>
        <w:spacing w:before="120" w:beforeLines="50" w:beforeAutospacing="0" w:after="120" w:afterLines="50" w:afterAutospacing="0" w:line="360" w:lineRule="auto"/>
        <w:ind w:firstLine="482" w:firstLineChars="200"/>
        <w:rPr>
          <w:rFonts w:hint="eastAsia"/>
          <w:b/>
          <w:bCs/>
          <w:color w:val="auto"/>
        </w:rPr>
      </w:pPr>
      <w:r>
        <w:rPr>
          <w:rFonts w:hint="eastAsia"/>
          <w:b/>
          <w:bCs/>
          <w:color w:val="auto"/>
        </w:rPr>
        <w:t>六、发布公告的媒体</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本次招标公告同时在《河南省政府采购网》、《洛阳市公共资源交易中心网》、《中国招标投标公共服务平台》、《洛阳招标采购网》上发布。公告期限为五个工作日</w:t>
      </w:r>
      <w:r>
        <w:rPr>
          <w:rFonts w:hint="eastAsia"/>
          <w:color w:val="auto"/>
        </w:rPr>
        <w:t>202</w:t>
      </w:r>
      <w:r>
        <w:rPr>
          <w:rFonts w:hint="eastAsia"/>
          <w:color w:val="auto"/>
          <w:lang w:val="en-US" w:eastAsia="zh-CN"/>
        </w:rPr>
        <w:t>2</w:t>
      </w:r>
      <w:r>
        <w:rPr>
          <w:rFonts w:hint="eastAsia"/>
          <w:color w:val="auto"/>
        </w:rPr>
        <w:t>年</w:t>
      </w:r>
      <w:r>
        <w:rPr>
          <w:rFonts w:hint="eastAsia"/>
          <w:color w:val="auto"/>
          <w:lang w:val="en-US" w:eastAsia="zh-CN"/>
        </w:rPr>
        <w:t>3</w:t>
      </w:r>
      <w:r>
        <w:rPr>
          <w:rFonts w:hint="eastAsia"/>
          <w:color w:val="auto"/>
        </w:rPr>
        <w:t>月</w:t>
      </w:r>
      <w:r>
        <w:rPr>
          <w:rFonts w:hint="eastAsia"/>
          <w:color w:val="auto"/>
          <w:lang w:val="en-US" w:eastAsia="zh-CN"/>
        </w:rPr>
        <w:t>31</w:t>
      </w:r>
      <w:r>
        <w:rPr>
          <w:rFonts w:hint="eastAsia"/>
          <w:color w:val="auto"/>
        </w:rPr>
        <w:t>日至202</w:t>
      </w:r>
      <w:r>
        <w:rPr>
          <w:rFonts w:hint="eastAsia"/>
          <w:color w:val="auto"/>
          <w:lang w:val="en-US" w:eastAsia="zh-CN"/>
        </w:rPr>
        <w:t>2</w:t>
      </w:r>
      <w:r>
        <w:rPr>
          <w:rFonts w:hint="eastAsia"/>
          <w:color w:val="auto"/>
        </w:rPr>
        <w:t>年</w:t>
      </w:r>
      <w:r>
        <w:rPr>
          <w:rFonts w:hint="eastAsia"/>
          <w:color w:val="auto"/>
          <w:lang w:val="en-US" w:eastAsia="zh-CN"/>
        </w:rPr>
        <w:t>4</w:t>
      </w:r>
      <w:r>
        <w:rPr>
          <w:rFonts w:hint="eastAsia"/>
          <w:color w:val="auto"/>
        </w:rPr>
        <w:t>月</w:t>
      </w:r>
      <w:r>
        <w:rPr>
          <w:rFonts w:hint="eastAsia"/>
          <w:color w:val="auto"/>
          <w:lang w:val="en-US" w:eastAsia="zh-CN"/>
        </w:rPr>
        <w:t>7</w:t>
      </w:r>
      <w:r>
        <w:rPr>
          <w:rFonts w:hint="eastAsia"/>
          <w:color w:val="auto"/>
        </w:rPr>
        <w:t>日。</w:t>
      </w:r>
    </w:p>
    <w:p>
      <w:pPr>
        <w:pStyle w:val="16"/>
        <w:shd w:val="clear" w:color="auto" w:fill="FFFFFF"/>
        <w:spacing w:before="120" w:beforeLines="50" w:beforeAutospacing="0" w:after="120" w:afterLines="50" w:afterAutospacing="0" w:line="360" w:lineRule="auto"/>
        <w:ind w:firstLine="482" w:firstLineChars="200"/>
        <w:rPr>
          <w:rFonts w:hint="eastAsia" w:ascii="仿宋" w:hAnsi="仿宋" w:eastAsia="宋体"/>
          <w:b/>
          <w:color w:val="auto"/>
          <w:spacing w:val="14"/>
          <w:lang w:eastAsia="zh-CN"/>
        </w:rPr>
      </w:pPr>
      <w:r>
        <w:rPr>
          <w:rFonts w:hint="eastAsia"/>
          <w:b/>
          <w:bCs/>
          <w:color w:val="auto"/>
        </w:rPr>
        <w:t>七、</w:t>
      </w:r>
      <w:r>
        <w:rPr>
          <w:rFonts w:hint="eastAsia"/>
          <w:b/>
          <w:bCs/>
          <w:color w:val="auto"/>
          <w:lang w:eastAsia="zh-CN"/>
        </w:rPr>
        <w:t>联系方式</w:t>
      </w:r>
    </w:p>
    <w:p>
      <w:pPr>
        <w:pStyle w:val="16"/>
        <w:shd w:val="clear" w:color="auto" w:fill="FFFFFF"/>
        <w:spacing w:before="0" w:beforeAutospacing="0" w:after="0" w:afterAutospacing="0" w:line="360" w:lineRule="auto"/>
        <w:ind w:firstLine="480" w:firstLineChars="200"/>
        <w:rPr>
          <w:color w:val="auto"/>
        </w:rPr>
      </w:pPr>
      <w:r>
        <w:rPr>
          <w:rFonts w:hint="eastAsia"/>
          <w:color w:val="auto"/>
        </w:rPr>
        <w:t>名称：洛阳市涧西区住房和城乡建设局</w:t>
      </w:r>
    </w:p>
    <w:p>
      <w:pPr>
        <w:pStyle w:val="16"/>
        <w:shd w:val="clear" w:color="auto" w:fill="FFFFFF"/>
        <w:spacing w:before="0" w:beforeAutospacing="0" w:after="0" w:afterAutospacing="0" w:line="360" w:lineRule="auto"/>
        <w:ind w:firstLine="480" w:firstLineChars="200"/>
        <w:rPr>
          <w:color w:val="auto"/>
        </w:rPr>
      </w:pPr>
      <w:r>
        <w:rPr>
          <w:rFonts w:hint="eastAsia"/>
          <w:color w:val="auto"/>
        </w:rPr>
        <w:t>地址：</w:t>
      </w:r>
      <w:r>
        <w:rPr>
          <w:rFonts w:hint="eastAsia"/>
          <w:color w:val="auto"/>
          <w:szCs w:val="30"/>
        </w:rPr>
        <w:t>洛阳市涧西区太原路58号</w:t>
      </w:r>
    </w:p>
    <w:p>
      <w:pPr>
        <w:pStyle w:val="16"/>
        <w:shd w:val="clear" w:color="auto" w:fill="FFFFFF"/>
        <w:spacing w:before="0" w:beforeAutospacing="0" w:after="0" w:afterAutospacing="0" w:line="360" w:lineRule="auto"/>
        <w:ind w:firstLine="480" w:firstLineChars="200"/>
        <w:rPr>
          <w:rFonts w:hint="eastAsia" w:eastAsia="宋体"/>
          <w:color w:val="auto"/>
          <w:lang w:eastAsia="zh-CN"/>
        </w:rPr>
      </w:pPr>
      <w:r>
        <w:rPr>
          <w:rFonts w:hint="eastAsia"/>
          <w:color w:val="auto"/>
        </w:rPr>
        <w:t>联系人：</w:t>
      </w:r>
      <w:r>
        <w:rPr>
          <w:rFonts w:hint="eastAsia"/>
          <w:color w:val="auto"/>
          <w:lang w:eastAsia="zh-CN"/>
        </w:rPr>
        <w:t>胡女士</w:t>
      </w:r>
    </w:p>
    <w:p>
      <w:pPr>
        <w:pStyle w:val="16"/>
        <w:shd w:val="clear" w:color="auto" w:fill="FFFFFF"/>
        <w:spacing w:before="0" w:beforeAutospacing="0" w:after="0" w:afterAutospacing="0" w:line="360" w:lineRule="auto"/>
        <w:ind w:firstLine="480" w:firstLineChars="200"/>
        <w:rPr>
          <w:rFonts w:ascii="仿宋" w:hAnsi="仿宋" w:eastAsia="仿宋"/>
          <w:color w:val="auto"/>
          <w:spacing w:val="14"/>
        </w:rPr>
      </w:pPr>
      <w:r>
        <w:rPr>
          <w:rFonts w:hint="eastAsia"/>
          <w:color w:val="auto"/>
        </w:rPr>
        <w:t>联系方式：0379-</w:t>
      </w:r>
      <w:r>
        <w:rPr>
          <w:rFonts w:hint="eastAsia"/>
          <w:color w:val="auto"/>
          <w:lang w:eastAsia="zh-CN"/>
        </w:rPr>
        <w:t>64232660</w:t>
      </w:r>
      <w:r>
        <w:rPr>
          <w:rFonts w:hint="eastAsia"/>
          <w:color w:val="auto"/>
        </w:rPr>
        <w:t xml:space="preserve"> </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代理机构：河南达诺工程咨询服务有限公司</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地 址：中国（河南）自由贸易试验区洛阳片区（高新）河洛路65号1幢805室</w:t>
      </w:r>
    </w:p>
    <w:p>
      <w:pPr>
        <w:pStyle w:val="16"/>
        <w:shd w:val="clear" w:color="auto" w:fill="FFFFFF"/>
        <w:spacing w:before="0" w:beforeAutospacing="0" w:after="0" w:afterAutospacing="0" w:line="360" w:lineRule="auto"/>
        <w:ind w:firstLine="480" w:firstLineChars="200"/>
        <w:rPr>
          <w:rFonts w:hint="eastAsia" w:eastAsia="宋体"/>
          <w:color w:val="auto"/>
          <w:lang w:eastAsia="zh-CN"/>
        </w:rPr>
      </w:pPr>
      <w:r>
        <w:rPr>
          <w:rFonts w:hint="eastAsia"/>
          <w:color w:val="auto"/>
        </w:rPr>
        <w:t>联 系 人：</w:t>
      </w:r>
      <w:r>
        <w:rPr>
          <w:rFonts w:hint="eastAsia"/>
          <w:color w:val="auto"/>
          <w:lang w:eastAsia="zh-CN"/>
        </w:rPr>
        <w:t>李女士</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电 话：0379-62903158</w:t>
      </w:r>
    </w:p>
    <w:p>
      <w:pPr>
        <w:pStyle w:val="16"/>
        <w:shd w:val="clear" w:color="auto" w:fill="FFFFFF"/>
        <w:spacing w:before="0" w:beforeAutospacing="0" w:after="0" w:afterAutospacing="0" w:line="360" w:lineRule="auto"/>
        <w:ind w:firstLine="480" w:firstLineChars="200"/>
        <w:rPr>
          <w:rFonts w:hint="eastAsia" w:eastAsia="宋体"/>
          <w:color w:val="auto"/>
          <w:lang w:eastAsia="zh-CN"/>
        </w:rPr>
      </w:pPr>
      <w:r>
        <w:rPr>
          <w:rFonts w:hint="eastAsia"/>
          <w:color w:val="auto"/>
        </w:rPr>
        <w:t>监管部门：</w:t>
      </w:r>
      <w:r>
        <w:rPr>
          <w:rFonts w:hint="eastAsia"/>
          <w:color w:val="auto"/>
          <w:lang w:eastAsia="zh-CN"/>
        </w:rPr>
        <w:t>洛阳市涧西区住房和城乡建设局</w:t>
      </w:r>
    </w:p>
    <w:p>
      <w:pPr>
        <w:pStyle w:val="16"/>
        <w:shd w:val="clear" w:color="auto" w:fill="FFFFFF"/>
        <w:spacing w:before="0" w:beforeAutospacing="0" w:after="0" w:afterAutospacing="0" w:line="360" w:lineRule="auto"/>
        <w:ind w:firstLine="480" w:firstLineChars="200"/>
        <w:rPr>
          <w:rFonts w:hint="eastAsia"/>
          <w:color w:val="auto"/>
        </w:rPr>
      </w:pPr>
      <w:r>
        <w:rPr>
          <w:rFonts w:hint="eastAsia"/>
          <w:color w:val="auto"/>
        </w:rPr>
        <w:t>监管部门联系人：</w:t>
      </w:r>
      <w:r>
        <w:rPr>
          <w:rFonts w:hint="eastAsia"/>
          <w:color w:val="auto"/>
          <w:lang w:eastAsia="zh-CN"/>
        </w:rPr>
        <w:t>陈女士</w:t>
      </w:r>
    </w:p>
    <w:p>
      <w:pPr>
        <w:pStyle w:val="16"/>
        <w:shd w:val="clear" w:color="auto" w:fill="FFFFFF"/>
        <w:spacing w:before="0" w:beforeAutospacing="0" w:after="0" w:afterAutospacing="0" w:line="360" w:lineRule="auto"/>
        <w:ind w:firstLine="480" w:firstLineChars="200"/>
        <w:rPr>
          <w:rFonts w:hint="default"/>
          <w:color w:val="auto"/>
          <w:lang w:val="en-US" w:eastAsia="zh-CN"/>
        </w:rPr>
      </w:pPr>
      <w:r>
        <w:rPr>
          <w:rFonts w:hint="eastAsia"/>
          <w:color w:val="auto"/>
        </w:rPr>
        <w:t>监管部门联系方式：</w:t>
      </w:r>
      <w:r>
        <w:rPr>
          <w:rFonts w:hint="eastAsia"/>
          <w:color w:val="auto"/>
          <w:lang w:eastAsia="zh-CN"/>
        </w:rPr>
        <w:t>0379-</w:t>
      </w:r>
      <w:r>
        <w:rPr>
          <w:rFonts w:hint="eastAsia"/>
          <w:color w:val="auto"/>
          <w:lang w:val="en-US" w:eastAsia="zh-CN"/>
        </w:rPr>
        <w:t>64230026</w:t>
      </w:r>
    </w:p>
    <w:p>
      <w:pPr>
        <w:pStyle w:val="16"/>
        <w:shd w:val="clear" w:color="auto" w:fill="FFFFFF"/>
        <w:spacing w:before="0" w:beforeAutospacing="0" w:after="0" w:afterAutospacing="0" w:line="360" w:lineRule="auto"/>
        <w:ind w:firstLine="480" w:firstLineChars="200"/>
        <w:jc w:val="right"/>
        <w:rPr>
          <w:rFonts w:hint="eastAsia"/>
          <w:color w:val="auto"/>
          <w:lang w:eastAsia="zh-CN"/>
        </w:rPr>
      </w:pPr>
      <w:r>
        <w:rPr>
          <w:rFonts w:hint="eastAsia"/>
          <w:color w:val="auto"/>
        </w:rPr>
        <w:t>202</w:t>
      </w:r>
      <w:r>
        <w:rPr>
          <w:rFonts w:hint="eastAsia"/>
          <w:color w:val="auto"/>
          <w:lang w:val="en-US" w:eastAsia="zh-CN"/>
        </w:rPr>
        <w:t>2</w:t>
      </w:r>
      <w:r>
        <w:rPr>
          <w:rFonts w:hint="eastAsia"/>
          <w:color w:val="auto"/>
        </w:rPr>
        <w:t>年</w:t>
      </w:r>
      <w:r>
        <w:rPr>
          <w:rFonts w:hint="eastAsia"/>
          <w:color w:val="auto"/>
          <w:lang w:val="en-US" w:eastAsia="zh-CN"/>
        </w:rPr>
        <w:t>3</w:t>
      </w:r>
      <w:r>
        <w:rPr>
          <w:rFonts w:hint="eastAsia"/>
          <w:color w:val="auto"/>
        </w:rPr>
        <w:t>月</w:t>
      </w:r>
      <w:r>
        <w:rPr>
          <w:rFonts w:hint="eastAsia"/>
          <w:color w:val="auto"/>
          <w:lang w:val="en-US" w:eastAsia="zh-CN"/>
        </w:rPr>
        <w:t>30</w:t>
      </w:r>
      <w:r>
        <w:rPr>
          <w:rFonts w:hint="eastAsia"/>
          <w:color w:val="auto"/>
        </w:rPr>
        <w:t>日</w:t>
      </w:r>
    </w:p>
    <w:p>
      <w:pPr>
        <w:pStyle w:val="5"/>
        <w:rPr>
          <w:rFonts w:ascii="宋体" w:cs="宋体"/>
          <w:color w:val="auto"/>
        </w:rPr>
      </w:pPr>
      <w:r>
        <w:rPr>
          <w:rFonts w:hint="eastAsia" w:ascii="宋体" w:cs="宋体"/>
          <w:color w:val="auto"/>
        </w:rPr>
        <w:br w:type="page"/>
      </w:r>
      <w:bookmarkStart w:id="26" w:name="_Toc14230"/>
      <w:bookmarkStart w:id="27" w:name="_Toc15577"/>
      <w:bookmarkStart w:id="28" w:name="_Toc16568"/>
      <w:bookmarkStart w:id="29" w:name="_Toc11345"/>
      <w:r>
        <w:rPr>
          <w:rFonts w:hint="eastAsia" w:ascii="宋体" w:cs="宋体"/>
          <w:color w:val="auto"/>
        </w:rPr>
        <w:t>第二章 投标人须知</w:t>
      </w:r>
      <w:bookmarkEnd w:id="19"/>
      <w:bookmarkEnd w:id="20"/>
      <w:bookmarkEnd w:id="21"/>
      <w:bookmarkEnd w:id="22"/>
      <w:bookmarkEnd w:id="23"/>
      <w:bookmarkEnd w:id="24"/>
      <w:bookmarkEnd w:id="25"/>
      <w:bookmarkEnd w:id="26"/>
      <w:bookmarkEnd w:id="27"/>
      <w:bookmarkEnd w:id="28"/>
      <w:bookmarkEnd w:id="29"/>
    </w:p>
    <w:p>
      <w:pPr>
        <w:pStyle w:val="6"/>
        <w:spacing w:before="0" w:after="0"/>
        <w:jc w:val="center"/>
        <w:rPr>
          <w:rFonts w:ascii="宋体" w:cs="宋体"/>
          <w:color w:val="auto"/>
        </w:rPr>
      </w:pPr>
      <w:bookmarkStart w:id="30" w:name="_Toc246996174"/>
      <w:bookmarkStart w:id="31" w:name="_Toc246996917"/>
      <w:bookmarkStart w:id="32" w:name="_Toc247085688"/>
      <w:bookmarkStart w:id="33" w:name="_Toc152042304"/>
      <w:bookmarkStart w:id="34" w:name="_Toc179632545"/>
      <w:bookmarkStart w:id="35" w:name="_Toc144974496"/>
      <w:bookmarkStart w:id="36" w:name="_Toc152045528"/>
      <w:bookmarkStart w:id="37" w:name="_Toc20134"/>
      <w:r>
        <w:rPr>
          <w:rFonts w:hint="eastAsia" w:ascii="宋体" w:cs="宋体"/>
          <w:color w:val="auto"/>
          <w:sz w:val="28"/>
          <w:szCs w:val="28"/>
        </w:rPr>
        <w:t>投标人须知前附表</w:t>
      </w:r>
      <w:bookmarkEnd w:id="30"/>
      <w:bookmarkEnd w:id="31"/>
      <w:bookmarkEnd w:id="32"/>
      <w:bookmarkEnd w:id="33"/>
      <w:bookmarkEnd w:id="34"/>
      <w:bookmarkEnd w:id="35"/>
      <w:bookmarkEnd w:id="36"/>
      <w:bookmarkEnd w:id="37"/>
    </w:p>
    <w:tbl>
      <w:tblPr>
        <w:tblStyle w:val="17"/>
        <w:tblW w:w="9817" w:type="dxa"/>
        <w:tblInd w:w="3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
        <w:gridCol w:w="2740"/>
        <w:gridCol w:w="6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条款号</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条款名称</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1.1.2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招标人</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名称：洛阳市涧西区住房和城乡建设局</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地址：洛阳市涧西区太原路58号</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联系人：胡女士</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联系方式：0379-64232660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1.1.3</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招标代理机构</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代理机构：河南达诺工程咨询服务有限公司</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地 址：中国（河南）自由贸易试验区洛阳片区（高新）河洛路65号1幢805室</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联 系 人：李女士</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电 话：0379-62903158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1.1.4</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项目名称</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洛阳市涧西区豫北二路（中州西路-景华路）提升改造工程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1.1.5</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建设地点</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洛阳市涧西区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1.2.1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资金来源</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财政资金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1.2.2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资金落实情况</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1.2.3</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承包方式</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中标价</w:t>
            </w:r>
            <w:r>
              <w:rPr>
                <w:rFonts w:hint="eastAsia" w:asciiTheme="minorEastAsia" w:hAnsiTheme="minorEastAsia" w:eastAsiaTheme="minorEastAsia" w:cstheme="minorEastAsia"/>
                <w:color w:val="auto"/>
                <w:sz w:val="24"/>
                <w:szCs w:val="24"/>
                <w:lang w:val="en-US" w:eastAsia="zh-CN"/>
              </w:rPr>
              <w:t>±设计</w:t>
            </w:r>
            <w:r>
              <w:rPr>
                <w:rFonts w:hint="eastAsia" w:asciiTheme="minorEastAsia" w:hAnsiTheme="minorEastAsia" w:eastAsiaTheme="minorEastAsia" w:cstheme="minorEastAsia"/>
                <w:color w:val="auto"/>
                <w:sz w:val="24"/>
                <w:szCs w:val="24"/>
              </w:rPr>
              <w:t>变更</w:t>
            </w:r>
            <w:r>
              <w:rPr>
                <w:rFonts w:hint="eastAsia" w:asciiTheme="minorEastAsia" w:hAnsiTheme="minorEastAsia" w:eastAsiaTheme="minorEastAsia" w:cstheme="minorEastAsia"/>
                <w:color w:val="auto"/>
                <w:sz w:val="24"/>
                <w:szCs w:val="24"/>
                <w:lang w:eastAsia="zh-CN"/>
              </w:rPr>
              <w:t>和预算外签证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1.3.1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招标范围</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本项目施工图纸、工程量清单及招标文件范围内的全部内容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1.3.2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工期</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100</w:t>
            </w:r>
            <w:r>
              <w:rPr>
                <w:rFonts w:hint="eastAsia" w:asciiTheme="minorEastAsia" w:hAnsiTheme="minorEastAsia" w:eastAsiaTheme="minorEastAsia" w:cstheme="minorEastAsia"/>
                <w:color w:val="auto"/>
                <w:sz w:val="24"/>
                <w:szCs w:val="24"/>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1.3.3</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质量标准</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符合国家质量验收备案合格标准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1.3.4</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安全目标</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杜绝死亡、重伤事故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1.3.5</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文明工地目标</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市级文明工地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1.3.6</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扬尘防治目标</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严格按照国家、省、市扬尘污染防治标准及各项扬尘管控指令，做到达标生产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1.4.1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投标人资质条件、能力</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b/>
                <w:bCs/>
                <w:color w:val="auto"/>
                <w:sz w:val="24"/>
                <w:szCs w:val="24"/>
                <w:lang w:eastAsia="zh-CN"/>
              </w:rPr>
              <w:t>同招标公告“三、投标人资格要求”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1.9.1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踏勘现场</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不组织（可自行踏勘现场）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1.10.1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投标预备会</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1.10.2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投标人提出问题的截止时间</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提交投标文件截止时间10日前，由投标人的被授权人提交书面材料（盖公章）。</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在投标截止时间前10日内，采购人、采购代理机构不再受理投标人提出的问题。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1.10.3</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招标人书面澄清的时间</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提交投标文件截止时间15日前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1.11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偏离</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允许正偏离，投标人可以提出更利于招标人的承诺。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构成招标文件的其他材料</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招标文件的补充文件（如有）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2.2.1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投标人要求澄清招标文件的截止时间</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提交投标文件截止时间10日前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2.2.2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投标截止时间</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同公告</w:t>
            </w:r>
            <w:r>
              <w:rPr>
                <w:rFonts w:hint="eastAsia" w:asciiTheme="minorEastAsia" w:hAnsiTheme="minorEastAsia" w:eastAsiaTheme="minorEastAsia" w:cstheme="minorEastAsia"/>
                <w:color w:val="auto"/>
                <w:sz w:val="24"/>
                <w:szCs w:val="24"/>
              </w:rPr>
              <w:t>投标截止时间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2.2.3</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投标人确认收到招标文件澄清的时间</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收到澄清后24小时内（以发出时间为准）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2.3.2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投标人确认收到招标文件修改的时间</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收到澄清后24小时内（以发出时间为准）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3.1.1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构成投标文件的其他材料</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投标人认为的其他材料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3.3.1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投标有效期</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自投标文件截止之日起90天。有效期短于该期限的投标将被拒绝。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3.4.1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投标保证金</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投标保证金金额：</w:t>
            </w:r>
            <w:r>
              <w:rPr>
                <w:rFonts w:hint="eastAsia" w:asciiTheme="minorEastAsia" w:hAnsiTheme="minorEastAsia" w:eastAsiaTheme="minorEastAsia" w:cstheme="minorEastAsia"/>
                <w:b/>
                <w:bCs/>
                <w:color w:val="auto"/>
                <w:sz w:val="24"/>
                <w:szCs w:val="24"/>
              </w:rPr>
              <w:t>人民币</w:t>
            </w:r>
            <w:r>
              <w:rPr>
                <w:rFonts w:hint="eastAsia" w:asciiTheme="minorEastAsia" w:hAnsiTheme="minorEastAsia" w:eastAsiaTheme="minorEastAsia" w:cstheme="minorEastAsia"/>
                <w:b/>
                <w:bCs/>
                <w:color w:val="auto"/>
                <w:sz w:val="24"/>
                <w:szCs w:val="24"/>
                <w:lang w:eastAsia="zh-CN"/>
              </w:rPr>
              <w:t>柒万元整</w:t>
            </w:r>
            <w:r>
              <w:rPr>
                <w:rFonts w:hint="eastAsia" w:asciiTheme="minorEastAsia" w:hAnsiTheme="minorEastAsia" w:eastAsiaTheme="minorEastAsia" w:cstheme="minorEastAsia"/>
                <w:b/>
                <w:bCs/>
                <w:color w:val="auto"/>
                <w:sz w:val="24"/>
                <w:szCs w:val="24"/>
              </w:rPr>
              <w:t>（¥</w:t>
            </w:r>
            <w:r>
              <w:rPr>
                <w:rFonts w:hint="eastAsia" w:asciiTheme="minorEastAsia" w:hAnsiTheme="minorEastAsia" w:eastAsiaTheme="minorEastAsia" w:cstheme="minorEastAsia"/>
                <w:b/>
                <w:bCs/>
                <w:color w:val="auto"/>
                <w:sz w:val="24"/>
                <w:szCs w:val="24"/>
                <w:lang w:val="en-US" w:eastAsia="zh-CN"/>
              </w:rPr>
              <w:t>70000.00</w:t>
            </w:r>
            <w:r>
              <w:rPr>
                <w:rFonts w:hint="eastAsia" w:asciiTheme="minorEastAsia" w:hAnsiTheme="minorEastAsia" w:eastAsiaTheme="minorEastAsia" w:cstheme="minorEastAsia"/>
                <w:b/>
                <w:bCs/>
                <w:color w:val="auto"/>
                <w:sz w:val="24"/>
                <w:szCs w:val="24"/>
              </w:rPr>
              <w:t>元）。</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投标保证金的形式：银行转账或电子投标保函</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1、本次投标保证金不接受现金（含现金缴款单）。</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2、每个标段（包）由“洛阳市电子招投标交易平台”自动生成一个对应的保证金账号，不同标段（包）的保证金账号不同。</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3、如投标人投多个标段（包），则应按所投标段（包）的保证金账号和金额分别单笔足额缴纳（多笔合计无效），否则将视为无效保证金。保证金缴纳信息可在线打印。</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本次招标，投标人必须从投标人的基本账户通过转账方式最迟于提交投标文件截止时间前转至指定账户。即“洛阳市电子招投标交易平台”自动生成的对应的保证金账号之账户，以代理机构从洛阳市公共资源交易中心电子招投标交易平台系统显示的到账金额和时间为准。</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电子保函方式递交：</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（1）获取电子保函的路径方法（参见办事指南----洛阳市公共资源交易金融服务平台操作手册）。</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投标截止时间前，投标人在交易系统“电子保函申请”页面进行电子保函申请，出具保函的相关机构审批通过后，将以密文形式出具电子保函文件，投标人在金融服务平台可下载该保函文件。在投标截止时间前开具成功的电子投标保函系统自动确认生效,并通过电子交易系统在线递交。开标时电子保函文件解密，解密后的电子保函文件同步传送到交易系统，使用电子保函方式的投标人可查看下载。</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（3）保函保费支付均需从投标人基本户转出，非基本户无效。</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（4）在投标文件中附投标保函。</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eastAsiaTheme="minorEastAsia" w:cstheme="minorEastAsia"/>
                <w:color w:val="auto"/>
                <w:sz w:val="24"/>
                <w:szCs w:val="24"/>
              </w:rPr>
              <w:t>）中标候选人应在中标候选人公示后将投标保函原件送至招标人或招标代理机构处，招标人将在中标人与招标人签订合同之前对中标候选人的投标保函进行核验查询。中标候选人负责提供相关官方查询途径及查询方法。如发现投标保函无效或不符合相关法律规定，招标人有权取消其中候选人资格或中标资格，报请有关监督部门，并按招标文件要求顺延中标人。情节严重的，招标人将上报有关监督部门按相关法律法规处理。给招标人造成的损失还应当予以赔偿。</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r>
              <w:rPr>
                <w:rFonts w:hint="eastAsia" w:asciiTheme="minorEastAsia" w:hAnsiTheme="minorEastAsia" w:eastAsiaTheme="minorEastAsia" w:cstheme="minorEastAsia"/>
                <w:color w:val="auto"/>
                <w:sz w:val="24"/>
                <w:szCs w:val="24"/>
                <w:lang w:val="en-US" w:eastAsia="zh-CN"/>
              </w:rPr>
              <w:t>6</w:t>
            </w:r>
            <w:r>
              <w:rPr>
                <w:rFonts w:hint="eastAsia" w:asciiTheme="minorEastAsia" w:hAnsiTheme="minorEastAsia" w:eastAsiaTheme="minorEastAsia" w:cstheme="minorEastAsia"/>
                <w:color w:val="auto"/>
                <w:sz w:val="24"/>
                <w:szCs w:val="24"/>
              </w:rPr>
              <w:t>）保证金的退还：自合同签订后5个工作日内（中标人通过洛阳市电子招投标交易平台上传合同扫描件并发送到邮箱hndn2020@163.com）退还中标人的投标</w:t>
            </w:r>
            <w:r>
              <w:rPr>
                <w:rFonts w:hint="eastAsia" w:asciiTheme="minorEastAsia" w:hAnsiTheme="minorEastAsia" w:eastAsiaTheme="minorEastAsia" w:cstheme="minorEastAsia"/>
                <w:color w:val="auto"/>
                <w:sz w:val="24"/>
                <w:szCs w:val="24"/>
                <w:lang w:eastAsia="zh-CN"/>
              </w:rPr>
              <w:t>保证金</w:t>
            </w:r>
            <w:r>
              <w:rPr>
                <w:rFonts w:hint="eastAsia" w:asciiTheme="minorEastAsia" w:hAnsiTheme="minorEastAsia" w:eastAsiaTheme="minorEastAsia" w:cstheme="minorEastAsia"/>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3.5.2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近年财务状况的年份要求</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t>20</w:t>
            </w:r>
            <w:r>
              <w:rPr>
                <w:rFonts w:hint="eastAsia" w:asciiTheme="minorEastAsia" w:hAnsiTheme="minorEastAsia" w:eastAsiaTheme="minorEastAsia" w:cstheme="minorEastAsia"/>
                <w:color w:val="auto"/>
                <w:sz w:val="24"/>
                <w:szCs w:val="24"/>
                <w:lang w:val="en-US" w:eastAsia="zh-CN"/>
              </w:rPr>
              <w:t>20</w:t>
            </w:r>
            <w:r>
              <w:rPr>
                <w:rFonts w:hint="eastAsia" w:asciiTheme="minorEastAsia" w:hAnsiTheme="minorEastAsia" w:eastAsiaTheme="minorEastAsia" w:cstheme="minorEastAsia"/>
                <w:color w:val="auto"/>
                <w:sz w:val="24"/>
                <w:szCs w:val="24"/>
              </w:rPr>
              <w:t>年</w:t>
            </w:r>
            <w:r>
              <w:rPr>
                <w:rFonts w:hint="eastAsia" w:asciiTheme="minorEastAsia" w:hAnsiTheme="minorEastAsia" w:eastAsiaTheme="minorEastAsia" w:cstheme="minorEastAsia"/>
                <w:color w:val="auto"/>
                <w:sz w:val="24"/>
                <w:szCs w:val="24"/>
                <w:lang w:eastAsia="zh-CN"/>
              </w:rPr>
              <w:t>或</w:t>
            </w:r>
            <w:r>
              <w:rPr>
                <w:rFonts w:hint="eastAsia" w:asciiTheme="minorEastAsia" w:hAnsiTheme="minorEastAsia" w:eastAsiaTheme="minorEastAsia" w:cstheme="minorEastAsia"/>
                <w:color w:val="auto"/>
                <w:sz w:val="24"/>
                <w:szCs w:val="24"/>
                <w:lang w:val="en-US" w:eastAsia="zh-CN"/>
              </w:rPr>
              <w:t>2021年度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3.6.3</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签字或盖章要求</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电子化投标文件的签章：</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1、投标人在生成电子化投标文件后，应对电子化投标文件进行签章（电子印章），未按规定对电子化投标文件进行盖章（电子印章）的视为无效投标。（投标人在电子签章时尽量不要遮挡关键信息）。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2、投标文件格式中要求法定代表人或授权委托人签字或盖章的，签字可以是手签后上传的，也可以是电子手写签字或电子签章。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3.6.4</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投标文件份数</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4.1.2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封套上应载明的信息</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4.2.2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提交投标文件及投标地点</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电子投标文件递交地点：在投标截止时间前通过全国公共资源交易平台（河南省·洛阳市）（http://</w:t>
            </w:r>
            <w:r>
              <w:rPr>
                <w:rFonts w:hint="eastAsia" w:asciiTheme="minorEastAsia" w:hAnsiTheme="minorEastAsia" w:eastAsiaTheme="minorEastAsia" w:cstheme="minorEastAsia"/>
                <w:color w:val="auto"/>
                <w:sz w:val="24"/>
                <w:szCs w:val="24"/>
                <w:lang w:eastAsia="zh-CN"/>
              </w:rPr>
              <w:t>lyggzyjy.iy.gov.cn</w:t>
            </w:r>
            <w:r>
              <w:rPr>
                <w:rFonts w:hint="eastAsia" w:asciiTheme="minorEastAsia" w:hAnsiTheme="minorEastAsia" w:eastAsiaTheme="minorEastAsia" w:cstheme="minorEastAsia"/>
                <w:color w:val="auto"/>
                <w:sz w:val="24"/>
                <w:szCs w:val="24"/>
              </w:rPr>
              <w:t>）系统中在线完成上传加密的电子投标文件。</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（提醒：投标人应考虑投标数据传输耗时以及意外情况的影响，适当提前上传）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4.2.3</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是否退还投标文件</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开标时间和地点</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开标时间：同投标截止时间</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开标地点：同递交投标文件地点。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6.1.1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评标委员会的组建</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评标委员会构成： 5 人，</w:t>
            </w:r>
            <w:r>
              <w:rPr>
                <w:rFonts w:hint="eastAsia" w:asciiTheme="minorEastAsia" w:hAnsiTheme="minorEastAsia" w:eastAsiaTheme="minorEastAsia" w:cstheme="minorEastAsia"/>
                <w:color w:val="auto"/>
                <w:sz w:val="24"/>
                <w:szCs w:val="24"/>
                <w:lang w:eastAsia="zh-CN"/>
              </w:rPr>
              <w:t>由经济、技术相关</w:t>
            </w:r>
            <w:r>
              <w:rPr>
                <w:rFonts w:hint="eastAsia" w:asciiTheme="minorEastAsia" w:hAnsiTheme="minorEastAsia" w:eastAsiaTheme="minorEastAsia" w:cstheme="minorEastAsia"/>
                <w:color w:val="auto"/>
                <w:sz w:val="24"/>
                <w:szCs w:val="24"/>
              </w:rPr>
              <w:t>专家</w:t>
            </w: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eastAsiaTheme="minorEastAsia" w:cstheme="minorEastAsia"/>
                <w:color w:val="auto"/>
                <w:sz w:val="24"/>
                <w:szCs w:val="24"/>
              </w:rPr>
              <w:t>人</w:t>
            </w:r>
            <w:r>
              <w:rPr>
                <w:rFonts w:hint="eastAsia" w:asciiTheme="minorEastAsia" w:hAnsiTheme="minorEastAsia" w:eastAsiaTheme="minorEastAsia" w:cstheme="minorEastAsia"/>
                <w:color w:val="auto"/>
                <w:sz w:val="24"/>
                <w:szCs w:val="24"/>
                <w:lang w:eastAsia="zh-CN"/>
              </w:rPr>
              <w:t>组成</w:t>
            </w:r>
            <w:r>
              <w:rPr>
                <w:rFonts w:hint="eastAsia" w:asciiTheme="minorEastAsia" w:hAnsiTheme="minorEastAsia" w:eastAsiaTheme="minorEastAsia" w:cstheme="minorEastAsia"/>
                <w:color w:val="auto"/>
                <w:sz w:val="24"/>
                <w:szCs w:val="24"/>
              </w:rPr>
              <w:t>；</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评标专家确定方式：从河南省综合评标专家库中随机抽取。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7.1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是否授权评标委员会确定中标人</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否，推荐的中标候选人数：3名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7.2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中标候选人公示媒介</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《河南省政府采购网》、《洛阳市公共资源交易中心网》、《中国招标投标公共服务平台》、《洛阳招标采购网》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7.4.1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履约担保</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依据河南省财政厅《关于优化政府采购营商环境有关问题的通知》（豫财购【2019】4 号）文件要求，本项目免收履约保证金。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9</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是否采用电子招标投标</w:t>
            </w:r>
          </w:p>
        </w:tc>
        <w:tc>
          <w:tcPr>
            <w:tcW w:w="6060" w:type="dxa"/>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17" w:type="dxa"/>
            <w:gridSpan w:val="3"/>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10.需要补充的其他资料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7"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bookmarkStart w:id="38" w:name="_Toc247085689"/>
            <w:bookmarkStart w:id="39" w:name="_Toc152045529"/>
            <w:bookmarkStart w:id="40" w:name="_Toc246996175"/>
            <w:bookmarkStart w:id="41" w:name="_Toc179632546"/>
            <w:bookmarkStart w:id="42" w:name="_Toc246996918"/>
            <w:bookmarkStart w:id="43" w:name="_Toc152042305"/>
            <w:bookmarkStart w:id="44" w:name="_Toc144974497"/>
            <w:r>
              <w:rPr>
                <w:rFonts w:hint="eastAsia" w:asciiTheme="minorEastAsia" w:hAnsiTheme="minorEastAsia" w:eastAsiaTheme="minorEastAsia" w:cstheme="minorEastAsia"/>
                <w:color w:val="auto"/>
                <w:sz w:val="24"/>
                <w:szCs w:val="24"/>
              </w:rPr>
              <w:t>10.1</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是否采用电子招标投标</w:t>
            </w:r>
          </w:p>
        </w:tc>
        <w:tc>
          <w:tcPr>
            <w:tcW w:w="6060" w:type="dxa"/>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是，具体要求：投标文件所附证明材料均为原件的扫描件（或照片），尺寸和清晰度应该能够在电脑上被阅读、识别和判断；若投标人未按要求提供证明材料或提供不清晰的扫描件（或照片）的，评标委员会有权认定其投标文件未对招标文件有关要求进行响应，涉及资格审查或符合性审查的将不予通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46"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10.2</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投标人参加开标人员</w:t>
            </w:r>
          </w:p>
        </w:tc>
        <w:tc>
          <w:tcPr>
            <w:tcW w:w="6060" w:type="dxa"/>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本项目采用远程不见面交易的模式。开标当日，投标人无需到开标现场参加开标会议，投标人应当在投标截止时间前，登录不见面开标大厅选择洛阳市公共资源电子招投标系统进行登录（网址为 </w:t>
            </w:r>
            <w:r>
              <w:rPr>
                <w:rFonts w:hint="eastAsia" w:asciiTheme="minorEastAsia" w:hAnsiTheme="minorEastAsia" w:eastAsiaTheme="minorEastAsia" w:cstheme="minorEastAsia"/>
                <w:color w:val="auto"/>
                <w:sz w:val="24"/>
                <w:szCs w:val="24"/>
              </w:rPr>
              <w:fldChar w:fldCharType="begin"/>
            </w:r>
            <w:r>
              <w:rPr>
                <w:rFonts w:hint="eastAsia" w:asciiTheme="minorEastAsia" w:hAnsiTheme="minorEastAsia" w:eastAsiaTheme="minorEastAsia" w:cstheme="minorEastAsia"/>
                <w:color w:val="auto"/>
                <w:sz w:val="24"/>
                <w:szCs w:val="24"/>
              </w:rPr>
              <w:instrText xml:space="preserve"> HYPERLINK "http://t.cn/A6huPROa" \h </w:instrText>
            </w:r>
            <w:r>
              <w:rPr>
                <w:rFonts w:hint="eastAsia" w:asciiTheme="minorEastAsia" w:hAnsiTheme="minorEastAsia" w:eastAsiaTheme="minorEastAsia" w:cstheme="minorEastAsia"/>
                <w:color w:val="auto"/>
                <w:sz w:val="24"/>
                <w:szCs w:val="24"/>
              </w:rPr>
              <w:fldChar w:fldCharType="separate"/>
            </w:r>
            <w:r>
              <w:rPr>
                <w:rFonts w:hint="eastAsia" w:asciiTheme="minorEastAsia" w:hAnsiTheme="minorEastAsia" w:eastAsiaTheme="minorEastAsia" w:cstheme="minorEastAsia"/>
                <w:color w:val="auto"/>
                <w:sz w:val="24"/>
                <w:szCs w:val="24"/>
              </w:rPr>
              <w:t>http://t.cn/A6huPROa</w:t>
            </w:r>
            <w:r>
              <w:rPr>
                <w:rFonts w:hint="eastAsia" w:asciiTheme="minorEastAsia" w:hAnsiTheme="minorEastAsia" w:eastAsiaTheme="minorEastAsia" w:cstheme="minorEastAsia"/>
                <w:color w:val="auto"/>
                <w:sz w:val="24"/>
                <w:szCs w:val="24"/>
              </w:rPr>
              <w:fldChar w:fldCharType="end"/>
            </w:r>
            <w:r>
              <w:rPr>
                <w:rFonts w:hint="eastAsia" w:asciiTheme="minorEastAsia" w:hAnsiTheme="minorEastAsia" w:eastAsiaTheme="minorEastAsia" w:cstheme="minorEastAsia"/>
                <w:color w:val="auto"/>
                <w:sz w:val="24"/>
                <w:szCs w:val="24"/>
              </w:rPr>
              <w:t>），在线准时参加开标活动并进行投标文件解密等。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12"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10.3</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项目经理论述</w:t>
            </w:r>
          </w:p>
        </w:tc>
        <w:tc>
          <w:tcPr>
            <w:tcW w:w="6060" w:type="dxa"/>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具体操作答辩形式：项目经理答辩采用不见面远程答辩形式，项目经理无需到评标现场答辩。</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具体操作及要求：</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本次答辩软件为“</w:t>
            </w:r>
            <w:r>
              <w:rPr>
                <w:rFonts w:hint="eastAsia" w:asciiTheme="minorEastAsia" w:hAnsiTheme="minorEastAsia" w:eastAsiaTheme="minorEastAsia" w:cstheme="minorEastAsia"/>
                <w:color w:val="auto"/>
                <w:sz w:val="24"/>
                <w:szCs w:val="24"/>
                <w:lang w:eastAsia="zh-CN"/>
              </w:rPr>
              <w:t>钉钉</w:t>
            </w:r>
            <w:r>
              <w:rPr>
                <w:rFonts w:hint="eastAsia" w:asciiTheme="minorEastAsia" w:hAnsiTheme="minorEastAsia" w:eastAsiaTheme="minorEastAsia" w:cstheme="minorEastAsia"/>
                <w:color w:val="auto"/>
                <w:sz w:val="24"/>
                <w:szCs w:val="24"/>
              </w:rPr>
              <w:t>”软件。投标人须在投标文件中提供法定代表人或委托代理人“手机号”和项目经理本人的“手机号”、“</w:t>
            </w:r>
            <w:r>
              <w:rPr>
                <w:rFonts w:hint="eastAsia" w:asciiTheme="minorEastAsia" w:hAnsiTheme="minorEastAsia" w:eastAsiaTheme="minorEastAsia" w:cstheme="minorEastAsia"/>
                <w:color w:val="auto"/>
                <w:sz w:val="24"/>
                <w:szCs w:val="24"/>
                <w:lang w:eastAsia="zh-CN"/>
              </w:rPr>
              <w:t>钉钉</w:t>
            </w:r>
            <w:r>
              <w:rPr>
                <w:rFonts w:hint="eastAsia" w:asciiTheme="minorEastAsia" w:hAnsiTheme="minorEastAsia" w:eastAsiaTheme="minorEastAsia" w:cstheme="minorEastAsia"/>
                <w:color w:val="auto"/>
                <w:sz w:val="24"/>
                <w:szCs w:val="24"/>
              </w:rPr>
              <w:t>”等相关信息，后附投标人远程答辩信息表（以便接收答辩通知及会议要求）。 答辩具体操作如下：</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①项目经理答辩前，代理机构将通过“加好友”方式添加“投标人的项目经理”为好友，验证信息为：“</w:t>
            </w:r>
            <w:r>
              <w:rPr>
                <w:rFonts w:hint="eastAsia" w:asciiTheme="minorEastAsia" w:hAnsiTheme="minorEastAsia" w:eastAsiaTheme="minorEastAsia" w:cstheme="minorEastAsia"/>
                <w:color w:val="auto"/>
                <w:sz w:val="24"/>
                <w:szCs w:val="24"/>
                <w:lang w:eastAsia="zh-CN"/>
              </w:rPr>
              <w:t>洛阳市涧西区豫北二路（中州西路-景华路）提升改造工程</w:t>
            </w:r>
            <w:r>
              <w:rPr>
                <w:rFonts w:hint="eastAsia" w:asciiTheme="minorEastAsia" w:hAnsiTheme="minorEastAsia" w:eastAsiaTheme="minorEastAsia" w:cstheme="minorEastAsia"/>
                <w:color w:val="auto"/>
                <w:sz w:val="24"/>
                <w:szCs w:val="24"/>
              </w:rPr>
              <w:t>-述标”。请投标单位安排答辩项目经理准备好本人身份证原件在电脑前做好相关准备。</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②通过好友后，项目经理</w:t>
            </w:r>
            <w:r>
              <w:rPr>
                <w:rFonts w:hint="eastAsia" w:asciiTheme="minorEastAsia" w:hAnsiTheme="minorEastAsia" w:eastAsiaTheme="minorEastAsia" w:cstheme="minorEastAsia"/>
                <w:color w:val="auto"/>
                <w:sz w:val="24"/>
                <w:szCs w:val="24"/>
                <w:lang w:eastAsia="zh-CN"/>
              </w:rPr>
              <w:t>钉钉</w:t>
            </w:r>
            <w:r>
              <w:rPr>
                <w:rFonts w:hint="eastAsia" w:asciiTheme="minorEastAsia" w:hAnsiTheme="minorEastAsia" w:eastAsiaTheme="minorEastAsia" w:cstheme="minorEastAsia"/>
                <w:color w:val="auto"/>
                <w:sz w:val="24"/>
                <w:szCs w:val="24"/>
              </w:rPr>
              <w:t>应保持在线，随时准备接受答辩。各投标人需提前测试好网络及设备（话筒、摄像头等），并熟悉摄像头及话筒的使用，避免答辩过程中因操作失误造成不必要的损失。</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③答辩项目经理必须在正规办公场所进行答辩，同时应着装得体，答辩时间内，不得接听电话，不得有无关人员在场。</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④按照现场排序情况，与项目经理本人进行视频通话。若添加好友出现不接受、无响应的情况或接受好友后，发起 3 次视频通话均无法接通者，按未参加本项目“项目经理答辩”认定。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64"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10.4</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电子投标文件雷同性检查提示</w:t>
            </w:r>
          </w:p>
        </w:tc>
        <w:tc>
          <w:tcPr>
            <w:tcW w:w="6060" w:type="dxa"/>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洛阳市住建局将建立计价软件电子加密锁实名信息管理库，对参与洛阳市房屋建筑和市政基础设施项目的，实行计价软件电子加密锁进行实名管理（具体要求详见（洛建【2020】60 号文）《关于房屋建筑和市政基础设施工程电子投标文件雷同认定与处理的通知》）。投标人原则上应使用本单位的计价软件加密锁编制已标价工程量清单。行政监督部门对使用非本单位或个人计价软件加密锁编制已标价工程量清单的投标人，以及频繁变更加密锁信息的单位或个人，予以列入重点监管对象，同时对其参与投标的</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项目进行重点监管。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98"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10.5</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代理服务费</w:t>
            </w:r>
          </w:p>
        </w:tc>
        <w:tc>
          <w:tcPr>
            <w:tcW w:w="6060" w:type="dxa"/>
            <w:vAlign w:val="top"/>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本次招标代理服务费由中标人在领取《中标通知书》时向招标代理机构一次性缴纳，此费用由投标人在投标报价中综合考虑。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10.6</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付款方式</w:t>
            </w:r>
          </w:p>
        </w:tc>
        <w:tc>
          <w:tcPr>
            <w:tcW w:w="6060" w:type="dxa"/>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具体以双方签订的施工合同为准。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95"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10.7</w:t>
            </w:r>
          </w:p>
        </w:tc>
        <w:tc>
          <w:tcPr>
            <w:tcW w:w="274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投标人违法行为的处理</w:t>
            </w:r>
          </w:p>
        </w:tc>
        <w:tc>
          <w:tcPr>
            <w:tcW w:w="6060" w:type="dxa"/>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招标人若发现评标委员会推举的中标候选人有借用资质、串标围标、弄虚作假或其他违法行为谋取中标的，招标人将报请有关监督部门取消其中候选人资格或中标资格，情节严重的，招标人将上报有关监督部门按相关法</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律法规处理。给招标人造成的损失还应当予以赔偿。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95"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10.8</w:t>
            </w:r>
          </w:p>
        </w:tc>
        <w:tc>
          <w:tcPr>
            <w:tcW w:w="8800" w:type="dxa"/>
            <w:gridSpan w:val="2"/>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注：1、本项目采用远程不见面电子开评标，投标人开标前必须通过  CA  上传投标文件及清单电子版。因投标人自身原因而导致投标文件无法导入“洛阳市电子招投标交易平台”电子开标、评标系统，该投标视为无效投标，投标人自行承担由此导致的全部责任。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2、投标人无需递交纸质版投标文件。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3、投标文件的制作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投标文件由投标人使用洛阳市公共资源交易中心网站提供的最新版的投标文件制作工具制作生成。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投标人在编制投标文件时应建立分级目录，并按照标签提示导入相关内容。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投标文件所附证明材料均为原件的扫描件，尺寸和清晰度应该能够在电脑上被阅读、识别和判断；若投标人未按要求提供证明材料或提供不清晰的扫描件的，评标委员会有权认定其投标文件未对招标文件有关要求进行响应，各投标单位对原件扫描件的真实性、合法性、有效性负责。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投标文件中的已标价工程量清单数据文件应与招标人提供的工程量清单数据文件格式一致。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招标文件中要求提供网页查询路径或查询网址的，投标人在制作投标文件时应将查询路径或查询网址复制至投标文件中，方便评委会在评审时点击网址便可查询相关内容。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投标文件中要盖单位章的地方，投标人均应使用 CA 数字证书加盖投标人的单位电子签章。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80"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10.9</w:t>
            </w:r>
          </w:p>
        </w:tc>
        <w:tc>
          <w:tcPr>
            <w:tcW w:w="8800" w:type="dxa"/>
            <w:gridSpan w:val="2"/>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最高投标限价：见本节后附表《</w:t>
            </w:r>
            <w:r>
              <w:rPr>
                <w:rFonts w:hint="eastAsia" w:asciiTheme="minorEastAsia" w:hAnsiTheme="minorEastAsia" w:eastAsiaTheme="minorEastAsia" w:cstheme="minorEastAsia"/>
                <w:color w:val="auto"/>
                <w:sz w:val="24"/>
                <w:szCs w:val="24"/>
                <w:lang w:eastAsia="zh-CN"/>
              </w:rPr>
              <w:t>招标控制价汇总表</w:t>
            </w:r>
            <w:r>
              <w:rPr>
                <w:rFonts w:hint="eastAsia" w:asciiTheme="minorEastAsia" w:hAnsiTheme="minorEastAsia" w:eastAsiaTheme="minorEastAsia" w:cstheme="minorEastAsia"/>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注：最高投标限价是招标人设定的最高限价，投标人的投标报价不得高于最高投标限价中所列各项费用，否则，按废标处理。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51"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10.10</w:t>
            </w:r>
          </w:p>
        </w:tc>
        <w:tc>
          <w:tcPr>
            <w:tcW w:w="8800" w:type="dxa"/>
            <w:gridSpan w:val="2"/>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农民工工资保障金：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1、按照洛阳市住房和城乡建设局《关于进一步规范农民工工资保障金和工程担保管理的通知》洛建【2019】78号执行：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（1）企业注册地在洛的施工企业按照单项工程总造价的1%存储农民工保障金，外地进洛施工企业按照单项工程总造价的2%存储农民工工资保障金。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2）被评为我市“重点扶持企业”或近两年内落实实名制信息化管理且没有拖欠不良行为记录的施工企业，根据企业申请，可选择一次性存储一定数额的应急押金的农民工工资保障金缴存方式，不再按单项工程存储农民工工资保障金，并在市区范围内通用。其中：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（一）市重点扶持企业一次性存储应急押金100万元；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（二）特级、一级建筑业企业一次性存储应急押金200万元；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（三）二级、三级建筑业企业一次性存储应急押金50万元；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3）建设项目由外地施工企业施工的建设单位按照单项工程总造价2%缴纳农民工保障金；项目由我市建筑企业施工的建设单位按照单项工程总造价的1%缴纳农民工保障金；建设项目由我市重点扶持企业施工建设单位该项目可享受对应重点扶持企业一次性存储应急押金的优惠政策。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（4）施工企业发生拖欠农民工工资或建设单位拖欠工程款造成拖欠农民工工资的，经建设主管部门和劳动监察部门认定，可使用施工企业或建设单位缴存的农民工工资保障金，用于垫付被拖欠的农民工工资。</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农民工工资保障金使用后，相关企业应在一个月内按标准足额补缴；逾期未补缴的，记入洛阳市建筑市场诚信建设“黑榜”名单，并予以追缴。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2、施工单位（投标人）在参与竞标时，必须对农民工工资保障金的问题做出以下承诺：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一是企业在竞标时必须在标书中如实反映其以前所承建工程中工资支付的情况，需特别注明截止竞标之日止，是否存在拖欠或克扣农民工工资的行为。</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二是企业在竞标时必须在标书中承诺中标后能够及时、足额存入农民工工资保障金。</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三是企业在竞标时必须在标书中承诺：一旦其承包的建筑工程项目中出现拖欠职工工资情况的，可由建设行政主管部门从工资保障金中先划支。</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bCs/>
                <w:color w:val="auto"/>
                <w:sz w:val="24"/>
                <w:szCs w:val="24"/>
              </w:rPr>
              <w:t>投标人提交的投标文件不具备以上三项内容的，在评标时对其实行“一票否决”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4"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10.11</w:t>
            </w:r>
          </w:p>
        </w:tc>
        <w:tc>
          <w:tcPr>
            <w:tcW w:w="8800" w:type="dxa"/>
            <w:gridSpan w:val="2"/>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可以享受中小企业扶持政策的具体要求：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根据财政部、工业和信息化部《政府采购促进中小企业发展管理办法》（财库〔2020〕46号）第六条“可不专门面向中小企业预留采购份额”之第三款规定“按照本办法规定预留采购份额无法确保充分供应、充分竞争，或者存在可能影响政府采购目标实现的情形”，本项目支持中小微企业（监狱企业、残疾人福利性企业视同小微企业）。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相关的中小企业应当出具《中小企业声明函》，否则不享受相关中小企业扶持政策。本次招标项目对应的中小企业划分标准所属行业为建筑业。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对符合规定的小微企业，评标时在采用原报价进行评分的基础上增加其价格得分的3%作为其价格分。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依法享受扶持政策获得政府采购合同的，小微企业不将合同分包给大中型企业，中型企业不得将合同分包给大型企业。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提供声明函内容不实的，属于弄虚作假骗取中标，依照《中华人民共和国招标投标法》等国家有关规定追究相应责任。</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95"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10.12</w:t>
            </w:r>
          </w:p>
        </w:tc>
        <w:tc>
          <w:tcPr>
            <w:tcW w:w="8800" w:type="dxa"/>
            <w:gridSpan w:val="2"/>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解释权：构成本招标文件的各个组成文件应互为解释，互为说明；如有不明确或不一致，构成合同文件组成内容的，以合同文件约定内容为准，且以专用合同条款约定的合同文件优先顺序解释； 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规定仍不能形成结论的，由招标人或招标代理机构负责解释。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5" w:hRule="atLeast"/>
        </w:trPr>
        <w:tc>
          <w:tcPr>
            <w:tcW w:w="1017"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10.13</w:t>
            </w:r>
          </w:p>
        </w:tc>
        <w:tc>
          <w:tcPr>
            <w:tcW w:w="8800" w:type="dxa"/>
            <w:gridSpan w:val="2"/>
            <w:vAlign w:val="top"/>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其它未尽事宜，按国家有关法律、法规执行。 </w:t>
            </w:r>
          </w:p>
        </w:tc>
      </w:tr>
    </w:tbl>
    <w:p>
      <w:pPr>
        <w:rPr>
          <w:color w:val="auto"/>
        </w:rPr>
      </w:pPr>
    </w:p>
    <w:p>
      <w:pPr>
        <w:rPr>
          <w:color w:val="auto"/>
        </w:rPr>
      </w:pPr>
    </w:p>
    <w:p>
      <w:pPr>
        <w:rPr>
          <w:color w:val="auto"/>
        </w:rPr>
        <w:sectPr>
          <w:pgSz w:w="11910" w:h="16850"/>
          <w:pgMar w:top="1380" w:right="720" w:bottom="1180" w:left="860" w:header="886" w:footer="996" w:gutter="0"/>
          <w:cols w:space="720" w:num="1"/>
        </w:sectPr>
      </w:pPr>
    </w:p>
    <w:p>
      <w:pPr>
        <w:pStyle w:val="3"/>
        <w:jc w:val="center"/>
        <w:rPr>
          <w:rFonts w:ascii="宋体"/>
          <w:b/>
          <w:color w:val="auto"/>
          <w:sz w:val="28"/>
          <w:lang w:val="zh-CN"/>
        </w:rPr>
      </w:pPr>
      <w:r>
        <w:rPr>
          <w:rFonts w:hint="eastAsia" w:ascii="宋体" w:hAnsi="宋体" w:cs="宋体"/>
          <w:b/>
          <w:bCs/>
          <w:color w:val="auto"/>
          <w:kern w:val="0"/>
          <w:sz w:val="40"/>
          <w:szCs w:val="40"/>
          <w:lang w:bidi="ar"/>
        </w:rPr>
        <w:t>招标控制价汇总表</w:t>
      </w:r>
    </w:p>
    <w:tbl>
      <w:tblPr>
        <w:tblStyle w:val="1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56"/>
        <w:gridCol w:w="1723"/>
        <w:gridCol w:w="2089"/>
        <w:gridCol w:w="1543"/>
        <w:gridCol w:w="1498"/>
        <w:gridCol w:w="1561"/>
        <w:gridCol w:w="811"/>
        <w:gridCol w:w="885"/>
        <w:gridCol w:w="19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5" w:hRule="atLeast"/>
          <w:jc w:val="center"/>
        </w:trPr>
        <w:tc>
          <w:tcPr>
            <w:tcW w:w="14080" w:type="dxa"/>
            <w:gridSpan w:val="9"/>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b/>
                <w:bCs w:val="0"/>
                <w:color w:val="auto"/>
                <w:sz w:val="24"/>
                <w:lang w:eastAsia="zh-CN"/>
              </w:rPr>
            </w:pPr>
            <w:r>
              <w:rPr>
                <w:rFonts w:hint="eastAsia" w:ascii="宋体" w:hAnsi="宋体" w:eastAsia="宋体" w:cs="宋体"/>
                <w:b/>
                <w:bCs w:val="0"/>
                <w:i w:val="0"/>
                <w:iCs w:val="0"/>
                <w:color w:val="auto"/>
                <w:kern w:val="0"/>
                <w:sz w:val="28"/>
                <w:szCs w:val="28"/>
                <w:u w:val="none"/>
                <w:lang w:val="en-US" w:eastAsia="zh-CN" w:bidi="ar"/>
              </w:rPr>
              <w:t xml:space="preserve">                  </w:t>
            </w:r>
            <w:r>
              <w:rPr>
                <w:rFonts w:hint="eastAsia" w:ascii="宋体" w:hAnsi="宋体" w:cs="宋体"/>
                <w:b/>
                <w:bCs w:val="0"/>
                <w:i w:val="0"/>
                <w:iCs w:val="0"/>
                <w:color w:val="auto"/>
                <w:kern w:val="0"/>
                <w:sz w:val="28"/>
                <w:szCs w:val="28"/>
                <w:u w:val="none"/>
                <w:lang w:val="en-US" w:eastAsia="zh-CN" w:bidi="ar"/>
              </w:rPr>
              <w:t xml:space="preserve">                                                                       </w:t>
            </w:r>
            <w:r>
              <w:rPr>
                <w:rFonts w:hint="eastAsia" w:ascii="宋体" w:hAnsi="宋体" w:eastAsia="宋体" w:cs="宋体"/>
                <w:b/>
                <w:bCs w:val="0"/>
                <w:i w:val="0"/>
                <w:iCs w:val="0"/>
                <w:color w:val="auto"/>
                <w:kern w:val="0"/>
                <w:sz w:val="28"/>
                <w:szCs w:val="28"/>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9" w:hRule="atLeast"/>
          <w:jc w:val="center"/>
        </w:trPr>
        <w:tc>
          <w:tcPr>
            <w:tcW w:w="2056" w:type="dxa"/>
            <w:tcBorders>
              <w:top w:val="single" w:color="auto" w:sz="4" w:space="0"/>
              <w:left w:val="single" w:color="auto" w:sz="4" w:space="0"/>
              <w:bottom w:val="single" w:color="auto"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500" w:lineRule="exact"/>
              <w:jc w:val="center"/>
              <w:rPr>
                <w:rFonts w:hint="eastAsia" w:ascii="宋体" w:hAnsi="宋体" w:eastAsia="宋体" w:cs="宋体"/>
                <w:b/>
                <w:bCs w:val="0"/>
                <w:i w:val="0"/>
                <w:iCs w:val="0"/>
                <w:color w:val="auto"/>
                <w:sz w:val="28"/>
                <w:szCs w:val="28"/>
                <w:u w:val="none"/>
                <w:lang w:eastAsia="zh-CN"/>
              </w:rPr>
            </w:pPr>
            <w:r>
              <w:rPr>
                <w:rFonts w:hint="eastAsia" w:ascii="宋体" w:hAnsi="宋体" w:eastAsia="宋体" w:cs="宋体"/>
                <w:b/>
                <w:bCs w:val="0"/>
                <w:i w:val="0"/>
                <w:iCs w:val="0"/>
                <w:color w:val="auto"/>
                <w:sz w:val="28"/>
                <w:szCs w:val="28"/>
                <w:u w:val="none"/>
                <w:lang w:eastAsia="zh-CN"/>
              </w:rPr>
              <w:t>项目名称</w:t>
            </w:r>
          </w:p>
        </w:tc>
        <w:tc>
          <w:tcPr>
            <w:tcW w:w="17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kern w:val="0"/>
                <w:sz w:val="28"/>
                <w:szCs w:val="28"/>
                <w:u w:val="none"/>
                <w:lang w:val="en-US" w:eastAsia="zh-CN" w:bidi="ar"/>
              </w:rPr>
            </w:pPr>
            <w:r>
              <w:rPr>
                <w:rFonts w:hint="eastAsia" w:ascii="宋体" w:hAnsi="宋体" w:eastAsia="宋体" w:cs="宋体"/>
                <w:b/>
                <w:bCs w:val="0"/>
                <w:i w:val="0"/>
                <w:iCs w:val="0"/>
                <w:color w:val="auto"/>
                <w:kern w:val="0"/>
                <w:sz w:val="28"/>
                <w:szCs w:val="28"/>
                <w:u w:val="none"/>
                <w:lang w:val="en-US" w:eastAsia="zh-CN" w:bidi="ar"/>
              </w:rPr>
              <w:t>分部分项</w:t>
            </w:r>
          </w:p>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sz w:val="28"/>
                <w:szCs w:val="28"/>
                <w:u w:val="none"/>
              </w:rPr>
            </w:pPr>
            <w:r>
              <w:rPr>
                <w:rFonts w:hint="eastAsia" w:ascii="宋体" w:hAnsi="宋体" w:eastAsia="宋体" w:cs="宋体"/>
                <w:b/>
                <w:bCs w:val="0"/>
                <w:i w:val="0"/>
                <w:iCs w:val="0"/>
                <w:color w:val="auto"/>
                <w:kern w:val="0"/>
                <w:sz w:val="28"/>
                <w:szCs w:val="28"/>
                <w:u w:val="none"/>
                <w:lang w:val="en-US" w:eastAsia="zh-CN" w:bidi="ar"/>
              </w:rPr>
              <w:t>工程</w:t>
            </w:r>
          </w:p>
        </w:tc>
        <w:tc>
          <w:tcPr>
            <w:tcW w:w="208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sz w:val="28"/>
                <w:szCs w:val="28"/>
                <w:u w:val="none"/>
              </w:rPr>
            </w:pPr>
            <w:r>
              <w:rPr>
                <w:rFonts w:hint="eastAsia" w:ascii="宋体" w:hAnsi="宋体" w:eastAsia="宋体" w:cs="宋体"/>
                <w:b/>
                <w:bCs w:val="0"/>
                <w:i w:val="0"/>
                <w:iCs w:val="0"/>
                <w:color w:val="auto"/>
                <w:kern w:val="0"/>
                <w:sz w:val="28"/>
                <w:szCs w:val="28"/>
                <w:u w:val="none"/>
                <w:lang w:val="en-US" w:eastAsia="zh-CN" w:bidi="ar"/>
              </w:rPr>
              <w:t>措施项目（含安全文明施工费）</w:t>
            </w:r>
          </w:p>
        </w:tc>
        <w:tc>
          <w:tcPr>
            <w:tcW w:w="15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sz w:val="28"/>
                <w:szCs w:val="28"/>
                <w:u w:val="none"/>
              </w:rPr>
            </w:pPr>
            <w:r>
              <w:rPr>
                <w:rFonts w:hint="eastAsia" w:ascii="宋体" w:hAnsi="宋体" w:eastAsia="宋体" w:cs="宋体"/>
                <w:b/>
                <w:bCs w:val="0"/>
                <w:i w:val="0"/>
                <w:iCs w:val="0"/>
                <w:color w:val="auto"/>
                <w:kern w:val="0"/>
                <w:sz w:val="28"/>
                <w:szCs w:val="28"/>
                <w:u w:val="none"/>
                <w:lang w:val="en-US" w:eastAsia="zh-CN" w:bidi="ar"/>
              </w:rPr>
              <w:t>安全文明施工费</w:t>
            </w:r>
          </w:p>
        </w:tc>
        <w:tc>
          <w:tcPr>
            <w:tcW w:w="14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sz w:val="28"/>
                <w:szCs w:val="28"/>
                <w:u w:val="none"/>
              </w:rPr>
            </w:pPr>
            <w:r>
              <w:rPr>
                <w:rFonts w:hint="eastAsia" w:ascii="宋体" w:hAnsi="宋体" w:eastAsia="宋体" w:cs="宋体"/>
                <w:b/>
                <w:bCs w:val="0"/>
                <w:i w:val="0"/>
                <w:iCs w:val="0"/>
                <w:color w:val="auto"/>
                <w:kern w:val="0"/>
                <w:sz w:val="28"/>
                <w:szCs w:val="28"/>
                <w:u w:val="none"/>
                <w:lang w:val="en-US" w:eastAsia="zh-CN" w:bidi="ar"/>
              </w:rPr>
              <w:t>规费</w:t>
            </w:r>
          </w:p>
        </w:tc>
        <w:tc>
          <w:tcPr>
            <w:tcW w:w="15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sz w:val="28"/>
                <w:szCs w:val="28"/>
                <w:u w:val="none"/>
              </w:rPr>
            </w:pPr>
            <w:r>
              <w:rPr>
                <w:rFonts w:hint="eastAsia" w:ascii="宋体" w:hAnsi="宋体" w:eastAsia="宋体" w:cs="宋体"/>
                <w:b/>
                <w:bCs w:val="0"/>
                <w:i w:val="0"/>
                <w:iCs w:val="0"/>
                <w:color w:val="auto"/>
                <w:kern w:val="0"/>
                <w:sz w:val="28"/>
                <w:szCs w:val="28"/>
                <w:u w:val="none"/>
                <w:lang w:val="en-US" w:eastAsia="zh-CN" w:bidi="ar"/>
              </w:rPr>
              <w:t>税金</w:t>
            </w:r>
          </w:p>
        </w:tc>
        <w:tc>
          <w:tcPr>
            <w:tcW w:w="8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sz w:val="28"/>
                <w:szCs w:val="28"/>
                <w:u w:val="none"/>
              </w:rPr>
            </w:pPr>
            <w:r>
              <w:rPr>
                <w:rFonts w:hint="eastAsia" w:ascii="宋体" w:hAnsi="宋体" w:eastAsia="宋体" w:cs="宋体"/>
                <w:b/>
                <w:bCs w:val="0"/>
                <w:i w:val="0"/>
                <w:iCs w:val="0"/>
                <w:color w:val="auto"/>
                <w:kern w:val="0"/>
                <w:sz w:val="28"/>
                <w:szCs w:val="28"/>
                <w:u w:val="none"/>
                <w:lang w:val="en-US" w:eastAsia="zh-CN" w:bidi="ar"/>
              </w:rPr>
              <w:t>暂列金额</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sz w:val="28"/>
                <w:szCs w:val="28"/>
                <w:u w:val="none"/>
              </w:rPr>
            </w:pPr>
            <w:r>
              <w:rPr>
                <w:rFonts w:hint="eastAsia" w:ascii="宋体" w:hAnsi="宋体" w:eastAsia="宋体" w:cs="宋体"/>
                <w:b/>
                <w:bCs w:val="0"/>
                <w:i w:val="0"/>
                <w:iCs w:val="0"/>
                <w:color w:val="auto"/>
                <w:kern w:val="0"/>
                <w:sz w:val="28"/>
                <w:szCs w:val="28"/>
                <w:u w:val="none"/>
                <w:lang w:val="en-US" w:eastAsia="zh-CN" w:bidi="ar"/>
              </w:rPr>
              <w:t>暂估价</w:t>
            </w:r>
          </w:p>
        </w:tc>
        <w:tc>
          <w:tcPr>
            <w:tcW w:w="19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kern w:val="0"/>
                <w:sz w:val="28"/>
                <w:szCs w:val="28"/>
                <w:u w:val="none"/>
                <w:lang w:val="en-US" w:eastAsia="zh-CN" w:bidi="ar"/>
              </w:rPr>
            </w:pPr>
            <w:r>
              <w:rPr>
                <w:rFonts w:hint="eastAsia" w:ascii="宋体" w:hAnsi="宋体" w:eastAsia="宋体" w:cs="宋体"/>
                <w:b/>
                <w:bCs w:val="0"/>
                <w:i w:val="0"/>
                <w:iCs w:val="0"/>
                <w:color w:val="auto"/>
                <w:kern w:val="0"/>
                <w:sz w:val="28"/>
                <w:szCs w:val="28"/>
                <w:u w:val="none"/>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3" w:hRule="atLeast"/>
          <w:jc w:val="center"/>
        </w:trPr>
        <w:tc>
          <w:tcPr>
            <w:tcW w:w="205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kern w:val="0"/>
                <w:sz w:val="28"/>
                <w:szCs w:val="28"/>
                <w:u w:val="none"/>
                <w:lang w:val="en-US" w:eastAsia="zh-CN" w:bidi="ar"/>
              </w:rPr>
            </w:pPr>
            <w:r>
              <w:rPr>
                <w:rFonts w:hint="eastAsia" w:ascii="宋体" w:hAnsi="宋体" w:eastAsia="宋体" w:cs="宋体"/>
                <w:b/>
                <w:bCs w:val="0"/>
                <w:i w:val="0"/>
                <w:iCs w:val="0"/>
                <w:color w:val="auto"/>
                <w:sz w:val="28"/>
                <w:szCs w:val="28"/>
                <w:u w:val="none"/>
                <w:lang w:eastAsia="zh-CN"/>
              </w:rPr>
              <w:t>洛阳市涧西区豫北二路（中州西路-景华路）提升改造工程</w:t>
            </w:r>
          </w:p>
        </w:tc>
        <w:tc>
          <w:tcPr>
            <w:tcW w:w="17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kern w:val="0"/>
                <w:sz w:val="28"/>
                <w:szCs w:val="28"/>
                <w:u w:val="none"/>
                <w:lang w:val="en-US" w:eastAsia="zh-CN" w:bidi="ar"/>
              </w:rPr>
            </w:pPr>
            <w:r>
              <w:rPr>
                <w:rFonts w:hint="eastAsia" w:ascii="宋体" w:hAnsi="宋体" w:eastAsia="宋体" w:cs="宋体"/>
                <w:b/>
                <w:bCs w:val="0"/>
                <w:i w:val="0"/>
                <w:iCs w:val="0"/>
                <w:color w:val="auto"/>
                <w:kern w:val="0"/>
                <w:sz w:val="28"/>
                <w:szCs w:val="28"/>
                <w:u w:val="none"/>
                <w:lang w:val="en-US" w:eastAsia="zh-CN" w:bidi="ar"/>
              </w:rPr>
              <w:t xml:space="preserve">6291052.90 </w:t>
            </w:r>
          </w:p>
        </w:tc>
        <w:tc>
          <w:tcPr>
            <w:tcW w:w="20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kern w:val="0"/>
                <w:sz w:val="28"/>
                <w:szCs w:val="28"/>
                <w:u w:val="none"/>
                <w:lang w:val="en-US" w:eastAsia="zh-CN" w:bidi="ar"/>
              </w:rPr>
            </w:pPr>
            <w:r>
              <w:rPr>
                <w:rFonts w:hint="eastAsia" w:ascii="宋体" w:hAnsi="宋体" w:eastAsia="宋体" w:cs="宋体"/>
                <w:b/>
                <w:bCs w:val="0"/>
                <w:i w:val="0"/>
                <w:iCs w:val="0"/>
                <w:color w:val="auto"/>
                <w:kern w:val="0"/>
                <w:sz w:val="28"/>
                <w:szCs w:val="28"/>
                <w:u w:val="none"/>
                <w:lang w:val="en-US" w:eastAsia="zh-CN" w:bidi="ar"/>
              </w:rPr>
              <w:t xml:space="preserve">204277.76 </w:t>
            </w:r>
          </w:p>
        </w:tc>
        <w:tc>
          <w:tcPr>
            <w:tcW w:w="15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kern w:val="0"/>
                <w:sz w:val="28"/>
                <w:szCs w:val="28"/>
                <w:u w:val="none"/>
                <w:lang w:val="en-US" w:eastAsia="zh-CN" w:bidi="ar"/>
              </w:rPr>
            </w:pPr>
            <w:r>
              <w:rPr>
                <w:rFonts w:hint="eastAsia" w:ascii="宋体" w:hAnsi="宋体" w:eastAsia="宋体" w:cs="宋体"/>
                <w:b/>
                <w:bCs w:val="0"/>
                <w:i w:val="0"/>
                <w:iCs w:val="0"/>
                <w:color w:val="auto"/>
                <w:kern w:val="0"/>
                <w:sz w:val="28"/>
                <w:szCs w:val="28"/>
                <w:u w:val="none"/>
                <w:lang w:val="en-US" w:eastAsia="zh-CN" w:bidi="ar"/>
              </w:rPr>
              <w:t xml:space="preserve">141271.87 </w:t>
            </w:r>
          </w:p>
        </w:tc>
        <w:tc>
          <w:tcPr>
            <w:tcW w:w="14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宋体" w:hAnsi="宋体" w:eastAsia="宋体" w:cs="宋体"/>
                <w:b/>
                <w:bCs w:val="0"/>
                <w:i w:val="0"/>
                <w:iCs w:val="0"/>
                <w:color w:val="auto"/>
                <w:kern w:val="0"/>
                <w:sz w:val="28"/>
                <w:szCs w:val="28"/>
                <w:u w:val="none"/>
                <w:lang w:val="en-US" w:eastAsia="zh-CN" w:bidi="ar"/>
              </w:rPr>
            </w:pPr>
            <w:r>
              <w:rPr>
                <w:rFonts w:hint="eastAsia" w:ascii="宋体" w:hAnsi="宋体" w:eastAsia="宋体" w:cs="宋体"/>
                <w:b/>
                <w:bCs w:val="0"/>
                <w:i w:val="0"/>
                <w:iCs w:val="0"/>
                <w:color w:val="auto"/>
                <w:kern w:val="0"/>
                <w:sz w:val="28"/>
                <w:szCs w:val="28"/>
                <w:u w:val="none"/>
                <w:lang w:val="en-US" w:eastAsia="zh-CN" w:bidi="ar"/>
              </w:rPr>
              <w:t xml:space="preserve">127142.20 </w:t>
            </w:r>
          </w:p>
        </w:tc>
        <w:tc>
          <w:tcPr>
            <w:tcW w:w="156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kern w:val="0"/>
                <w:sz w:val="28"/>
                <w:szCs w:val="28"/>
                <w:u w:val="none"/>
                <w:lang w:val="en-US" w:eastAsia="zh-CN" w:bidi="ar"/>
              </w:rPr>
            </w:pPr>
            <w:r>
              <w:rPr>
                <w:rFonts w:hint="eastAsia" w:ascii="宋体" w:hAnsi="宋体" w:eastAsia="宋体" w:cs="宋体"/>
                <w:b/>
                <w:bCs w:val="0"/>
                <w:i w:val="0"/>
                <w:iCs w:val="0"/>
                <w:color w:val="auto"/>
                <w:kern w:val="0"/>
                <w:sz w:val="28"/>
                <w:szCs w:val="28"/>
                <w:u w:val="none"/>
                <w:lang w:val="en-US" w:eastAsia="zh-CN" w:bidi="ar"/>
              </w:rPr>
              <w:t xml:space="preserve">596022.56 </w:t>
            </w:r>
          </w:p>
        </w:tc>
        <w:tc>
          <w:tcPr>
            <w:tcW w:w="8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宋体" w:hAnsi="宋体" w:eastAsia="宋体" w:cs="宋体"/>
                <w:b/>
                <w:bCs w:val="0"/>
                <w:i w:val="0"/>
                <w:iCs w:val="0"/>
                <w:color w:val="auto"/>
                <w:kern w:val="0"/>
                <w:sz w:val="28"/>
                <w:szCs w:val="28"/>
                <w:u w:val="none"/>
                <w:lang w:val="en-US" w:eastAsia="zh-CN" w:bidi="ar"/>
              </w:rPr>
            </w:pPr>
            <w:r>
              <w:rPr>
                <w:rFonts w:hint="eastAsia" w:ascii="宋体" w:hAnsi="宋体" w:cs="宋体"/>
                <w:b/>
                <w:bCs w:val="0"/>
                <w:i w:val="0"/>
                <w:iCs w:val="0"/>
                <w:color w:val="auto"/>
                <w:kern w:val="0"/>
                <w:sz w:val="28"/>
                <w:szCs w:val="28"/>
                <w:u w:val="none"/>
                <w:lang w:val="en-US" w:eastAsia="zh-CN" w:bidi="ar"/>
              </w:rPr>
              <w:t>0</w:t>
            </w:r>
          </w:p>
        </w:tc>
        <w:tc>
          <w:tcPr>
            <w:tcW w:w="88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kern w:val="0"/>
                <w:sz w:val="28"/>
                <w:szCs w:val="28"/>
                <w:u w:val="none"/>
                <w:lang w:val="en-US" w:eastAsia="zh-CN" w:bidi="ar"/>
              </w:rPr>
            </w:pPr>
            <w:r>
              <w:rPr>
                <w:rFonts w:hint="eastAsia" w:ascii="宋体" w:hAnsi="宋体" w:cs="宋体"/>
                <w:b/>
                <w:bCs w:val="0"/>
                <w:i w:val="0"/>
                <w:iCs w:val="0"/>
                <w:color w:val="auto"/>
                <w:kern w:val="0"/>
                <w:sz w:val="28"/>
                <w:szCs w:val="28"/>
                <w:u w:val="none"/>
                <w:lang w:val="en-US" w:eastAsia="zh-CN" w:bidi="ar"/>
              </w:rPr>
              <w:t>0</w:t>
            </w:r>
          </w:p>
        </w:tc>
        <w:tc>
          <w:tcPr>
            <w:tcW w:w="19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bCs w:val="0"/>
                <w:i w:val="0"/>
                <w:iCs w:val="0"/>
                <w:color w:val="auto"/>
                <w:kern w:val="0"/>
                <w:sz w:val="28"/>
                <w:szCs w:val="28"/>
                <w:u w:val="none"/>
                <w:lang w:val="en-US" w:eastAsia="zh-CN" w:bidi="ar"/>
              </w:rPr>
            </w:pPr>
            <w:r>
              <w:rPr>
                <w:rFonts w:hint="eastAsia" w:ascii="宋体" w:hAnsi="宋体" w:eastAsia="宋体" w:cs="宋体"/>
                <w:b/>
                <w:bCs w:val="0"/>
                <w:i w:val="0"/>
                <w:iCs w:val="0"/>
                <w:color w:val="auto"/>
                <w:kern w:val="0"/>
                <w:sz w:val="28"/>
                <w:szCs w:val="28"/>
                <w:u w:val="none"/>
                <w:lang w:val="en-US" w:eastAsia="zh-CN" w:bidi="ar"/>
              </w:rPr>
              <w:t xml:space="preserve">7218495.42 </w:t>
            </w:r>
          </w:p>
        </w:tc>
      </w:tr>
    </w:tbl>
    <w:p>
      <w:pPr>
        <w:rPr>
          <w:rFonts w:ascii="宋体" w:cs="宋体"/>
          <w:b/>
          <w:bCs/>
          <w:color w:val="auto"/>
          <w:sz w:val="32"/>
          <w:szCs w:val="32"/>
        </w:rPr>
        <w:sectPr>
          <w:footerReference r:id="rId6" w:type="first"/>
          <w:footerReference r:id="rId5" w:type="default"/>
          <w:pgSz w:w="16838" w:h="11906" w:orient="landscape"/>
          <w:pgMar w:top="1531" w:right="1418" w:bottom="1555" w:left="1418" w:header="851" w:footer="992" w:gutter="0"/>
          <w:cols w:space="720" w:num="1"/>
          <w:titlePg/>
          <w:docGrid w:type="lines" w:linePitch="312" w:charSpace="0"/>
        </w:sectPr>
      </w:pPr>
      <w:r>
        <w:rPr>
          <w:rFonts w:hint="eastAsia" w:ascii="宋体" w:cs="宋体"/>
          <w:b/>
          <w:bCs/>
          <w:color w:val="auto"/>
          <w:sz w:val="32"/>
          <w:szCs w:val="32"/>
        </w:rPr>
        <w:br w:type="page"/>
      </w:r>
    </w:p>
    <w:p>
      <w:pPr>
        <w:pStyle w:val="4"/>
        <w:rPr>
          <w:color w:val="auto"/>
        </w:rPr>
      </w:pPr>
    </w:p>
    <w:p>
      <w:pPr>
        <w:spacing w:line="360" w:lineRule="auto"/>
        <w:rPr>
          <w:rFonts w:ascii="宋体" w:cs="宋体"/>
          <w:color w:val="auto"/>
        </w:rPr>
      </w:pPr>
      <w:r>
        <w:rPr>
          <w:rFonts w:hint="eastAsia" w:ascii="宋体" w:cs="宋体"/>
          <w:b/>
          <w:bCs/>
          <w:color w:val="auto"/>
          <w:sz w:val="32"/>
          <w:szCs w:val="32"/>
        </w:rPr>
        <w:t>1. 总则</w:t>
      </w:r>
      <w:bookmarkEnd w:id="38"/>
      <w:bookmarkEnd w:id="39"/>
      <w:bookmarkEnd w:id="40"/>
      <w:bookmarkEnd w:id="41"/>
      <w:bookmarkEnd w:id="42"/>
      <w:bookmarkEnd w:id="43"/>
      <w:bookmarkEnd w:id="44"/>
    </w:p>
    <w:p>
      <w:pPr>
        <w:pStyle w:val="7"/>
        <w:spacing w:before="0" w:after="0" w:line="360" w:lineRule="auto"/>
        <w:rPr>
          <w:rFonts w:ascii="宋体" w:cs="宋体"/>
          <w:color w:val="auto"/>
        </w:rPr>
      </w:pPr>
      <w:bookmarkStart w:id="45" w:name="_Toc179632547"/>
      <w:bookmarkStart w:id="46" w:name="_Toc247085690"/>
      <w:bookmarkStart w:id="47" w:name="_Toc152045530"/>
      <w:bookmarkStart w:id="48" w:name="_Toc246996919"/>
      <w:bookmarkStart w:id="49" w:name="_Toc144974498"/>
      <w:bookmarkStart w:id="50" w:name="_Toc246996176"/>
      <w:bookmarkStart w:id="51" w:name="_Toc152042306"/>
      <w:bookmarkStart w:id="52" w:name="_Toc32219"/>
      <w:r>
        <w:rPr>
          <w:rFonts w:hint="eastAsia" w:ascii="宋体" w:cs="宋体"/>
          <w:color w:val="auto"/>
        </w:rPr>
        <w:t>1.1 项目概况</w:t>
      </w:r>
      <w:bookmarkEnd w:id="45"/>
      <w:bookmarkEnd w:id="46"/>
      <w:bookmarkEnd w:id="47"/>
      <w:bookmarkEnd w:id="48"/>
      <w:bookmarkEnd w:id="49"/>
      <w:bookmarkEnd w:id="50"/>
      <w:bookmarkEnd w:id="51"/>
      <w:bookmarkEnd w:id="52"/>
    </w:p>
    <w:p>
      <w:pPr>
        <w:spacing w:line="360" w:lineRule="auto"/>
        <w:ind w:firstLine="420" w:firstLineChars="200"/>
        <w:rPr>
          <w:rFonts w:ascii="宋体" w:cs="宋体"/>
          <w:color w:val="auto"/>
        </w:rPr>
      </w:pPr>
      <w:r>
        <w:rPr>
          <w:rFonts w:hint="eastAsia" w:ascii="宋体" w:cs="宋体"/>
          <w:color w:val="auto"/>
        </w:rPr>
        <w:t>1.1.1根据《中华人民共和国招标投标法》等有关法律、法规和规章的规定，本招标项目已具备招标条件，现对本项目施工进行招标。</w:t>
      </w:r>
    </w:p>
    <w:p>
      <w:pPr>
        <w:spacing w:line="360" w:lineRule="auto"/>
        <w:ind w:firstLine="420" w:firstLineChars="200"/>
        <w:rPr>
          <w:rFonts w:ascii="宋体" w:cs="宋体"/>
          <w:color w:val="auto"/>
        </w:rPr>
      </w:pPr>
      <w:r>
        <w:rPr>
          <w:rFonts w:hint="eastAsia" w:ascii="宋体" w:cs="宋体"/>
          <w:color w:val="auto"/>
        </w:rPr>
        <w:t>1.1.2 本招标项目招标人：见投标人须知前附表。</w:t>
      </w:r>
    </w:p>
    <w:p>
      <w:pPr>
        <w:spacing w:line="360" w:lineRule="auto"/>
        <w:ind w:firstLine="420" w:firstLineChars="200"/>
        <w:rPr>
          <w:rFonts w:ascii="宋体" w:cs="宋体"/>
          <w:color w:val="auto"/>
        </w:rPr>
      </w:pPr>
      <w:r>
        <w:rPr>
          <w:rFonts w:hint="eastAsia" w:ascii="宋体" w:cs="宋体"/>
          <w:color w:val="auto"/>
        </w:rPr>
        <w:t>1.1.3 本招标项目招标代理机构：见投标人须知前附表。</w:t>
      </w:r>
    </w:p>
    <w:p>
      <w:pPr>
        <w:spacing w:line="360" w:lineRule="auto"/>
        <w:ind w:firstLine="420" w:firstLineChars="200"/>
        <w:rPr>
          <w:rFonts w:ascii="宋体" w:cs="宋体"/>
          <w:color w:val="auto"/>
        </w:rPr>
      </w:pPr>
      <w:r>
        <w:rPr>
          <w:rFonts w:hint="eastAsia" w:ascii="宋体" w:cs="宋体"/>
          <w:color w:val="auto"/>
        </w:rPr>
        <w:t>1.1.4 本招标项目名称：见投标人须知前附表。</w:t>
      </w:r>
    </w:p>
    <w:p>
      <w:pPr>
        <w:spacing w:line="360" w:lineRule="auto"/>
        <w:ind w:firstLine="420" w:firstLineChars="200"/>
        <w:rPr>
          <w:rFonts w:ascii="宋体" w:cs="宋体"/>
          <w:color w:val="auto"/>
        </w:rPr>
      </w:pPr>
      <w:r>
        <w:rPr>
          <w:rFonts w:hint="eastAsia" w:ascii="宋体" w:cs="宋体"/>
          <w:color w:val="auto"/>
        </w:rPr>
        <w:t>1.1.5 本招标项目建设地点：见投标人须知前附表。</w:t>
      </w:r>
    </w:p>
    <w:p>
      <w:pPr>
        <w:pStyle w:val="7"/>
        <w:spacing w:before="0" w:after="0" w:line="360" w:lineRule="auto"/>
        <w:rPr>
          <w:rFonts w:ascii="宋体" w:cs="宋体"/>
          <w:color w:val="auto"/>
        </w:rPr>
      </w:pPr>
      <w:bookmarkStart w:id="53" w:name="_Toc247085691"/>
      <w:bookmarkStart w:id="54" w:name="_Toc144974499"/>
      <w:bookmarkStart w:id="55" w:name="_Toc152045531"/>
      <w:bookmarkStart w:id="56" w:name="_Toc16784"/>
      <w:bookmarkStart w:id="57" w:name="_Toc246996920"/>
      <w:bookmarkStart w:id="58" w:name="_Toc179632548"/>
      <w:bookmarkStart w:id="59" w:name="_Toc152042307"/>
      <w:bookmarkStart w:id="60" w:name="_Toc246996177"/>
      <w:r>
        <w:rPr>
          <w:rFonts w:hint="eastAsia" w:ascii="宋体" w:cs="宋体"/>
          <w:color w:val="auto"/>
        </w:rPr>
        <w:t>1.2 资金来源和落实情况</w:t>
      </w:r>
      <w:bookmarkEnd w:id="53"/>
      <w:bookmarkEnd w:id="54"/>
      <w:bookmarkEnd w:id="55"/>
      <w:bookmarkEnd w:id="56"/>
      <w:bookmarkEnd w:id="57"/>
      <w:bookmarkEnd w:id="58"/>
      <w:bookmarkEnd w:id="59"/>
      <w:bookmarkEnd w:id="60"/>
    </w:p>
    <w:p>
      <w:pPr>
        <w:spacing w:line="360" w:lineRule="auto"/>
        <w:ind w:firstLine="420" w:firstLineChars="200"/>
        <w:rPr>
          <w:rFonts w:ascii="宋体" w:cs="宋体"/>
          <w:color w:val="auto"/>
        </w:rPr>
      </w:pPr>
      <w:r>
        <w:rPr>
          <w:rFonts w:hint="eastAsia" w:ascii="宋体" w:cs="宋体"/>
          <w:color w:val="auto"/>
        </w:rPr>
        <w:t>1.2.1 本招标项目的资金来源：见投标人须知前附表。</w:t>
      </w:r>
    </w:p>
    <w:p>
      <w:pPr>
        <w:spacing w:line="360" w:lineRule="auto"/>
        <w:ind w:firstLine="420" w:firstLineChars="200"/>
        <w:rPr>
          <w:rFonts w:ascii="宋体" w:cs="宋体"/>
          <w:color w:val="auto"/>
        </w:rPr>
      </w:pPr>
      <w:r>
        <w:rPr>
          <w:rFonts w:hint="eastAsia" w:ascii="宋体" w:cs="宋体"/>
          <w:color w:val="auto"/>
        </w:rPr>
        <w:t>1.2.2 本招标项目的资金落实情况：见投标人须知前附表。</w:t>
      </w:r>
    </w:p>
    <w:p>
      <w:pPr>
        <w:pStyle w:val="7"/>
        <w:spacing w:before="0" w:after="0" w:line="360" w:lineRule="auto"/>
        <w:rPr>
          <w:rFonts w:ascii="宋体" w:cs="宋体"/>
          <w:color w:val="auto"/>
        </w:rPr>
      </w:pPr>
      <w:bookmarkStart w:id="61" w:name="_Toc246996178"/>
      <w:bookmarkStart w:id="62" w:name="_Toc179632549"/>
      <w:bookmarkStart w:id="63" w:name="_Toc144974500"/>
      <w:bookmarkStart w:id="64" w:name="_Toc152045532"/>
      <w:bookmarkStart w:id="65" w:name="_Toc246996921"/>
      <w:bookmarkStart w:id="66" w:name="_Toc152042308"/>
      <w:bookmarkStart w:id="67" w:name="_Toc247085692"/>
      <w:bookmarkStart w:id="68" w:name="_Toc1703"/>
      <w:r>
        <w:rPr>
          <w:rFonts w:hint="eastAsia" w:ascii="宋体" w:cs="宋体"/>
          <w:color w:val="auto"/>
        </w:rPr>
        <w:t>1.3 招标范围、</w:t>
      </w:r>
      <w:r>
        <w:rPr>
          <w:rFonts w:hint="eastAsia" w:ascii="宋体" w:cs="宋体"/>
          <w:color w:val="auto"/>
          <w:lang w:eastAsia="zh-CN"/>
        </w:rPr>
        <w:t>工期</w:t>
      </w:r>
      <w:r>
        <w:rPr>
          <w:rFonts w:hint="eastAsia" w:ascii="宋体" w:cs="宋体"/>
          <w:color w:val="auto"/>
        </w:rPr>
        <w:t>、</w:t>
      </w:r>
      <w:bookmarkEnd w:id="61"/>
      <w:bookmarkEnd w:id="62"/>
      <w:bookmarkEnd w:id="63"/>
      <w:bookmarkEnd w:id="64"/>
      <w:bookmarkEnd w:id="65"/>
      <w:bookmarkEnd w:id="66"/>
      <w:bookmarkEnd w:id="67"/>
      <w:r>
        <w:rPr>
          <w:rFonts w:hint="eastAsia" w:ascii="宋体" w:cs="宋体"/>
          <w:color w:val="auto"/>
          <w:szCs w:val="21"/>
        </w:rPr>
        <w:t>质量标准</w:t>
      </w:r>
      <w:r>
        <w:rPr>
          <w:rFonts w:hint="eastAsia" w:ascii="宋体" w:cs="宋体"/>
          <w:color w:val="auto"/>
        </w:rPr>
        <w:t>、安全目标</w:t>
      </w:r>
      <w:bookmarkEnd w:id="68"/>
    </w:p>
    <w:p>
      <w:pPr>
        <w:spacing w:line="360" w:lineRule="auto"/>
        <w:ind w:firstLine="420" w:firstLineChars="200"/>
        <w:rPr>
          <w:rFonts w:ascii="宋体" w:cs="宋体"/>
          <w:color w:val="auto"/>
        </w:rPr>
      </w:pPr>
      <w:bookmarkStart w:id="69" w:name="_Toc246996179"/>
      <w:bookmarkStart w:id="70" w:name="_Toc247085693"/>
      <w:bookmarkStart w:id="71" w:name="_Toc179632551"/>
      <w:bookmarkStart w:id="72" w:name="_Toc14895"/>
      <w:bookmarkStart w:id="73" w:name="_Toc152045534"/>
      <w:bookmarkStart w:id="74" w:name="_Toc144974502"/>
      <w:bookmarkStart w:id="75" w:name="_Toc152042310"/>
      <w:bookmarkStart w:id="76" w:name="_Toc246996922"/>
      <w:r>
        <w:rPr>
          <w:rFonts w:hint="eastAsia" w:ascii="宋体" w:cs="宋体"/>
          <w:color w:val="auto"/>
        </w:rPr>
        <w:t>1.3.1 本次招标范围：见投标人须知前附表；</w:t>
      </w:r>
    </w:p>
    <w:p>
      <w:pPr>
        <w:spacing w:line="360" w:lineRule="auto"/>
        <w:ind w:firstLine="420" w:firstLineChars="200"/>
        <w:rPr>
          <w:rFonts w:ascii="宋体" w:cs="宋体"/>
          <w:color w:val="auto"/>
        </w:rPr>
      </w:pPr>
      <w:r>
        <w:rPr>
          <w:rFonts w:hint="eastAsia" w:ascii="宋体" w:cs="宋体"/>
          <w:color w:val="auto"/>
        </w:rPr>
        <w:t>1.3.2 本招标项目的</w:t>
      </w:r>
      <w:r>
        <w:rPr>
          <w:rFonts w:hint="eastAsia" w:ascii="宋体" w:cs="宋体"/>
          <w:color w:val="auto"/>
          <w:lang w:eastAsia="zh-CN"/>
        </w:rPr>
        <w:t>工期</w:t>
      </w:r>
      <w:r>
        <w:rPr>
          <w:rFonts w:hint="eastAsia" w:ascii="宋体" w:cs="宋体"/>
          <w:color w:val="auto"/>
        </w:rPr>
        <w:t>：见投标人须知前附表；</w:t>
      </w:r>
    </w:p>
    <w:p>
      <w:pPr>
        <w:spacing w:line="360" w:lineRule="auto"/>
        <w:ind w:firstLine="420" w:firstLineChars="200"/>
        <w:rPr>
          <w:rFonts w:ascii="宋体" w:cs="宋体"/>
          <w:color w:val="auto"/>
        </w:rPr>
      </w:pPr>
      <w:r>
        <w:rPr>
          <w:rFonts w:hint="eastAsia" w:ascii="宋体" w:cs="宋体"/>
          <w:color w:val="auto"/>
        </w:rPr>
        <w:t>1.3.3 本招标项目的质量标准：见投标人须知前附表；</w:t>
      </w:r>
    </w:p>
    <w:p>
      <w:pPr>
        <w:spacing w:line="360" w:lineRule="auto"/>
        <w:ind w:firstLine="420" w:firstLineChars="200"/>
        <w:rPr>
          <w:rFonts w:ascii="宋体" w:cs="宋体"/>
          <w:color w:val="auto"/>
        </w:rPr>
      </w:pPr>
      <w:r>
        <w:rPr>
          <w:rFonts w:hint="eastAsia" w:ascii="宋体" w:cs="宋体"/>
          <w:color w:val="auto"/>
        </w:rPr>
        <w:t>1.3.4 本招标项目的安全目标：见投标人须知前附表；</w:t>
      </w:r>
    </w:p>
    <w:p>
      <w:pPr>
        <w:spacing w:line="360" w:lineRule="auto"/>
        <w:ind w:firstLine="420" w:firstLineChars="200"/>
        <w:rPr>
          <w:rFonts w:ascii="宋体" w:cs="宋体"/>
          <w:color w:val="auto"/>
        </w:rPr>
      </w:pPr>
      <w:r>
        <w:rPr>
          <w:rFonts w:hint="eastAsia" w:ascii="宋体" w:cs="宋体"/>
          <w:color w:val="auto"/>
        </w:rPr>
        <w:t>1.3.5 本招标项目的文明工地目标：见投标人须知前附表；</w:t>
      </w:r>
    </w:p>
    <w:p>
      <w:pPr>
        <w:spacing w:line="360" w:lineRule="auto"/>
        <w:ind w:firstLine="420" w:firstLineChars="200"/>
        <w:rPr>
          <w:rFonts w:ascii="宋体" w:cs="宋体"/>
          <w:color w:val="auto"/>
        </w:rPr>
      </w:pPr>
      <w:r>
        <w:rPr>
          <w:rFonts w:hint="eastAsia" w:ascii="宋体" w:cs="宋体"/>
          <w:color w:val="auto"/>
        </w:rPr>
        <w:t>1.3.6 本招标项目的扬尘防治目标：见投标人须知前附表。</w:t>
      </w:r>
    </w:p>
    <w:p>
      <w:pPr>
        <w:pStyle w:val="7"/>
        <w:spacing w:before="0" w:after="0" w:line="360" w:lineRule="auto"/>
        <w:rPr>
          <w:rFonts w:ascii="宋体" w:cs="宋体"/>
          <w:color w:val="auto"/>
        </w:rPr>
      </w:pPr>
      <w:r>
        <w:rPr>
          <w:rFonts w:hint="eastAsia" w:ascii="宋体" w:cs="宋体"/>
          <w:color w:val="auto"/>
        </w:rPr>
        <w:t>1.4 投标人资格要求</w:t>
      </w:r>
      <w:bookmarkEnd w:id="69"/>
      <w:bookmarkEnd w:id="70"/>
      <w:bookmarkEnd w:id="71"/>
      <w:bookmarkEnd w:id="72"/>
      <w:bookmarkEnd w:id="73"/>
      <w:bookmarkEnd w:id="74"/>
      <w:bookmarkEnd w:id="75"/>
      <w:bookmarkEnd w:id="76"/>
    </w:p>
    <w:p>
      <w:pPr>
        <w:spacing w:line="360" w:lineRule="auto"/>
        <w:ind w:firstLine="420" w:firstLineChars="200"/>
        <w:rPr>
          <w:rFonts w:ascii="宋体" w:cs="宋体"/>
          <w:color w:val="auto"/>
        </w:rPr>
      </w:pPr>
      <w:bookmarkStart w:id="77" w:name="_Toc246996923"/>
      <w:bookmarkStart w:id="78" w:name="_Toc15581"/>
      <w:bookmarkStart w:id="79" w:name="_Toc144974503"/>
      <w:bookmarkStart w:id="80" w:name="_Toc246996180"/>
      <w:bookmarkStart w:id="81" w:name="_Toc179632552"/>
      <w:bookmarkStart w:id="82" w:name="_Toc247085694"/>
      <w:bookmarkStart w:id="83" w:name="_Toc152045535"/>
      <w:bookmarkStart w:id="84" w:name="_Toc152042311"/>
      <w:r>
        <w:rPr>
          <w:rFonts w:hint="eastAsia" w:ascii="宋体" w:cs="宋体"/>
          <w:color w:val="auto"/>
        </w:rPr>
        <w:t>1.4.1投标人应具备承担本项目施工的资质条件、能力和信誉。</w:t>
      </w:r>
    </w:p>
    <w:p>
      <w:pPr>
        <w:spacing w:line="360" w:lineRule="auto"/>
        <w:ind w:firstLine="420" w:firstLineChars="200"/>
        <w:rPr>
          <w:rFonts w:ascii="宋体" w:cs="宋体"/>
          <w:color w:val="auto"/>
        </w:rPr>
      </w:pPr>
      <w:r>
        <w:rPr>
          <w:rFonts w:hint="eastAsia" w:ascii="宋体" w:cs="宋体"/>
          <w:color w:val="auto"/>
        </w:rPr>
        <w:t>（1）资质条件：见投标人须知前附表；</w:t>
      </w:r>
    </w:p>
    <w:p>
      <w:pPr>
        <w:spacing w:line="360" w:lineRule="auto"/>
        <w:ind w:firstLine="420" w:firstLineChars="200"/>
        <w:rPr>
          <w:rFonts w:ascii="宋体" w:cs="宋体"/>
          <w:color w:val="auto"/>
        </w:rPr>
      </w:pPr>
      <w:r>
        <w:rPr>
          <w:rFonts w:hint="eastAsia" w:ascii="宋体" w:cs="宋体"/>
          <w:color w:val="auto"/>
        </w:rPr>
        <w:t>（2）信誉要求：见投标人须知前附表；</w:t>
      </w:r>
    </w:p>
    <w:p>
      <w:pPr>
        <w:spacing w:line="360" w:lineRule="auto"/>
        <w:ind w:firstLine="420" w:firstLineChars="200"/>
        <w:rPr>
          <w:rFonts w:ascii="宋体" w:cs="宋体"/>
          <w:color w:val="auto"/>
        </w:rPr>
      </w:pPr>
      <w:r>
        <w:rPr>
          <w:rFonts w:hint="eastAsia" w:ascii="宋体" w:cs="宋体"/>
          <w:color w:val="auto"/>
        </w:rPr>
        <w:t>（3）项目经理资格：见投标人须知前附表；</w:t>
      </w:r>
    </w:p>
    <w:p>
      <w:pPr>
        <w:spacing w:line="360" w:lineRule="auto"/>
        <w:ind w:firstLine="420" w:firstLineChars="200"/>
        <w:rPr>
          <w:rFonts w:ascii="宋体" w:cs="宋体"/>
          <w:color w:val="auto"/>
        </w:rPr>
      </w:pPr>
      <w:r>
        <w:rPr>
          <w:rFonts w:hint="eastAsia" w:ascii="宋体" w:cs="宋体"/>
          <w:color w:val="auto"/>
        </w:rPr>
        <w:t>（4）其他要求：见投标人须知前附表。</w:t>
      </w:r>
    </w:p>
    <w:p>
      <w:pPr>
        <w:spacing w:line="360" w:lineRule="auto"/>
        <w:ind w:firstLine="420" w:firstLineChars="200"/>
        <w:rPr>
          <w:rFonts w:ascii="宋体" w:cs="宋体"/>
          <w:color w:val="auto"/>
        </w:rPr>
      </w:pPr>
      <w:r>
        <w:rPr>
          <w:rFonts w:hint="eastAsia" w:ascii="宋体" w:cs="宋体"/>
          <w:color w:val="auto"/>
        </w:rPr>
        <w:t>1.4.2 本项目不接受联合体投标， 具体规定见投标人须知前附表。</w:t>
      </w:r>
    </w:p>
    <w:p>
      <w:pPr>
        <w:spacing w:line="360" w:lineRule="auto"/>
        <w:ind w:firstLine="420" w:firstLineChars="200"/>
        <w:rPr>
          <w:rFonts w:ascii="宋体" w:cs="宋体"/>
          <w:color w:val="auto"/>
        </w:rPr>
      </w:pPr>
      <w:r>
        <w:rPr>
          <w:rFonts w:hint="eastAsia" w:ascii="宋体" w:cs="宋体"/>
          <w:color w:val="auto"/>
        </w:rPr>
        <w:t>1.4.3 投标人不得存在下列情形之一：（须出具承诺书）</w:t>
      </w:r>
    </w:p>
    <w:p>
      <w:pPr>
        <w:spacing w:line="360" w:lineRule="auto"/>
        <w:ind w:firstLine="420" w:firstLineChars="200"/>
        <w:rPr>
          <w:rFonts w:ascii="宋体" w:cs="宋体"/>
          <w:color w:val="auto"/>
        </w:rPr>
      </w:pPr>
      <w:r>
        <w:rPr>
          <w:rFonts w:hint="eastAsia" w:ascii="宋体" w:cs="宋体"/>
          <w:color w:val="auto"/>
        </w:rPr>
        <w:t xml:space="preserve">（1）为招标人不具有独立法人资格的附属机构（单位）； </w:t>
      </w:r>
    </w:p>
    <w:p>
      <w:pPr>
        <w:spacing w:line="360" w:lineRule="auto"/>
        <w:ind w:firstLine="420" w:firstLineChars="200"/>
        <w:rPr>
          <w:rFonts w:ascii="宋体" w:cs="宋体"/>
          <w:color w:val="auto"/>
        </w:rPr>
      </w:pPr>
      <w:r>
        <w:rPr>
          <w:rFonts w:hint="eastAsia" w:ascii="宋体" w:cs="宋体"/>
          <w:color w:val="auto"/>
        </w:rPr>
        <w:t>（2）为本项目前期准备提供设计或咨询服务的，但设计施工总承包的除外；</w:t>
      </w:r>
    </w:p>
    <w:p>
      <w:pPr>
        <w:spacing w:line="360" w:lineRule="auto"/>
        <w:ind w:firstLine="420" w:firstLineChars="200"/>
        <w:rPr>
          <w:rFonts w:ascii="宋体" w:cs="宋体"/>
          <w:color w:val="auto"/>
        </w:rPr>
      </w:pPr>
      <w:r>
        <w:rPr>
          <w:rFonts w:hint="eastAsia" w:ascii="宋体" w:cs="宋体"/>
          <w:color w:val="auto"/>
        </w:rPr>
        <w:t xml:space="preserve">（3）为本项目的监理人； </w:t>
      </w:r>
    </w:p>
    <w:p>
      <w:pPr>
        <w:spacing w:line="360" w:lineRule="auto"/>
        <w:ind w:firstLine="420" w:firstLineChars="200"/>
        <w:rPr>
          <w:rFonts w:ascii="宋体" w:cs="宋体"/>
          <w:color w:val="auto"/>
        </w:rPr>
      </w:pPr>
      <w:r>
        <w:rPr>
          <w:rFonts w:hint="eastAsia" w:ascii="宋体" w:cs="宋体"/>
          <w:color w:val="auto"/>
        </w:rPr>
        <w:t>（4）为本项目的代建人；</w:t>
      </w:r>
    </w:p>
    <w:p>
      <w:pPr>
        <w:spacing w:line="360" w:lineRule="auto"/>
        <w:ind w:firstLine="420" w:firstLineChars="200"/>
        <w:rPr>
          <w:rFonts w:ascii="宋体" w:cs="宋体"/>
          <w:color w:val="auto"/>
        </w:rPr>
      </w:pPr>
      <w:r>
        <w:rPr>
          <w:rFonts w:hint="eastAsia" w:ascii="宋体" w:cs="宋体"/>
          <w:color w:val="auto"/>
        </w:rPr>
        <w:t>（5）为本项目提供招标代理服务的；</w:t>
      </w:r>
    </w:p>
    <w:p>
      <w:pPr>
        <w:spacing w:line="360" w:lineRule="auto"/>
        <w:ind w:firstLine="420" w:firstLineChars="200"/>
        <w:rPr>
          <w:rFonts w:ascii="宋体" w:cs="宋体"/>
          <w:color w:val="auto"/>
        </w:rPr>
      </w:pPr>
      <w:r>
        <w:rPr>
          <w:rFonts w:hint="eastAsia" w:ascii="宋体" w:cs="宋体"/>
          <w:color w:val="auto"/>
        </w:rPr>
        <w:t>（6）与本项目的代建人或招标代理机构同为一个法定代表人的；</w:t>
      </w:r>
    </w:p>
    <w:p>
      <w:pPr>
        <w:spacing w:line="360" w:lineRule="auto"/>
        <w:ind w:firstLine="420" w:firstLineChars="200"/>
        <w:rPr>
          <w:rFonts w:ascii="宋体" w:cs="宋体"/>
          <w:color w:val="auto"/>
        </w:rPr>
      </w:pPr>
      <w:r>
        <w:rPr>
          <w:rFonts w:hint="eastAsia" w:ascii="宋体" w:cs="宋体"/>
          <w:color w:val="auto"/>
        </w:rPr>
        <w:t>（7）与本项目的代建人或招标代理机构相互控股或参股的；</w:t>
      </w:r>
    </w:p>
    <w:p>
      <w:pPr>
        <w:spacing w:line="360" w:lineRule="auto"/>
        <w:ind w:firstLine="420" w:firstLineChars="200"/>
        <w:rPr>
          <w:rFonts w:ascii="宋体" w:cs="宋体"/>
          <w:color w:val="auto"/>
        </w:rPr>
      </w:pPr>
      <w:r>
        <w:rPr>
          <w:rFonts w:hint="eastAsia" w:ascii="宋体" w:cs="宋体"/>
          <w:color w:val="auto"/>
        </w:rPr>
        <w:t>（8）与本项目的代建人或招标代理机构相互任职或工作的；</w:t>
      </w:r>
    </w:p>
    <w:p>
      <w:pPr>
        <w:spacing w:line="360" w:lineRule="auto"/>
        <w:ind w:firstLine="420" w:firstLineChars="200"/>
        <w:rPr>
          <w:rFonts w:ascii="宋体" w:cs="宋体"/>
          <w:color w:val="auto"/>
        </w:rPr>
      </w:pPr>
      <w:r>
        <w:rPr>
          <w:rFonts w:hint="eastAsia" w:ascii="宋体" w:cs="宋体"/>
          <w:color w:val="auto"/>
        </w:rPr>
        <w:t>（9）被责令停业的；</w:t>
      </w:r>
    </w:p>
    <w:p>
      <w:pPr>
        <w:spacing w:line="360" w:lineRule="auto"/>
        <w:ind w:firstLine="420" w:firstLineChars="200"/>
        <w:rPr>
          <w:rFonts w:ascii="宋体" w:cs="宋体"/>
          <w:color w:val="auto"/>
        </w:rPr>
      </w:pPr>
      <w:r>
        <w:rPr>
          <w:rFonts w:hint="eastAsia" w:ascii="宋体" w:cs="宋体"/>
          <w:color w:val="auto"/>
        </w:rPr>
        <w:t>（10）被暂停或取消投标资格的；</w:t>
      </w:r>
    </w:p>
    <w:p>
      <w:pPr>
        <w:spacing w:line="360" w:lineRule="auto"/>
        <w:ind w:firstLine="420" w:firstLineChars="200"/>
        <w:rPr>
          <w:rFonts w:ascii="宋体" w:cs="宋体"/>
          <w:color w:val="auto"/>
        </w:rPr>
      </w:pPr>
      <w:r>
        <w:rPr>
          <w:rFonts w:hint="eastAsia" w:ascii="宋体" w:cs="宋体"/>
          <w:color w:val="auto"/>
        </w:rPr>
        <w:t>（11）财产被接管或冻结的；</w:t>
      </w:r>
    </w:p>
    <w:p>
      <w:pPr>
        <w:spacing w:line="360" w:lineRule="auto"/>
        <w:ind w:firstLine="420" w:firstLineChars="200"/>
        <w:rPr>
          <w:rFonts w:ascii="宋体" w:cs="宋体"/>
          <w:color w:val="auto"/>
        </w:rPr>
      </w:pPr>
      <w:r>
        <w:rPr>
          <w:rFonts w:hint="eastAsia" w:ascii="宋体" w:cs="宋体"/>
          <w:color w:val="auto"/>
        </w:rPr>
        <w:t>（12）在最近三年内有骗取中标或严重违约或重大工程质量问题的。</w:t>
      </w:r>
    </w:p>
    <w:p>
      <w:pPr>
        <w:pStyle w:val="7"/>
        <w:spacing w:before="0" w:after="0" w:line="360" w:lineRule="auto"/>
        <w:rPr>
          <w:rFonts w:ascii="宋体" w:cs="宋体"/>
          <w:color w:val="auto"/>
        </w:rPr>
      </w:pPr>
      <w:r>
        <w:rPr>
          <w:rFonts w:hint="eastAsia" w:ascii="宋体" w:cs="宋体"/>
          <w:color w:val="auto"/>
        </w:rPr>
        <w:t>1.5 费用承担</w:t>
      </w:r>
      <w:bookmarkEnd w:id="77"/>
      <w:bookmarkEnd w:id="78"/>
      <w:bookmarkEnd w:id="79"/>
      <w:bookmarkEnd w:id="80"/>
      <w:bookmarkEnd w:id="81"/>
      <w:bookmarkEnd w:id="82"/>
      <w:bookmarkEnd w:id="83"/>
      <w:bookmarkEnd w:id="84"/>
    </w:p>
    <w:p>
      <w:pPr>
        <w:spacing w:line="360" w:lineRule="auto"/>
        <w:ind w:firstLine="420" w:firstLineChars="200"/>
        <w:rPr>
          <w:rFonts w:ascii="宋体" w:cs="宋体"/>
          <w:color w:val="auto"/>
        </w:rPr>
      </w:pPr>
      <w:r>
        <w:rPr>
          <w:rFonts w:hint="eastAsia" w:ascii="宋体" w:cs="宋体"/>
          <w:color w:val="auto"/>
        </w:rPr>
        <w:t>投标人准备和参加投标活动发生的费用自理。</w:t>
      </w:r>
    </w:p>
    <w:p>
      <w:pPr>
        <w:pStyle w:val="7"/>
        <w:spacing w:before="0" w:after="0" w:line="360" w:lineRule="auto"/>
        <w:rPr>
          <w:rFonts w:ascii="宋体" w:cs="宋体"/>
          <w:color w:val="auto"/>
        </w:rPr>
      </w:pPr>
      <w:bookmarkStart w:id="85" w:name="_Toc152045536"/>
      <w:bookmarkStart w:id="86" w:name="_Toc179632553"/>
      <w:bookmarkStart w:id="87" w:name="_Toc246996924"/>
      <w:bookmarkStart w:id="88" w:name="_Toc247085695"/>
      <w:bookmarkStart w:id="89" w:name="_Toc152042312"/>
      <w:bookmarkStart w:id="90" w:name="_Toc11246"/>
      <w:bookmarkStart w:id="91" w:name="_Toc144974504"/>
      <w:bookmarkStart w:id="92" w:name="_Toc246996181"/>
      <w:r>
        <w:rPr>
          <w:rFonts w:hint="eastAsia" w:ascii="宋体" w:cs="宋体"/>
          <w:color w:val="auto"/>
        </w:rPr>
        <w:t>1.6 保密</w:t>
      </w:r>
      <w:bookmarkEnd w:id="85"/>
      <w:bookmarkEnd w:id="86"/>
      <w:bookmarkEnd w:id="87"/>
      <w:bookmarkEnd w:id="88"/>
      <w:bookmarkEnd w:id="89"/>
      <w:bookmarkEnd w:id="90"/>
      <w:bookmarkEnd w:id="91"/>
      <w:bookmarkEnd w:id="92"/>
    </w:p>
    <w:p>
      <w:pPr>
        <w:spacing w:line="360" w:lineRule="auto"/>
        <w:ind w:firstLine="420" w:firstLineChars="200"/>
        <w:rPr>
          <w:rFonts w:ascii="宋体" w:cs="宋体"/>
          <w:color w:val="auto"/>
        </w:rPr>
      </w:pPr>
      <w:r>
        <w:rPr>
          <w:rFonts w:hint="eastAsia" w:ascii="宋体" w:cs="宋体"/>
          <w:color w:val="auto"/>
        </w:rPr>
        <w:t xml:space="preserve">参与招标投标活动的各方应对招标文件和投标文件中的商业和技术等秘密保密，违者应对由此造成的后果承担法律责任。 </w:t>
      </w:r>
    </w:p>
    <w:p>
      <w:pPr>
        <w:pStyle w:val="7"/>
        <w:spacing w:before="0" w:after="0" w:line="360" w:lineRule="auto"/>
        <w:rPr>
          <w:rFonts w:ascii="宋体" w:cs="宋体"/>
          <w:color w:val="auto"/>
        </w:rPr>
      </w:pPr>
      <w:bookmarkStart w:id="93" w:name="_Toc144974505"/>
      <w:bookmarkStart w:id="94" w:name="_Toc152045537"/>
      <w:bookmarkStart w:id="95" w:name="_Toc246996925"/>
      <w:bookmarkStart w:id="96" w:name="_Toc247085696"/>
      <w:bookmarkStart w:id="97" w:name="_Toc179632554"/>
      <w:bookmarkStart w:id="98" w:name="_Toc152042313"/>
      <w:bookmarkStart w:id="99" w:name="_Toc246996182"/>
      <w:bookmarkStart w:id="100" w:name="_Toc19611"/>
      <w:r>
        <w:rPr>
          <w:rFonts w:hint="eastAsia" w:ascii="宋体" w:cs="宋体"/>
          <w:color w:val="auto"/>
        </w:rPr>
        <w:t>1.7 语言</w:t>
      </w:r>
      <w:bookmarkEnd w:id="93"/>
      <w:r>
        <w:rPr>
          <w:rFonts w:hint="eastAsia" w:ascii="宋体" w:cs="宋体"/>
          <w:color w:val="auto"/>
        </w:rPr>
        <w:t>文字</w:t>
      </w:r>
      <w:bookmarkEnd w:id="94"/>
      <w:bookmarkEnd w:id="95"/>
      <w:bookmarkEnd w:id="96"/>
      <w:bookmarkEnd w:id="97"/>
      <w:bookmarkEnd w:id="98"/>
      <w:bookmarkEnd w:id="99"/>
      <w:bookmarkEnd w:id="100"/>
    </w:p>
    <w:p>
      <w:pPr>
        <w:spacing w:line="360" w:lineRule="auto"/>
        <w:ind w:firstLine="420" w:firstLineChars="200"/>
        <w:rPr>
          <w:rFonts w:ascii="宋体" w:cs="宋体"/>
          <w:color w:val="auto"/>
        </w:rPr>
      </w:pPr>
      <w:bookmarkStart w:id="101" w:name="_Toc152045538"/>
      <w:bookmarkStart w:id="102" w:name="_Toc246996926"/>
      <w:bookmarkStart w:id="103" w:name="_Toc179632555"/>
      <w:bookmarkStart w:id="104" w:name="_Toc247085697"/>
      <w:bookmarkStart w:id="105" w:name="_Toc246996183"/>
      <w:bookmarkStart w:id="106" w:name="_Toc144974506"/>
      <w:bookmarkStart w:id="107" w:name="_Toc152042314"/>
      <w:r>
        <w:rPr>
          <w:rFonts w:hint="eastAsia" w:ascii="宋体" w:cs="宋体"/>
          <w:color w:val="auto"/>
        </w:rPr>
        <w:t>招标投标文件使用的语言文字为中文。专用术语使用外文的，应附有中文注释。</w:t>
      </w:r>
    </w:p>
    <w:p>
      <w:pPr>
        <w:pStyle w:val="7"/>
        <w:spacing w:before="0" w:after="0" w:line="360" w:lineRule="auto"/>
        <w:rPr>
          <w:rFonts w:ascii="宋体" w:cs="宋体"/>
          <w:color w:val="auto"/>
        </w:rPr>
      </w:pPr>
      <w:bookmarkStart w:id="108" w:name="_Toc26473"/>
      <w:r>
        <w:rPr>
          <w:rFonts w:hint="eastAsia" w:ascii="宋体" w:cs="宋体"/>
          <w:color w:val="auto"/>
        </w:rPr>
        <w:t>1.8 计量单位</w:t>
      </w:r>
      <w:bookmarkEnd w:id="101"/>
      <w:bookmarkEnd w:id="102"/>
      <w:bookmarkEnd w:id="103"/>
      <w:bookmarkEnd w:id="104"/>
      <w:bookmarkEnd w:id="105"/>
      <w:bookmarkEnd w:id="106"/>
      <w:bookmarkEnd w:id="107"/>
      <w:bookmarkEnd w:id="108"/>
    </w:p>
    <w:p>
      <w:pPr>
        <w:spacing w:line="360" w:lineRule="auto"/>
        <w:ind w:firstLine="420" w:firstLineChars="200"/>
        <w:rPr>
          <w:rFonts w:ascii="宋体" w:cs="宋体"/>
          <w:color w:val="auto"/>
        </w:rPr>
      </w:pPr>
      <w:r>
        <w:rPr>
          <w:rFonts w:hint="eastAsia" w:ascii="宋体" w:cs="宋体"/>
          <w:color w:val="auto"/>
        </w:rPr>
        <w:t>所有计量均采用中华人民共和国法定计量单位。</w:t>
      </w:r>
    </w:p>
    <w:p>
      <w:pPr>
        <w:pStyle w:val="7"/>
        <w:spacing w:before="0" w:after="0" w:line="360" w:lineRule="auto"/>
        <w:rPr>
          <w:rFonts w:ascii="宋体" w:cs="宋体"/>
          <w:color w:val="auto"/>
        </w:rPr>
      </w:pPr>
      <w:bookmarkStart w:id="109" w:name="_Toc152042315"/>
      <w:bookmarkStart w:id="110" w:name="_Toc247527563"/>
      <w:bookmarkStart w:id="111" w:name="_Toc144974507"/>
      <w:bookmarkStart w:id="112" w:name="_Toc247592876"/>
      <w:bookmarkStart w:id="113" w:name="_Toc247513962"/>
      <w:bookmarkStart w:id="114" w:name="_Toc152045539"/>
      <w:bookmarkStart w:id="115" w:name="_Toc3380"/>
      <w:r>
        <w:rPr>
          <w:rFonts w:hint="eastAsia" w:ascii="宋体" w:cs="宋体"/>
          <w:color w:val="auto"/>
        </w:rPr>
        <w:t>1.9 踏勘现场</w:t>
      </w:r>
      <w:bookmarkEnd w:id="109"/>
      <w:bookmarkEnd w:id="110"/>
      <w:bookmarkEnd w:id="111"/>
      <w:bookmarkEnd w:id="112"/>
      <w:bookmarkEnd w:id="113"/>
      <w:bookmarkEnd w:id="114"/>
      <w:bookmarkEnd w:id="115"/>
    </w:p>
    <w:p>
      <w:pPr>
        <w:spacing w:line="360" w:lineRule="auto"/>
        <w:ind w:firstLine="420" w:firstLineChars="200"/>
        <w:rPr>
          <w:rFonts w:ascii="宋体" w:cs="宋体"/>
          <w:color w:val="auto"/>
        </w:rPr>
      </w:pPr>
      <w:r>
        <w:rPr>
          <w:rFonts w:hint="eastAsia" w:ascii="宋体" w:cs="宋体"/>
          <w:color w:val="auto"/>
        </w:rPr>
        <w:t xml:space="preserve">1.9.1 投标人须知前附表规定组织踏勘现场的，招标人按投标人须知前附表规定的时间、地点组织投标人踏勘项目现场。 </w:t>
      </w:r>
    </w:p>
    <w:p>
      <w:pPr>
        <w:spacing w:line="360" w:lineRule="auto"/>
        <w:ind w:firstLine="420" w:firstLineChars="200"/>
        <w:rPr>
          <w:rFonts w:ascii="宋体" w:cs="宋体"/>
          <w:color w:val="auto"/>
        </w:rPr>
      </w:pPr>
      <w:r>
        <w:rPr>
          <w:rFonts w:hint="eastAsia" w:ascii="宋体" w:cs="宋体"/>
          <w:color w:val="auto"/>
        </w:rPr>
        <w:t>1.9.2 投标人踏勘现场发生的费用自理。</w:t>
      </w:r>
    </w:p>
    <w:p>
      <w:pPr>
        <w:spacing w:line="360" w:lineRule="auto"/>
        <w:ind w:firstLine="420" w:firstLineChars="200"/>
        <w:rPr>
          <w:rFonts w:ascii="宋体" w:cs="宋体"/>
          <w:color w:val="auto"/>
        </w:rPr>
      </w:pPr>
      <w:r>
        <w:rPr>
          <w:rFonts w:hint="eastAsia" w:ascii="宋体" w:cs="宋体"/>
          <w:color w:val="auto"/>
        </w:rPr>
        <w:t>1.9.3 除招标人的原因外，投标人自行负责在踏勘现场中所发生的人员伤亡和财产损失。</w:t>
      </w:r>
    </w:p>
    <w:p>
      <w:pPr>
        <w:spacing w:line="360" w:lineRule="auto"/>
        <w:ind w:firstLine="420" w:firstLineChars="200"/>
        <w:rPr>
          <w:rFonts w:ascii="宋体" w:cs="宋体"/>
          <w:color w:val="auto"/>
          <w:kern w:val="0"/>
          <w:sz w:val="24"/>
        </w:rPr>
      </w:pPr>
      <w:r>
        <w:rPr>
          <w:rFonts w:hint="eastAsia" w:ascii="宋体" w:cs="宋体"/>
          <w:color w:val="auto"/>
        </w:rPr>
        <w:t>1.9.4 招标人在踏勘现场中介绍的工程场地和相关的周边环境情况，供投标人在编制投标文件时参考，招标人不对投标人据此作出的判断和决策负责。</w:t>
      </w:r>
    </w:p>
    <w:p>
      <w:pPr>
        <w:pStyle w:val="7"/>
        <w:spacing w:before="0" w:after="0" w:line="360" w:lineRule="auto"/>
        <w:rPr>
          <w:rFonts w:ascii="宋体" w:cs="宋体"/>
          <w:color w:val="auto"/>
        </w:rPr>
      </w:pPr>
      <w:bookmarkStart w:id="116" w:name="_Toc152042316"/>
      <w:bookmarkStart w:id="117" w:name="_Toc247513963"/>
      <w:bookmarkStart w:id="118" w:name="_Toc247527564"/>
      <w:bookmarkStart w:id="119" w:name="_Toc13089"/>
      <w:bookmarkStart w:id="120" w:name="_Toc152045540"/>
      <w:bookmarkStart w:id="121" w:name="_Toc144974508"/>
      <w:bookmarkStart w:id="122" w:name="_Toc247592877"/>
      <w:r>
        <w:rPr>
          <w:rFonts w:hint="eastAsia" w:ascii="宋体" w:cs="宋体"/>
          <w:color w:val="auto"/>
        </w:rPr>
        <w:t>1.10 投标预备会</w:t>
      </w:r>
      <w:bookmarkEnd w:id="116"/>
      <w:bookmarkEnd w:id="117"/>
      <w:bookmarkEnd w:id="118"/>
      <w:bookmarkEnd w:id="119"/>
      <w:bookmarkEnd w:id="120"/>
      <w:bookmarkEnd w:id="121"/>
      <w:bookmarkEnd w:id="122"/>
    </w:p>
    <w:p>
      <w:pPr>
        <w:spacing w:line="360" w:lineRule="auto"/>
        <w:ind w:firstLine="420" w:firstLineChars="200"/>
        <w:rPr>
          <w:rFonts w:ascii="宋体" w:cs="宋体"/>
          <w:color w:val="auto"/>
        </w:rPr>
      </w:pPr>
      <w:r>
        <w:rPr>
          <w:rFonts w:hint="eastAsia" w:ascii="宋体" w:cs="宋体"/>
          <w:color w:val="auto"/>
        </w:rPr>
        <w:t>1.10.1 投标人须知前附表规定召开投标预备会的，招标人按投标人须知前附表规定的时间和地点召开投标预备会，澄清投标人提出的问题。</w:t>
      </w:r>
    </w:p>
    <w:p>
      <w:pPr>
        <w:spacing w:line="360" w:lineRule="auto"/>
        <w:ind w:firstLine="420" w:firstLineChars="200"/>
        <w:rPr>
          <w:rFonts w:ascii="宋体" w:cs="宋体"/>
          <w:color w:val="auto"/>
        </w:rPr>
      </w:pPr>
      <w:r>
        <w:rPr>
          <w:rFonts w:hint="eastAsia" w:ascii="宋体" w:cs="宋体"/>
          <w:color w:val="auto"/>
        </w:rPr>
        <w:t>1.10.2 投标人应在投标人须知前附表规定的时间前，以书面形式将提出的问题送达招标人，以便招标人在会议期间澄清。</w:t>
      </w:r>
    </w:p>
    <w:p>
      <w:pPr>
        <w:spacing w:line="360" w:lineRule="auto"/>
        <w:ind w:firstLine="420" w:firstLineChars="200"/>
        <w:rPr>
          <w:rFonts w:ascii="宋体" w:cs="宋体"/>
          <w:color w:val="auto"/>
        </w:rPr>
      </w:pPr>
      <w:r>
        <w:rPr>
          <w:rFonts w:hint="eastAsia" w:ascii="宋体" w:cs="宋体"/>
          <w:color w:val="auto"/>
        </w:rPr>
        <w:t>1.10.3 投标预备会后，招标人在投标人须知前附表规定的时间内，将对投标人所提问题的澄清，以书面形式通知所有购买招标文件的投标人。该澄清内容为招标文件的组成部分。</w:t>
      </w:r>
    </w:p>
    <w:p>
      <w:pPr>
        <w:pStyle w:val="7"/>
        <w:spacing w:before="0" w:after="0" w:line="360" w:lineRule="auto"/>
        <w:rPr>
          <w:rFonts w:ascii="宋体" w:cs="宋体"/>
          <w:color w:val="auto"/>
        </w:rPr>
      </w:pPr>
      <w:bookmarkStart w:id="123" w:name="_Toc19868"/>
      <w:r>
        <w:rPr>
          <w:rFonts w:hint="eastAsia" w:ascii="宋体" w:cs="宋体"/>
          <w:color w:val="auto"/>
        </w:rPr>
        <w:t>1.11 偏离</w:t>
      </w:r>
      <w:bookmarkEnd w:id="123"/>
    </w:p>
    <w:p>
      <w:pPr>
        <w:pStyle w:val="7"/>
        <w:ind w:firstLine="420" w:firstLineChars="200"/>
        <w:rPr>
          <w:rFonts w:ascii="宋体" w:cs="宋体"/>
          <w:b w:val="0"/>
          <w:bCs w:val="0"/>
          <w:color w:val="auto"/>
          <w:sz w:val="21"/>
          <w:szCs w:val="24"/>
        </w:rPr>
      </w:pPr>
      <w:r>
        <w:rPr>
          <w:rFonts w:hint="eastAsia" w:ascii="宋体" w:cs="宋体"/>
          <w:b w:val="0"/>
          <w:bCs w:val="0"/>
          <w:color w:val="auto"/>
          <w:sz w:val="21"/>
          <w:szCs w:val="24"/>
        </w:rPr>
        <w:t>投标人须知前附表允许投标文件偏离招标文件某些要求的，偏离应当符合招标文件规定的偏离范围和幅度。</w:t>
      </w:r>
      <w:bookmarkStart w:id="124" w:name="_Toc477783153"/>
      <w:bookmarkStart w:id="125" w:name="_Toc29425"/>
      <w:bookmarkStart w:id="126" w:name="_Toc486067882"/>
      <w:bookmarkStart w:id="127" w:name="_Toc179632558"/>
      <w:bookmarkStart w:id="128" w:name="_Toc19400"/>
      <w:bookmarkStart w:id="129" w:name="_Toc152045541"/>
      <w:bookmarkStart w:id="130" w:name="_Toc5520"/>
      <w:bookmarkStart w:id="131" w:name="_Toc13952"/>
      <w:bookmarkStart w:id="132" w:name="_Toc24884"/>
      <w:bookmarkStart w:id="133" w:name="_Toc493755185"/>
      <w:bookmarkStart w:id="134" w:name="_Toc8062"/>
      <w:bookmarkStart w:id="135" w:name="_Toc152042317"/>
      <w:bookmarkStart w:id="136" w:name="_Toc144974509"/>
    </w:p>
    <w:p>
      <w:pPr>
        <w:pStyle w:val="7"/>
        <w:rPr>
          <w:rFonts w:ascii="仿宋" w:hAnsi="仿宋" w:eastAsia="仿宋"/>
          <w:color w:val="auto"/>
        </w:rPr>
      </w:pPr>
      <w:r>
        <w:rPr>
          <w:rFonts w:hint="eastAsia"/>
          <w:color w:val="auto"/>
        </w:rPr>
        <w:t>1.1</w:t>
      </w:r>
      <w:r>
        <w:rPr>
          <w:color w:val="auto"/>
        </w:rPr>
        <w:t>2</w:t>
      </w:r>
      <w:r>
        <w:rPr>
          <w:rFonts w:hint="eastAsia"/>
          <w:color w:val="auto"/>
        </w:rPr>
        <w:t xml:space="preserve"> 分包</w:t>
      </w:r>
      <w:bookmarkEnd w:id="124"/>
      <w:bookmarkEnd w:id="125"/>
      <w:bookmarkEnd w:id="126"/>
      <w:bookmarkEnd w:id="127"/>
      <w:bookmarkEnd w:id="128"/>
      <w:bookmarkEnd w:id="129"/>
      <w:bookmarkEnd w:id="130"/>
      <w:bookmarkEnd w:id="131"/>
      <w:bookmarkEnd w:id="132"/>
      <w:bookmarkEnd w:id="133"/>
      <w:bookmarkEnd w:id="134"/>
      <w:bookmarkEnd w:id="135"/>
      <w:bookmarkEnd w:id="136"/>
    </w:p>
    <w:p>
      <w:pPr>
        <w:spacing w:line="400" w:lineRule="exact"/>
        <w:ind w:firstLine="420" w:firstLineChars="200"/>
        <w:rPr>
          <w:rFonts w:ascii="宋体" w:cs="宋体"/>
          <w:color w:val="auto"/>
        </w:rPr>
      </w:pPr>
      <w:r>
        <w:rPr>
          <w:rFonts w:hint="eastAsia" w:ascii="宋体" w:cs="宋体"/>
          <w:color w:val="auto"/>
        </w:rPr>
        <w:t>本工程不得分包（须出具承诺书，否则按废标处理）。</w:t>
      </w:r>
    </w:p>
    <w:p>
      <w:pPr>
        <w:pStyle w:val="7"/>
        <w:rPr>
          <w:rFonts w:ascii="宋体" w:hAnsi="宋体"/>
          <w:color w:val="auto"/>
        </w:rPr>
      </w:pPr>
      <w:bookmarkStart w:id="137" w:name="_Toc493755186"/>
      <w:bookmarkStart w:id="138" w:name="_Toc23373"/>
      <w:r>
        <w:rPr>
          <w:rFonts w:hint="eastAsia"/>
          <w:color w:val="auto"/>
        </w:rPr>
        <w:t>1.13农民工工资保障金</w:t>
      </w:r>
      <w:bookmarkEnd w:id="137"/>
      <w:bookmarkEnd w:id="138"/>
    </w:p>
    <w:p>
      <w:pPr>
        <w:spacing w:line="360" w:lineRule="auto"/>
        <w:ind w:firstLine="420" w:firstLineChars="200"/>
        <w:rPr>
          <w:rFonts w:hint="eastAsia" w:ascii="宋体" w:cs="宋体"/>
          <w:color w:val="auto"/>
        </w:rPr>
      </w:pPr>
      <w:r>
        <w:rPr>
          <w:rFonts w:hint="eastAsia" w:ascii="宋体" w:cs="宋体"/>
          <w:color w:val="auto"/>
          <w:lang w:val="en-US" w:eastAsia="zh-CN"/>
        </w:rPr>
        <w:t>1.13.</w:t>
      </w:r>
      <w:r>
        <w:rPr>
          <w:rFonts w:hint="eastAsia" w:ascii="宋体" w:cs="宋体"/>
          <w:color w:val="auto"/>
        </w:rPr>
        <w:t xml:space="preserve">1按照洛阳市住房和城乡建设局《关于进一步规范农民工工资保障金和工程担保管理的通知》洛建【2019】78号执行： </w:t>
      </w:r>
    </w:p>
    <w:p>
      <w:pPr>
        <w:spacing w:line="360" w:lineRule="auto"/>
        <w:ind w:firstLine="420" w:firstLineChars="200"/>
        <w:rPr>
          <w:rFonts w:hint="eastAsia" w:ascii="宋体" w:cs="宋体"/>
          <w:color w:val="auto"/>
        </w:rPr>
      </w:pPr>
      <w:r>
        <w:rPr>
          <w:rFonts w:hint="eastAsia" w:ascii="宋体" w:cs="宋体"/>
          <w:color w:val="auto"/>
        </w:rPr>
        <w:t xml:space="preserve">（1）企业注册地在洛的施工企业按照单项工程总造价的1%存储农民工保障金，外地进洛施工企业按照单项工程总造价的2%存储农民工工资保障金。 </w:t>
      </w:r>
    </w:p>
    <w:p>
      <w:pPr>
        <w:spacing w:line="360" w:lineRule="auto"/>
        <w:ind w:firstLine="420" w:firstLineChars="200"/>
        <w:rPr>
          <w:rFonts w:hint="eastAsia" w:ascii="宋体" w:cs="宋体"/>
          <w:color w:val="auto"/>
        </w:rPr>
      </w:pPr>
      <w:r>
        <w:rPr>
          <w:rFonts w:hint="eastAsia" w:ascii="宋体" w:cs="宋体"/>
          <w:color w:val="auto"/>
        </w:rPr>
        <w:t xml:space="preserve">（2）被评为我市“重点扶持企业”或近两年内落实实名制信息化管理且没有拖欠不良行为记录的施工企业，根据企业申请，可选择一次性存储一定数额的应急押金的农民工工资保障金缴存方式，不再按单项工程存储农民工工资保障金，并在市区范围内通用。其中： </w:t>
      </w:r>
    </w:p>
    <w:p>
      <w:pPr>
        <w:spacing w:line="360" w:lineRule="auto"/>
        <w:ind w:firstLine="420" w:firstLineChars="200"/>
        <w:rPr>
          <w:rFonts w:hint="eastAsia" w:ascii="宋体" w:cs="宋体"/>
          <w:color w:val="auto"/>
        </w:rPr>
      </w:pPr>
      <w:r>
        <w:rPr>
          <w:rFonts w:hint="eastAsia" w:ascii="宋体" w:cs="宋体"/>
          <w:color w:val="auto"/>
        </w:rPr>
        <w:t xml:space="preserve">（一）市重点扶持企业一次性存储应急押金100万元； </w:t>
      </w:r>
    </w:p>
    <w:p>
      <w:pPr>
        <w:spacing w:line="360" w:lineRule="auto"/>
        <w:ind w:firstLine="420" w:firstLineChars="200"/>
        <w:rPr>
          <w:rFonts w:hint="eastAsia" w:ascii="宋体" w:cs="宋体"/>
          <w:color w:val="auto"/>
        </w:rPr>
      </w:pPr>
      <w:r>
        <w:rPr>
          <w:rFonts w:hint="eastAsia" w:ascii="宋体" w:cs="宋体"/>
          <w:color w:val="auto"/>
        </w:rPr>
        <w:t xml:space="preserve">（二）特级、一级建筑业企业一次性存储应急押金200万元； </w:t>
      </w:r>
    </w:p>
    <w:p>
      <w:pPr>
        <w:spacing w:line="360" w:lineRule="auto"/>
        <w:ind w:firstLine="420" w:firstLineChars="200"/>
        <w:rPr>
          <w:rFonts w:hint="eastAsia" w:ascii="宋体" w:cs="宋体"/>
          <w:color w:val="auto"/>
        </w:rPr>
      </w:pPr>
      <w:r>
        <w:rPr>
          <w:rFonts w:hint="eastAsia" w:ascii="宋体" w:cs="宋体"/>
          <w:color w:val="auto"/>
        </w:rPr>
        <w:t xml:space="preserve">（三）二级、三级建筑业企业一次性存储应急押金50万元； </w:t>
      </w:r>
    </w:p>
    <w:p>
      <w:pPr>
        <w:spacing w:line="360" w:lineRule="auto"/>
        <w:ind w:firstLine="420" w:firstLineChars="200"/>
        <w:rPr>
          <w:rFonts w:hint="eastAsia" w:ascii="宋体" w:cs="宋体"/>
          <w:color w:val="auto"/>
        </w:rPr>
      </w:pPr>
      <w:r>
        <w:rPr>
          <w:rFonts w:hint="eastAsia" w:ascii="宋体" w:cs="宋体"/>
          <w:color w:val="auto"/>
        </w:rPr>
        <w:t xml:space="preserve">（3）建设项目由外地施工企业施工的建设单位按照单项工程总造价2%缴纳农民工保障金；项目由我市建筑企业施工的建设单位按照单项工程总造价的1%缴纳农民工保障金；建设项目由我市重点扶持企业施工建设单位该项目可享受对应重点扶持企业一次性存储应急押金的优惠政策。 </w:t>
      </w:r>
    </w:p>
    <w:p>
      <w:pPr>
        <w:spacing w:line="360" w:lineRule="auto"/>
        <w:ind w:firstLine="420" w:firstLineChars="200"/>
        <w:rPr>
          <w:rFonts w:hint="eastAsia" w:ascii="宋体" w:cs="宋体"/>
          <w:color w:val="auto"/>
        </w:rPr>
      </w:pPr>
      <w:r>
        <w:rPr>
          <w:rFonts w:hint="eastAsia" w:ascii="宋体" w:cs="宋体"/>
          <w:color w:val="auto"/>
        </w:rPr>
        <w:t>（4）施工企业发生拖欠农民工工资或建设单位拖欠工程款造成拖欠农民工工资的，经建设主管部门和劳动监察部门认定，可使用施工企业或建设单位缴存的农民工工资保障金，用于垫付被拖欠的农民工工资。</w:t>
      </w:r>
    </w:p>
    <w:p>
      <w:pPr>
        <w:spacing w:line="360" w:lineRule="auto"/>
        <w:ind w:firstLine="420" w:firstLineChars="200"/>
        <w:rPr>
          <w:rFonts w:hint="eastAsia" w:ascii="宋体" w:cs="宋体"/>
          <w:color w:val="auto"/>
        </w:rPr>
      </w:pPr>
      <w:r>
        <w:rPr>
          <w:rFonts w:hint="eastAsia" w:ascii="宋体" w:cs="宋体"/>
          <w:color w:val="auto"/>
        </w:rPr>
        <w:t xml:space="preserve">农民工工资保障金使用后，相关企业应在一个月内按标准足额补缴；逾期未补缴的，记入洛阳市建筑市场诚信建设“黑榜”名单，并予以追缴。 </w:t>
      </w:r>
    </w:p>
    <w:p>
      <w:pPr>
        <w:spacing w:line="360" w:lineRule="auto"/>
        <w:ind w:firstLine="420" w:firstLineChars="200"/>
        <w:rPr>
          <w:rFonts w:hint="eastAsia" w:ascii="宋体" w:cs="宋体"/>
          <w:color w:val="auto"/>
        </w:rPr>
      </w:pPr>
      <w:r>
        <w:rPr>
          <w:rFonts w:hint="eastAsia" w:ascii="宋体" w:cs="宋体"/>
          <w:color w:val="auto"/>
          <w:lang w:val="en-US" w:eastAsia="zh-CN"/>
        </w:rPr>
        <w:t>1.13.2</w:t>
      </w:r>
      <w:r>
        <w:rPr>
          <w:rFonts w:hint="eastAsia" w:ascii="宋体" w:cs="宋体"/>
          <w:color w:val="auto"/>
        </w:rPr>
        <w:t xml:space="preserve">施工单位（投标人）在参与竞标时，必须对农民工工资保障金的问题做出以下承诺： </w:t>
      </w:r>
    </w:p>
    <w:p>
      <w:pPr>
        <w:spacing w:line="360" w:lineRule="auto"/>
        <w:ind w:firstLine="420" w:firstLineChars="200"/>
        <w:rPr>
          <w:rFonts w:hint="eastAsia" w:ascii="宋体" w:cs="宋体"/>
          <w:color w:val="auto"/>
        </w:rPr>
      </w:pPr>
      <w:r>
        <w:rPr>
          <w:rFonts w:hint="eastAsia" w:ascii="宋体" w:cs="宋体"/>
          <w:color w:val="auto"/>
        </w:rPr>
        <w:t>一是企业在竞标时必须在标书中如实反映其以前所承建工程中工资支付的情况，需特别注明截止竞标之日止，是否存在拖欠或克扣农民工工资的行为。</w:t>
      </w:r>
    </w:p>
    <w:p>
      <w:pPr>
        <w:spacing w:line="360" w:lineRule="auto"/>
        <w:ind w:firstLine="420" w:firstLineChars="200"/>
        <w:rPr>
          <w:rFonts w:hint="eastAsia" w:ascii="宋体" w:cs="宋体"/>
          <w:color w:val="auto"/>
        </w:rPr>
      </w:pPr>
      <w:r>
        <w:rPr>
          <w:rFonts w:hint="eastAsia" w:ascii="宋体" w:cs="宋体"/>
          <w:color w:val="auto"/>
        </w:rPr>
        <w:t>二是企业在竞标时必须在标书中承诺中标后能够及时、足额存入农民工工资保障金。</w:t>
      </w:r>
    </w:p>
    <w:p>
      <w:pPr>
        <w:spacing w:line="360" w:lineRule="auto"/>
        <w:ind w:firstLine="420" w:firstLineChars="200"/>
        <w:rPr>
          <w:rFonts w:hint="eastAsia" w:ascii="宋体" w:cs="宋体"/>
          <w:color w:val="auto"/>
        </w:rPr>
      </w:pPr>
      <w:r>
        <w:rPr>
          <w:rFonts w:hint="eastAsia" w:ascii="宋体" w:cs="宋体"/>
          <w:color w:val="auto"/>
        </w:rPr>
        <w:t>三是企业在竞标时必须在标书中承诺：一旦其承包的建筑工程项目中出现拖欠职工工资情况的，可由建设行政主管部门从工资保障金中先划支。</w:t>
      </w:r>
    </w:p>
    <w:p>
      <w:pPr>
        <w:spacing w:line="360" w:lineRule="auto"/>
        <w:ind w:firstLine="422" w:firstLineChars="200"/>
        <w:rPr>
          <w:rFonts w:hint="eastAsia" w:ascii="宋体" w:cs="宋体"/>
          <w:b/>
          <w:bCs/>
          <w:color w:val="auto"/>
        </w:rPr>
      </w:pPr>
      <w:r>
        <w:rPr>
          <w:rFonts w:hint="eastAsia" w:ascii="宋体" w:cs="宋体"/>
          <w:b/>
          <w:bCs/>
          <w:color w:val="auto"/>
        </w:rPr>
        <w:t>投标人提交的投标文件不具备以上三项内容的，在评标时对其实行“一票否决”</w:t>
      </w:r>
    </w:p>
    <w:p>
      <w:pPr>
        <w:pStyle w:val="6"/>
        <w:spacing w:before="0" w:after="0" w:line="360" w:lineRule="auto"/>
        <w:rPr>
          <w:rFonts w:ascii="宋体" w:cs="宋体"/>
          <w:color w:val="auto"/>
        </w:rPr>
      </w:pPr>
      <w:bookmarkStart w:id="139" w:name="_Toc152045542"/>
      <w:bookmarkStart w:id="140" w:name="_Toc179632560"/>
      <w:bookmarkStart w:id="141" w:name="_Toc246996930"/>
      <w:bookmarkStart w:id="142" w:name="_Toc144974510"/>
      <w:bookmarkStart w:id="143" w:name="_Toc247085701"/>
      <w:bookmarkStart w:id="144" w:name="_Toc8913"/>
      <w:bookmarkStart w:id="145" w:name="_Toc246996187"/>
      <w:bookmarkStart w:id="146" w:name="_Toc152042318"/>
      <w:r>
        <w:rPr>
          <w:rFonts w:hint="eastAsia" w:ascii="宋体" w:cs="宋体"/>
          <w:color w:val="auto"/>
        </w:rPr>
        <w:t>2. 招标文件</w:t>
      </w:r>
      <w:bookmarkEnd w:id="139"/>
      <w:bookmarkEnd w:id="140"/>
      <w:bookmarkEnd w:id="141"/>
      <w:bookmarkEnd w:id="142"/>
      <w:bookmarkEnd w:id="143"/>
      <w:bookmarkEnd w:id="144"/>
      <w:bookmarkEnd w:id="145"/>
      <w:bookmarkEnd w:id="146"/>
    </w:p>
    <w:p>
      <w:pPr>
        <w:pStyle w:val="7"/>
        <w:spacing w:before="0" w:after="0" w:line="360" w:lineRule="auto"/>
        <w:rPr>
          <w:rFonts w:ascii="宋体" w:cs="宋体"/>
          <w:color w:val="auto"/>
        </w:rPr>
      </w:pPr>
      <w:bookmarkStart w:id="147" w:name="_Toc152045543"/>
      <w:bookmarkStart w:id="148" w:name="_Toc152042319"/>
      <w:bookmarkStart w:id="149" w:name="_Toc6386"/>
      <w:bookmarkStart w:id="150" w:name="_Toc247085702"/>
      <w:bookmarkStart w:id="151" w:name="_Toc246996188"/>
      <w:bookmarkStart w:id="152" w:name="_Toc144974511"/>
      <w:bookmarkStart w:id="153" w:name="_Toc179632561"/>
      <w:bookmarkStart w:id="154" w:name="_Toc246996931"/>
      <w:r>
        <w:rPr>
          <w:rFonts w:hint="eastAsia" w:ascii="宋体" w:cs="宋体"/>
          <w:color w:val="auto"/>
        </w:rPr>
        <w:t>2.1 招标文件的组成</w:t>
      </w:r>
      <w:bookmarkEnd w:id="147"/>
      <w:bookmarkEnd w:id="148"/>
      <w:bookmarkEnd w:id="149"/>
      <w:bookmarkEnd w:id="150"/>
      <w:bookmarkEnd w:id="151"/>
      <w:bookmarkEnd w:id="152"/>
      <w:bookmarkEnd w:id="153"/>
      <w:bookmarkEnd w:id="154"/>
    </w:p>
    <w:p>
      <w:pPr>
        <w:spacing w:line="360" w:lineRule="auto"/>
        <w:ind w:firstLine="420" w:firstLineChars="200"/>
        <w:rPr>
          <w:rFonts w:ascii="宋体" w:cs="宋体"/>
          <w:color w:val="auto"/>
        </w:rPr>
      </w:pPr>
      <w:r>
        <w:rPr>
          <w:rFonts w:hint="eastAsia" w:ascii="宋体" w:cs="宋体"/>
          <w:color w:val="auto"/>
        </w:rPr>
        <w:t>2.1.1 本招标文件包括：</w:t>
      </w:r>
    </w:p>
    <w:p>
      <w:pPr>
        <w:spacing w:line="360" w:lineRule="auto"/>
        <w:ind w:firstLine="420" w:firstLineChars="200"/>
        <w:rPr>
          <w:rFonts w:ascii="宋体" w:cs="宋体"/>
          <w:color w:val="auto"/>
        </w:rPr>
      </w:pPr>
      <w:r>
        <w:rPr>
          <w:rFonts w:hint="eastAsia" w:ascii="宋体" w:cs="宋体"/>
          <w:color w:val="auto"/>
        </w:rPr>
        <w:t>（1）招标公告；</w:t>
      </w:r>
    </w:p>
    <w:p>
      <w:pPr>
        <w:spacing w:line="360" w:lineRule="auto"/>
        <w:ind w:firstLine="420" w:firstLineChars="200"/>
        <w:rPr>
          <w:rFonts w:ascii="宋体" w:cs="宋体"/>
          <w:color w:val="auto"/>
        </w:rPr>
      </w:pPr>
      <w:r>
        <w:rPr>
          <w:rFonts w:hint="eastAsia" w:ascii="宋体" w:cs="宋体"/>
          <w:color w:val="auto"/>
        </w:rPr>
        <w:t>（2）投标人须知；</w:t>
      </w:r>
    </w:p>
    <w:p>
      <w:pPr>
        <w:spacing w:line="360" w:lineRule="auto"/>
        <w:ind w:firstLine="420" w:firstLineChars="200"/>
        <w:rPr>
          <w:rFonts w:ascii="宋体" w:cs="宋体"/>
          <w:color w:val="auto"/>
        </w:rPr>
      </w:pPr>
      <w:r>
        <w:rPr>
          <w:rFonts w:hint="eastAsia" w:ascii="宋体" w:cs="宋体"/>
          <w:color w:val="auto"/>
        </w:rPr>
        <w:t>（3）评标办法；</w:t>
      </w:r>
    </w:p>
    <w:p>
      <w:pPr>
        <w:spacing w:line="360" w:lineRule="auto"/>
        <w:ind w:firstLine="420" w:firstLineChars="200"/>
        <w:rPr>
          <w:rFonts w:ascii="宋体" w:cs="宋体"/>
          <w:color w:val="auto"/>
        </w:rPr>
      </w:pPr>
      <w:r>
        <w:rPr>
          <w:rFonts w:hint="eastAsia" w:ascii="宋体" w:cs="宋体"/>
          <w:color w:val="auto"/>
        </w:rPr>
        <w:t>（4）工程量清单；</w:t>
      </w:r>
    </w:p>
    <w:p>
      <w:pPr>
        <w:spacing w:line="360" w:lineRule="auto"/>
        <w:ind w:firstLine="420" w:firstLineChars="200"/>
        <w:rPr>
          <w:rFonts w:ascii="宋体" w:cs="宋体"/>
          <w:color w:val="auto"/>
        </w:rPr>
      </w:pPr>
      <w:r>
        <w:rPr>
          <w:rFonts w:hint="eastAsia" w:ascii="宋体" w:cs="宋体"/>
          <w:color w:val="auto"/>
        </w:rPr>
        <w:t>（5）合同条款及格式；</w:t>
      </w:r>
    </w:p>
    <w:p>
      <w:pPr>
        <w:spacing w:line="360" w:lineRule="auto"/>
        <w:ind w:firstLine="420" w:firstLineChars="200"/>
        <w:rPr>
          <w:rFonts w:ascii="宋体" w:cs="宋体"/>
          <w:color w:val="auto"/>
        </w:rPr>
      </w:pPr>
      <w:r>
        <w:rPr>
          <w:rFonts w:hint="eastAsia" w:ascii="宋体" w:cs="宋体"/>
          <w:color w:val="auto"/>
        </w:rPr>
        <w:t>（6）图纸；</w:t>
      </w:r>
    </w:p>
    <w:p>
      <w:pPr>
        <w:spacing w:line="360" w:lineRule="auto"/>
        <w:ind w:firstLine="420" w:firstLineChars="200"/>
        <w:rPr>
          <w:rFonts w:ascii="宋体" w:cs="宋体"/>
          <w:color w:val="auto"/>
        </w:rPr>
      </w:pPr>
      <w:r>
        <w:rPr>
          <w:rFonts w:hint="eastAsia" w:ascii="宋体" w:cs="宋体"/>
          <w:color w:val="auto"/>
        </w:rPr>
        <w:t xml:space="preserve">（7）技术标准和要求； </w:t>
      </w:r>
    </w:p>
    <w:p>
      <w:pPr>
        <w:spacing w:line="360" w:lineRule="auto"/>
        <w:ind w:firstLine="420" w:firstLineChars="200"/>
        <w:rPr>
          <w:rFonts w:ascii="宋体" w:cs="宋体"/>
          <w:color w:val="auto"/>
        </w:rPr>
      </w:pPr>
      <w:r>
        <w:rPr>
          <w:rFonts w:hint="eastAsia" w:ascii="宋体" w:cs="宋体"/>
          <w:color w:val="auto"/>
        </w:rPr>
        <w:t>（8）投标文件格式；</w:t>
      </w:r>
    </w:p>
    <w:p>
      <w:pPr>
        <w:spacing w:line="360" w:lineRule="auto"/>
        <w:ind w:firstLine="420" w:firstLineChars="200"/>
        <w:rPr>
          <w:rFonts w:ascii="宋体" w:cs="宋体"/>
          <w:color w:val="auto"/>
        </w:rPr>
      </w:pPr>
      <w:r>
        <w:rPr>
          <w:rFonts w:hint="eastAsia" w:ascii="宋体" w:cs="宋体"/>
          <w:color w:val="auto"/>
        </w:rPr>
        <w:t>2.1.2 根据本章第1.10款、第2.2款和第2.3款对招标文件所作的澄清、修改，构成招标文件的组成部分。</w:t>
      </w:r>
    </w:p>
    <w:p>
      <w:pPr>
        <w:pStyle w:val="7"/>
        <w:spacing w:before="0" w:after="0" w:line="360" w:lineRule="auto"/>
        <w:rPr>
          <w:rFonts w:ascii="宋体" w:cs="宋体"/>
          <w:color w:val="auto"/>
        </w:rPr>
      </w:pPr>
      <w:bookmarkStart w:id="155" w:name="_Toc27198"/>
      <w:bookmarkStart w:id="156" w:name="_Toc144974512"/>
      <w:bookmarkStart w:id="157" w:name="_Toc152042320"/>
      <w:bookmarkStart w:id="158" w:name="_Toc247085703"/>
      <w:bookmarkStart w:id="159" w:name="_Toc152045544"/>
      <w:bookmarkStart w:id="160" w:name="_Toc246996932"/>
      <w:bookmarkStart w:id="161" w:name="_Toc179632562"/>
      <w:bookmarkStart w:id="162" w:name="_Toc246996189"/>
      <w:r>
        <w:rPr>
          <w:rFonts w:hint="eastAsia" w:ascii="宋体" w:cs="宋体"/>
          <w:color w:val="auto"/>
        </w:rPr>
        <w:t>2.2 招标文件的澄清</w:t>
      </w:r>
      <w:bookmarkEnd w:id="155"/>
      <w:bookmarkEnd w:id="156"/>
      <w:bookmarkEnd w:id="157"/>
      <w:bookmarkEnd w:id="158"/>
      <w:bookmarkEnd w:id="159"/>
      <w:bookmarkEnd w:id="160"/>
      <w:bookmarkEnd w:id="161"/>
      <w:bookmarkEnd w:id="162"/>
    </w:p>
    <w:p>
      <w:pPr>
        <w:spacing w:line="360" w:lineRule="auto"/>
        <w:ind w:firstLine="420" w:firstLineChars="200"/>
        <w:rPr>
          <w:rFonts w:ascii="宋体" w:cs="宋体"/>
          <w:color w:val="auto"/>
        </w:rPr>
      </w:pPr>
      <w:r>
        <w:rPr>
          <w:rFonts w:hint="eastAsia" w:ascii="宋体" w:cs="宋体"/>
          <w:color w:val="auto"/>
        </w:rPr>
        <w:t>2.2.1 投标人应仔细阅读和检查招标文件的全部内容。如发现缺页或附件不全，应及时向招标人提出，以便补齐。如有疑问，应在投标人须知前附表规定的时间前以书面形式（包括信函、电报、传真等可以有形地表现所载内容的形式，下同），要求招标人对招标文件予以澄清。</w:t>
      </w:r>
    </w:p>
    <w:p>
      <w:pPr>
        <w:spacing w:line="360" w:lineRule="auto"/>
        <w:ind w:firstLine="420" w:firstLineChars="200"/>
        <w:rPr>
          <w:rFonts w:ascii="宋体" w:cs="宋体"/>
          <w:color w:val="auto"/>
        </w:rPr>
      </w:pPr>
      <w:r>
        <w:rPr>
          <w:rFonts w:hint="eastAsia" w:ascii="宋体" w:cs="宋体"/>
          <w:color w:val="auto"/>
        </w:rPr>
        <w:t xml:space="preserve">2.2.2 招标文件的澄清将以书面形式发给所有购买招标文件的投标人，但不指明澄清问题的来源。如果澄清发出的时间距投标人须知前附表规定的投标截止时间不足15天，并且澄清内容影响投标文件编制的，将相应延长投标截止时间。 </w:t>
      </w:r>
    </w:p>
    <w:p>
      <w:pPr>
        <w:spacing w:line="360" w:lineRule="auto"/>
        <w:ind w:firstLine="420" w:firstLineChars="200"/>
        <w:rPr>
          <w:rFonts w:ascii="宋体" w:cs="宋体"/>
          <w:color w:val="auto"/>
        </w:rPr>
      </w:pPr>
      <w:r>
        <w:rPr>
          <w:rFonts w:hint="eastAsia" w:ascii="宋体" w:cs="宋体"/>
          <w:color w:val="auto"/>
        </w:rPr>
        <w:t>2.2.3 投标人在收到澄清后，应在投标人须知前附表规定的时间内以书面形式通知招标人，确认已收到该澄清。</w:t>
      </w:r>
    </w:p>
    <w:p>
      <w:pPr>
        <w:pStyle w:val="7"/>
        <w:spacing w:before="0" w:after="0" w:line="360" w:lineRule="auto"/>
        <w:rPr>
          <w:rFonts w:ascii="宋体" w:cs="宋体"/>
          <w:color w:val="auto"/>
        </w:rPr>
      </w:pPr>
      <w:bookmarkStart w:id="163" w:name="_Toc144974513"/>
      <w:bookmarkStart w:id="164" w:name="_Toc246996933"/>
      <w:bookmarkStart w:id="165" w:name="_Toc247085704"/>
      <w:bookmarkStart w:id="166" w:name="_Toc246996190"/>
      <w:bookmarkStart w:id="167" w:name="_Toc23680"/>
      <w:bookmarkStart w:id="168" w:name="_Toc179632563"/>
      <w:bookmarkStart w:id="169" w:name="_Toc152045545"/>
      <w:bookmarkStart w:id="170" w:name="_Toc152042321"/>
      <w:r>
        <w:rPr>
          <w:rFonts w:hint="eastAsia" w:ascii="宋体" w:cs="宋体"/>
          <w:color w:val="auto"/>
        </w:rPr>
        <w:t>2.3 招标文件的修改</w:t>
      </w:r>
      <w:bookmarkEnd w:id="163"/>
      <w:bookmarkEnd w:id="164"/>
      <w:bookmarkEnd w:id="165"/>
      <w:bookmarkEnd w:id="166"/>
      <w:bookmarkEnd w:id="167"/>
      <w:bookmarkEnd w:id="168"/>
      <w:bookmarkEnd w:id="169"/>
      <w:bookmarkEnd w:id="170"/>
    </w:p>
    <w:p>
      <w:pPr>
        <w:spacing w:line="360" w:lineRule="auto"/>
        <w:ind w:firstLine="420" w:firstLineChars="200"/>
        <w:rPr>
          <w:rFonts w:ascii="宋体" w:cs="宋体"/>
          <w:color w:val="auto"/>
        </w:rPr>
      </w:pPr>
      <w:r>
        <w:rPr>
          <w:rFonts w:hint="eastAsia" w:ascii="宋体" w:cs="宋体"/>
          <w:color w:val="auto"/>
        </w:rPr>
        <w:t>2.3.1招标人可以书面形式修改招标文件，并通知所有已购买招标文件的投标人。但如果修改招标文件的时间距投标截止时间不足15天，并且修改内容影响投标文件编制的，将相应延长投标截止时间。</w:t>
      </w:r>
    </w:p>
    <w:p>
      <w:pPr>
        <w:spacing w:line="360" w:lineRule="auto"/>
        <w:ind w:firstLine="420" w:firstLineChars="200"/>
        <w:rPr>
          <w:rFonts w:ascii="宋体" w:cs="宋体"/>
          <w:color w:val="auto"/>
        </w:rPr>
      </w:pPr>
      <w:r>
        <w:rPr>
          <w:rFonts w:hint="eastAsia" w:ascii="宋体" w:cs="宋体"/>
          <w:color w:val="auto"/>
        </w:rPr>
        <w:t>2.3.2 投标人收到修改内容后，应在投标人须知前附表规定的时间内以书面形式通知招标人，确认已收到该修改。</w:t>
      </w:r>
    </w:p>
    <w:p>
      <w:pPr>
        <w:pStyle w:val="6"/>
        <w:spacing w:before="0" w:after="0" w:line="360" w:lineRule="auto"/>
        <w:rPr>
          <w:rFonts w:ascii="宋体" w:cs="宋体"/>
          <w:color w:val="auto"/>
        </w:rPr>
      </w:pPr>
      <w:bookmarkStart w:id="171" w:name="_Toc4027"/>
      <w:bookmarkStart w:id="172" w:name="_Toc246996191"/>
      <w:bookmarkStart w:id="173" w:name="_Toc247085705"/>
      <w:bookmarkStart w:id="174" w:name="_Toc179632564"/>
      <w:bookmarkStart w:id="175" w:name="_Toc144974514"/>
      <w:bookmarkStart w:id="176" w:name="_Toc246996934"/>
      <w:bookmarkStart w:id="177" w:name="_Toc152042322"/>
      <w:bookmarkStart w:id="178" w:name="_Toc152045546"/>
      <w:r>
        <w:rPr>
          <w:rFonts w:hint="eastAsia" w:ascii="宋体" w:cs="宋体"/>
          <w:color w:val="auto"/>
        </w:rPr>
        <w:t>3. 投标文件</w:t>
      </w:r>
      <w:bookmarkEnd w:id="171"/>
      <w:bookmarkEnd w:id="172"/>
      <w:bookmarkEnd w:id="173"/>
      <w:bookmarkEnd w:id="174"/>
      <w:bookmarkEnd w:id="175"/>
      <w:bookmarkEnd w:id="176"/>
      <w:bookmarkEnd w:id="177"/>
      <w:bookmarkEnd w:id="178"/>
    </w:p>
    <w:p>
      <w:pPr>
        <w:pStyle w:val="7"/>
        <w:spacing w:before="0" w:after="0" w:line="360" w:lineRule="auto"/>
        <w:rPr>
          <w:rFonts w:ascii="宋体" w:cs="宋体"/>
          <w:color w:val="auto"/>
        </w:rPr>
      </w:pPr>
      <w:bookmarkStart w:id="179" w:name="_Toc25267"/>
      <w:bookmarkStart w:id="180" w:name="_Toc247085706"/>
      <w:bookmarkStart w:id="181" w:name="_Toc246996192"/>
      <w:bookmarkStart w:id="182" w:name="_Toc144974515"/>
      <w:bookmarkStart w:id="183" w:name="_Toc152042323"/>
      <w:bookmarkStart w:id="184" w:name="_Toc152045547"/>
      <w:bookmarkStart w:id="185" w:name="_Toc179632565"/>
      <w:bookmarkStart w:id="186" w:name="_Toc246996935"/>
      <w:r>
        <w:rPr>
          <w:rFonts w:hint="eastAsia" w:ascii="宋体" w:cs="宋体"/>
          <w:color w:val="auto"/>
        </w:rPr>
        <w:t>3.1 投标文件的组成</w:t>
      </w:r>
      <w:bookmarkEnd w:id="179"/>
      <w:bookmarkEnd w:id="180"/>
      <w:bookmarkEnd w:id="181"/>
      <w:bookmarkEnd w:id="182"/>
      <w:bookmarkEnd w:id="183"/>
      <w:bookmarkEnd w:id="184"/>
      <w:bookmarkEnd w:id="185"/>
      <w:bookmarkEnd w:id="186"/>
    </w:p>
    <w:p>
      <w:pPr>
        <w:spacing w:line="360" w:lineRule="auto"/>
        <w:ind w:firstLine="420" w:firstLineChars="200"/>
        <w:rPr>
          <w:rFonts w:ascii="宋体" w:cs="宋体"/>
          <w:color w:val="auto"/>
        </w:rPr>
      </w:pPr>
      <w:r>
        <w:rPr>
          <w:rFonts w:hint="eastAsia" w:ascii="宋体" w:cs="宋体"/>
          <w:color w:val="auto"/>
        </w:rPr>
        <w:t>3.1.1投标文件应包括下列内容：</w:t>
      </w:r>
    </w:p>
    <w:p>
      <w:pPr>
        <w:spacing w:line="360" w:lineRule="auto"/>
        <w:ind w:firstLine="420" w:firstLineChars="200"/>
        <w:rPr>
          <w:rFonts w:ascii="宋体" w:cs="宋体"/>
          <w:color w:val="auto"/>
          <w:szCs w:val="21"/>
        </w:rPr>
      </w:pPr>
      <w:bookmarkStart w:id="187" w:name="_Toc152045548"/>
      <w:bookmarkStart w:id="188" w:name="_Toc247085707"/>
      <w:bookmarkStart w:id="189" w:name="_Toc144974516"/>
      <w:bookmarkStart w:id="190" w:name="_Toc152042324"/>
      <w:bookmarkStart w:id="191" w:name="_Toc246996193"/>
      <w:bookmarkStart w:id="192" w:name="_Toc179632566"/>
      <w:bookmarkStart w:id="193" w:name="_Toc246996936"/>
      <w:bookmarkStart w:id="194" w:name="_Toc17347"/>
      <w:r>
        <w:rPr>
          <w:rFonts w:hint="eastAsia" w:ascii="宋体" w:cs="宋体"/>
          <w:color w:val="auto"/>
          <w:szCs w:val="21"/>
        </w:rPr>
        <w:t>（1）投标函及投标函附录</w:t>
      </w:r>
    </w:p>
    <w:p>
      <w:pPr>
        <w:spacing w:line="360" w:lineRule="auto"/>
        <w:ind w:firstLine="420" w:firstLineChars="200"/>
        <w:rPr>
          <w:rFonts w:ascii="宋体" w:cs="宋体"/>
          <w:color w:val="auto"/>
          <w:szCs w:val="21"/>
        </w:rPr>
      </w:pPr>
      <w:r>
        <w:rPr>
          <w:rFonts w:hint="eastAsia" w:ascii="宋体" w:cs="宋体"/>
          <w:color w:val="auto"/>
          <w:szCs w:val="21"/>
        </w:rPr>
        <w:t>（2）法定代表人身份证明</w:t>
      </w:r>
    </w:p>
    <w:p>
      <w:pPr>
        <w:spacing w:line="360" w:lineRule="auto"/>
        <w:ind w:firstLine="420" w:firstLineChars="200"/>
        <w:rPr>
          <w:rFonts w:ascii="宋体" w:cs="宋体"/>
          <w:color w:val="auto"/>
          <w:szCs w:val="21"/>
        </w:rPr>
      </w:pPr>
      <w:r>
        <w:rPr>
          <w:rFonts w:hint="eastAsia" w:ascii="宋体" w:cs="宋体"/>
          <w:color w:val="auto"/>
          <w:szCs w:val="21"/>
        </w:rPr>
        <w:t>（3）授权委托书</w:t>
      </w:r>
    </w:p>
    <w:p>
      <w:pPr>
        <w:spacing w:line="360" w:lineRule="auto"/>
        <w:ind w:firstLine="420" w:firstLineChars="200"/>
        <w:rPr>
          <w:rFonts w:ascii="宋体" w:cs="宋体"/>
          <w:color w:val="auto"/>
          <w:szCs w:val="21"/>
        </w:rPr>
      </w:pPr>
      <w:r>
        <w:rPr>
          <w:rFonts w:hint="eastAsia" w:ascii="宋体" w:cs="宋体"/>
          <w:color w:val="auto"/>
          <w:szCs w:val="21"/>
        </w:rPr>
        <w:t xml:space="preserve">（4）投标保证金 </w:t>
      </w:r>
    </w:p>
    <w:p>
      <w:pPr>
        <w:spacing w:line="360" w:lineRule="auto"/>
        <w:ind w:firstLine="420" w:firstLineChars="200"/>
        <w:rPr>
          <w:rFonts w:ascii="宋体" w:cs="宋体"/>
          <w:color w:val="auto"/>
          <w:szCs w:val="21"/>
        </w:rPr>
      </w:pPr>
      <w:r>
        <w:rPr>
          <w:rFonts w:hint="eastAsia" w:ascii="宋体" w:cs="宋体"/>
          <w:color w:val="auto"/>
          <w:szCs w:val="21"/>
        </w:rPr>
        <w:t>（5）已标价工程量清单</w:t>
      </w:r>
    </w:p>
    <w:p>
      <w:pPr>
        <w:spacing w:line="360" w:lineRule="auto"/>
        <w:ind w:firstLine="420" w:firstLineChars="200"/>
        <w:rPr>
          <w:rFonts w:ascii="宋体" w:cs="宋体"/>
          <w:color w:val="auto"/>
          <w:szCs w:val="21"/>
        </w:rPr>
      </w:pPr>
      <w:r>
        <w:rPr>
          <w:rFonts w:hint="eastAsia" w:ascii="宋体" w:cs="宋体"/>
          <w:color w:val="auto"/>
          <w:szCs w:val="21"/>
        </w:rPr>
        <w:t>（6）施工组织设计</w:t>
      </w:r>
    </w:p>
    <w:p>
      <w:pPr>
        <w:spacing w:line="360" w:lineRule="auto"/>
        <w:ind w:firstLine="420" w:firstLineChars="200"/>
        <w:rPr>
          <w:rFonts w:ascii="宋体" w:cs="宋体"/>
          <w:color w:val="auto"/>
          <w:szCs w:val="21"/>
        </w:rPr>
      </w:pPr>
      <w:r>
        <w:rPr>
          <w:rFonts w:hint="eastAsia" w:ascii="宋体" w:cs="宋体"/>
          <w:color w:val="auto"/>
          <w:szCs w:val="21"/>
        </w:rPr>
        <w:t>（7）投标人基本情况</w:t>
      </w:r>
    </w:p>
    <w:p>
      <w:pPr>
        <w:spacing w:line="360" w:lineRule="auto"/>
        <w:ind w:firstLine="420" w:firstLineChars="200"/>
        <w:rPr>
          <w:rFonts w:ascii="宋体" w:cs="宋体"/>
          <w:color w:val="auto"/>
          <w:szCs w:val="21"/>
        </w:rPr>
      </w:pPr>
      <w:r>
        <w:rPr>
          <w:rFonts w:hint="eastAsia" w:ascii="宋体" w:cs="宋体"/>
          <w:color w:val="auto"/>
          <w:szCs w:val="21"/>
        </w:rPr>
        <w:t>（8）项目管理机构</w:t>
      </w:r>
    </w:p>
    <w:p>
      <w:pPr>
        <w:spacing w:line="360" w:lineRule="auto"/>
        <w:ind w:firstLine="420" w:firstLineChars="200"/>
        <w:rPr>
          <w:rFonts w:ascii="宋体" w:cs="宋体"/>
          <w:color w:val="auto"/>
          <w:szCs w:val="21"/>
        </w:rPr>
      </w:pPr>
      <w:r>
        <w:rPr>
          <w:rFonts w:hint="eastAsia" w:ascii="宋体" w:cs="宋体"/>
          <w:color w:val="auto"/>
          <w:szCs w:val="21"/>
        </w:rPr>
        <w:t>（9）其他材料</w:t>
      </w:r>
    </w:p>
    <w:p>
      <w:pPr>
        <w:pStyle w:val="7"/>
        <w:spacing w:before="0" w:after="0" w:line="360" w:lineRule="auto"/>
        <w:rPr>
          <w:rFonts w:ascii="宋体" w:cs="宋体"/>
          <w:color w:val="auto"/>
        </w:rPr>
      </w:pPr>
      <w:r>
        <w:rPr>
          <w:rFonts w:hint="eastAsia" w:ascii="宋体" w:cs="宋体"/>
          <w:color w:val="auto"/>
        </w:rPr>
        <w:t>3.2 投标报价</w:t>
      </w:r>
      <w:bookmarkEnd w:id="187"/>
      <w:bookmarkEnd w:id="188"/>
      <w:bookmarkEnd w:id="189"/>
      <w:bookmarkEnd w:id="190"/>
      <w:bookmarkEnd w:id="191"/>
      <w:bookmarkEnd w:id="192"/>
      <w:bookmarkEnd w:id="193"/>
      <w:bookmarkEnd w:id="194"/>
    </w:p>
    <w:p>
      <w:pPr>
        <w:spacing w:line="360" w:lineRule="auto"/>
        <w:ind w:firstLine="420" w:firstLineChars="200"/>
        <w:rPr>
          <w:rFonts w:ascii="宋体" w:hAnsi="Arial"/>
          <w:color w:val="auto"/>
          <w:sz w:val="21"/>
          <w:szCs w:val="21"/>
          <w:lang w:val="zh-CN"/>
        </w:rPr>
      </w:pPr>
      <w:bookmarkStart w:id="195" w:name="_Toc179632567"/>
      <w:bookmarkStart w:id="196" w:name="_Toc246996937"/>
      <w:bookmarkStart w:id="197" w:name="_Toc246996194"/>
      <w:bookmarkStart w:id="198" w:name="_Toc152045549"/>
      <w:bookmarkStart w:id="199" w:name="_Toc247085708"/>
      <w:bookmarkStart w:id="200" w:name="_Toc29396"/>
      <w:bookmarkStart w:id="201" w:name="_Toc152042325"/>
      <w:bookmarkStart w:id="202" w:name="_Toc144974517"/>
      <w:r>
        <w:rPr>
          <w:rFonts w:ascii="宋体" w:hAnsi="Arial"/>
          <w:color w:val="auto"/>
          <w:sz w:val="21"/>
          <w:szCs w:val="21"/>
          <w:lang w:val="zh-CN"/>
        </w:rPr>
        <w:t>3.2.1 投标人应按第六章“工程量清单”的要求填写相应表格。</w:t>
      </w:r>
    </w:p>
    <w:p>
      <w:pPr>
        <w:spacing w:line="360" w:lineRule="auto"/>
        <w:ind w:firstLine="420" w:firstLineChars="200"/>
        <w:rPr>
          <w:rFonts w:ascii="宋体" w:hAnsi="Arial"/>
          <w:color w:val="auto"/>
          <w:sz w:val="21"/>
          <w:szCs w:val="21"/>
          <w:lang w:val="zh-CN"/>
        </w:rPr>
      </w:pPr>
      <w:r>
        <w:rPr>
          <w:rFonts w:ascii="宋体" w:hAnsi="Arial"/>
          <w:color w:val="auto"/>
          <w:sz w:val="21"/>
          <w:szCs w:val="21"/>
          <w:lang w:val="zh-CN"/>
        </w:rPr>
        <w:t>3.2.2 投标人在投标截止时间前修改投标函中的投标总报价，应同时修改第六章“工程量清单”中的相应报价。</w:t>
      </w:r>
    </w:p>
    <w:p>
      <w:pPr>
        <w:spacing w:line="360" w:lineRule="auto"/>
        <w:ind w:firstLine="420" w:firstLineChars="200"/>
        <w:rPr>
          <w:rFonts w:ascii="宋体" w:hAnsi="宋体"/>
          <w:color w:val="auto"/>
          <w:kern w:val="0"/>
          <w:sz w:val="21"/>
          <w:szCs w:val="21"/>
        </w:rPr>
      </w:pPr>
      <w:r>
        <w:rPr>
          <w:rFonts w:ascii="宋体" w:hAnsi="宋体"/>
          <w:color w:val="auto"/>
          <w:kern w:val="0"/>
          <w:sz w:val="21"/>
          <w:szCs w:val="21"/>
        </w:rPr>
        <w:t>3.2.3</w:t>
      </w:r>
      <w:r>
        <w:rPr>
          <w:rFonts w:ascii="宋体" w:hAnsi="宋体"/>
          <w:b/>
          <w:bCs/>
          <w:color w:val="auto"/>
          <w:kern w:val="0"/>
          <w:sz w:val="21"/>
          <w:szCs w:val="21"/>
        </w:rPr>
        <w:t>投标报价编制依据主要有：</w:t>
      </w:r>
    </w:p>
    <w:p>
      <w:pPr>
        <w:numPr>
          <w:ilvl w:val="0"/>
          <w:numId w:val="2"/>
        </w:numPr>
        <w:autoSpaceDE w:val="0"/>
        <w:autoSpaceDN w:val="0"/>
        <w:adjustRightInd w:val="0"/>
        <w:spacing w:line="360" w:lineRule="auto"/>
        <w:ind w:firstLine="420"/>
        <w:rPr>
          <w:rFonts w:hint="eastAsia" w:ascii="宋体" w:hAnsi="Arial" w:eastAsia="宋体" w:cs="Times New Roman"/>
          <w:color w:val="auto"/>
          <w:sz w:val="21"/>
          <w:szCs w:val="21"/>
          <w:lang w:val="zh-CN"/>
        </w:rPr>
      </w:pPr>
      <w:r>
        <w:rPr>
          <w:rFonts w:hint="eastAsia" w:ascii="宋体" w:hAnsi="Arial" w:eastAsia="宋体" w:cs="Times New Roman"/>
          <w:color w:val="auto"/>
          <w:sz w:val="21"/>
          <w:szCs w:val="21"/>
          <w:lang w:val="zh-CN"/>
        </w:rPr>
        <w:t>《建设工程工程量清单计价规范》GB50500-2013、《通用安装工程工程量计算规范》GB50856-2013、《市政工程工程量计算规范》GB50857-2013；</w:t>
      </w:r>
    </w:p>
    <w:p>
      <w:pPr>
        <w:numPr>
          <w:ilvl w:val="0"/>
          <w:numId w:val="2"/>
        </w:numPr>
        <w:autoSpaceDE w:val="0"/>
        <w:autoSpaceDN w:val="0"/>
        <w:adjustRightInd w:val="0"/>
        <w:spacing w:line="360" w:lineRule="auto"/>
        <w:ind w:firstLine="420"/>
        <w:rPr>
          <w:rFonts w:hint="eastAsia" w:ascii="宋体" w:hAnsi="Arial" w:eastAsia="宋体" w:cs="Times New Roman"/>
          <w:color w:val="auto"/>
          <w:sz w:val="21"/>
          <w:szCs w:val="21"/>
          <w:lang w:val="zh-CN"/>
        </w:rPr>
      </w:pPr>
      <w:r>
        <w:rPr>
          <w:rFonts w:hint="eastAsia" w:ascii="宋体" w:hAnsi="Arial" w:eastAsia="宋体" w:cs="Times New Roman"/>
          <w:color w:val="auto"/>
          <w:sz w:val="21"/>
          <w:szCs w:val="21"/>
          <w:lang w:val="zh-CN"/>
        </w:rPr>
        <w:t>《河南省市政工程预算定额》（HAAL-31-2016）、《河南省房屋建筑与装饰工程预算定额（HA01-31-2016）》、《河南省通用安装工程预算定额（HA 02-31-2016）》、《河南省建设工程工程量清单综合单价》（2008）E（园林工程）和计价管理办法及有关计价文件；</w:t>
      </w:r>
    </w:p>
    <w:p>
      <w:pPr>
        <w:numPr>
          <w:ilvl w:val="0"/>
          <w:numId w:val="2"/>
        </w:numPr>
        <w:autoSpaceDE w:val="0"/>
        <w:autoSpaceDN w:val="0"/>
        <w:adjustRightInd w:val="0"/>
        <w:spacing w:line="360" w:lineRule="auto"/>
        <w:ind w:firstLine="420"/>
        <w:rPr>
          <w:rFonts w:hint="eastAsia" w:ascii="宋体" w:hAnsi="Arial" w:eastAsia="宋体" w:cs="Times New Roman"/>
          <w:color w:val="auto"/>
          <w:sz w:val="21"/>
          <w:szCs w:val="21"/>
          <w:lang w:val="zh-CN"/>
        </w:rPr>
      </w:pPr>
      <w:r>
        <w:rPr>
          <w:rFonts w:hint="eastAsia" w:ascii="宋体" w:hAnsi="Arial" w:eastAsia="宋体" w:cs="Times New Roman"/>
          <w:color w:val="auto"/>
          <w:sz w:val="21"/>
          <w:szCs w:val="21"/>
          <w:lang w:val="zh-CN"/>
        </w:rPr>
        <w:t>建设工程施工图：洛阳城市建设勘察设计院有限公司设计的《洛阳市涧西区豫北二路（中州西路～景华路）提升改造工程》施工图纸；</w:t>
      </w:r>
    </w:p>
    <w:p>
      <w:pPr>
        <w:numPr>
          <w:ilvl w:val="0"/>
          <w:numId w:val="2"/>
        </w:numPr>
        <w:autoSpaceDE w:val="0"/>
        <w:autoSpaceDN w:val="0"/>
        <w:adjustRightInd w:val="0"/>
        <w:spacing w:line="360" w:lineRule="auto"/>
        <w:ind w:firstLine="420"/>
        <w:rPr>
          <w:rFonts w:hint="eastAsia" w:ascii="宋体" w:hAnsi="Arial" w:eastAsia="宋体" w:cs="Times New Roman"/>
          <w:color w:val="auto"/>
          <w:sz w:val="21"/>
          <w:szCs w:val="21"/>
          <w:lang w:val="en-US" w:eastAsia="zh-CN"/>
        </w:rPr>
      </w:pPr>
      <w:r>
        <w:rPr>
          <w:rFonts w:hint="eastAsia" w:ascii="宋体" w:hAnsi="Arial" w:eastAsia="宋体" w:cs="Times New Roman"/>
          <w:color w:val="auto"/>
          <w:sz w:val="21"/>
          <w:szCs w:val="21"/>
          <w:lang w:val="zh-CN"/>
        </w:rPr>
        <w:t>按照</w:t>
      </w:r>
      <w:r>
        <w:rPr>
          <w:rFonts w:hint="eastAsia" w:ascii="宋体" w:hAnsi="Arial" w:eastAsia="宋体" w:cs="Times New Roman"/>
          <w:color w:val="auto"/>
          <w:sz w:val="21"/>
          <w:szCs w:val="21"/>
          <w:lang w:val="en-US" w:eastAsia="zh-CN"/>
        </w:rPr>
        <w:t>GB50500-2013国标清单取费格式，安文费、规费依照16定额单价中分析所得，人工费，机械费、管理费按豫建标定【2021】23号文发布的第9期（2021年1~6月）指数进行调整；</w:t>
      </w:r>
    </w:p>
    <w:p>
      <w:pPr>
        <w:numPr>
          <w:ilvl w:val="0"/>
          <w:numId w:val="2"/>
        </w:numPr>
        <w:autoSpaceDE w:val="0"/>
        <w:autoSpaceDN w:val="0"/>
        <w:adjustRightInd w:val="0"/>
        <w:spacing w:line="360" w:lineRule="auto"/>
        <w:ind w:firstLine="420"/>
        <w:rPr>
          <w:rFonts w:hint="default" w:ascii="宋体" w:hAnsi="Arial" w:eastAsia="宋体" w:cs="Times New Roman"/>
          <w:color w:val="auto"/>
          <w:sz w:val="21"/>
          <w:szCs w:val="21"/>
          <w:lang w:val="en-US" w:eastAsia="zh-CN"/>
        </w:rPr>
      </w:pPr>
      <w:r>
        <w:rPr>
          <w:rFonts w:hint="eastAsia" w:ascii="宋体" w:hAnsi="Arial" w:eastAsia="宋体" w:cs="Times New Roman"/>
          <w:color w:val="auto"/>
          <w:sz w:val="21"/>
          <w:szCs w:val="21"/>
          <w:lang w:val="en-US" w:eastAsia="zh-CN"/>
        </w:rPr>
        <w:t>安文费执行豫建标定【2016】24号文，施工现场扬尘污染执行豫建设标2016【47】号文；</w:t>
      </w:r>
    </w:p>
    <w:p>
      <w:pPr>
        <w:numPr>
          <w:ilvl w:val="0"/>
          <w:numId w:val="2"/>
        </w:numPr>
        <w:autoSpaceDE w:val="0"/>
        <w:autoSpaceDN w:val="0"/>
        <w:adjustRightInd w:val="0"/>
        <w:spacing w:line="360" w:lineRule="auto"/>
        <w:ind w:firstLine="420"/>
        <w:rPr>
          <w:rFonts w:hint="eastAsia" w:ascii="宋体" w:hAnsi="Arial" w:eastAsia="宋体" w:cs="Times New Roman"/>
          <w:color w:val="auto"/>
          <w:sz w:val="21"/>
          <w:szCs w:val="21"/>
          <w:lang w:val="zh-CN" w:eastAsia="zh-CN"/>
        </w:rPr>
      </w:pPr>
      <w:r>
        <w:rPr>
          <w:rFonts w:hint="eastAsia" w:ascii="宋体" w:hAnsi="Arial" w:eastAsia="宋体" w:cs="Times New Roman"/>
          <w:color w:val="auto"/>
          <w:sz w:val="21"/>
          <w:szCs w:val="21"/>
          <w:lang w:val="zh-CN" w:eastAsia="zh-CN"/>
        </w:rPr>
        <w:t>税率执行建办标函【</w:t>
      </w:r>
      <w:r>
        <w:rPr>
          <w:rFonts w:hint="eastAsia" w:ascii="宋体" w:hAnsi="Arial" w:eastAsia="宋体" w:cs="Times New Roman"/>
          <w:color w:val="auto"/>
          <w:sz w:val="21"/>
          <w:szCs w:val="21"/>
          <w:lang w:val="en-US" w:eastAsia="zh-CN"/>
        </w:rPr>
        <w:t>2019</w:t>
      </w:r>
      <w:r>
        <w:rPr>
          <w:rFonts w:hint="eastAsia" w:ascii="宋体" w:hAnsi="Arial" w:eastAsia="宋体" w:cs="Times New Roman"/>
          <w:color w:val="auto"/>
          <w:sz w:val="21"/>
          <w:szCs w:val="21"/>
          <w:lang w:val="zh-CN" w:eastAsia="zh-CN"/>
        </w:rPr>
        <w:t>】</w:t>
      </w:r>
      <w:r>
        <w:rPr>
          <w:rFonts w:hint="eastAsia" w:ascii="宋体" w:hAnsi="Arial" w:eastAsia="宋体" w:cs="Times New Roman"/>
          <w:color w:val="auto"/>
          <w:sz w:val="21"/>
          <w:szCs w:val="21"/>
          <w:lang w:val="en-US" w:eastAsia="zh-CN"/>
        </w:rPr>
        <w:t>193号文，按9%</w:t>
      </w:r>
      <w:r>
        <w:rPr>
          <w:rFonts w:hint="eastAsia" w:ascii="宋体" w:hAnsi="Arial" w:cs="Times New Roman"/>
          <w:color w:val="auto"/>
          <w:sz w:val="21"/>
          <w:szCs w:val="21"/>
          <w:lang w:val="en-US" w:eastAsia="zh-CN"/>
        </w:rPr>
        <w:t>计取；</w:t>
      </w:r>
    </w:p>
    <w:p>
      <w:pPr>
        <w:numPr>
          <w:ilvl w:val="0"/>
          <w:numId w:val="2"/>
        </w:numPr>
        <w:autoSpaceDE w:val="0"/>
        <w:autoSpaceDN w:val="0"/>
        <w:adjustRightInd w:val="0"/>
        <w:spacing w:line="360" w:lineRule="auto"/>
        <w:ind w:firstLine="420"/>
        <w:rPr>
          <w:rFonts w:hint="eastAsia" w:ascii="宋体" w:hAnsi="Arial" w:eastAsia="宋体" w:cs="Times New Roman"/>
          <w:color w:val="auto"/>
          <w:sz w:val="21"/>
          <w:szCs w:val="21"/>
          <w:lang w:val="zh-CN" w:eastAsia="zh-CN"/>
        </w:rPr>
      </w:pPr>
      <w:r>
        <w:rPr>
          <w:rFonts w:hint="eastAsia" w:ascii="宋体" w:hAnsi="Arial" w:eastAsia="宋体" w:cs="Times New Roman"/>
          <w:color w:val="auto"/>
          <w:sz w:val="21"/>
          <w:szCs w:val="21"/>
          <w:lang w:val="zh-CN" w:eastAsia="zh-CN"/>
        </w:rPr>
        <w:t>土建、安装调差材料参照《洛阳市建设工程造价信息》</w:t>
      </w:r>
      <w:r>
        <w:rPr>
          <w:rFonts w:hint="eastAsia" w:ascii="宋体" w:hAnsi="Arial" w:eastAsia="宋体" w:cs="Times New Roman"/>
          <w:color w:val="auto"/>
          <w:sz w:val="21"/>
          <w:szCs w:val="21"/>
          <w:lang w:val="en-US" w:eastAsia="zh-CN"/>
        </w:rPr>
        <w:t>2021年第3期（5-6月），不全者参考市场价；</w:t>
      </w:r>
    </w:p>
    <w:p>
      <w:pPr>
        <w:numPr>
          <w:ilvl w:val="0"/>
          <w:numId w:val="2"/>
        </w:numPr>
        <w:autoSpaceDE w:val="0"/>
        <w:autoSpaceDN w:val="0"/>
        <w:adjustRightInd w:val="0"/>
        <w:spacing w:line="360" w:lineRule="auto"/>
        <w:ind w:firstLine="420"/>
        <w:rPr>
          <w:rFonts w:hint="eastAsia" w:ascii="宋体" w:hAnsi="Arial" w:eastAsia="宋体" w:cs="Times New Roman"/>
          <w:color w:val="auto"/>
          <w:sz w:val="21"/>
          <w:szCs w:val="21"/>
          <w:lang w:val="zh-CN" w:eastAsia="zh-CN"/>
        </w:rPr>
      </w:pPr>
      <w:r>
        <w:rPr>
          <w:rFonts w:hint="eastAsia" w:ascii="宋体" w:hAnsi="Arial" w:eastAsia="宋体" w:cs="Times New Roman"/>
          <w:color w:val="auto"/>
          <w:sz w:val="21"/>
          <w:szCs w:val="21"/>
          <w:lang w:val="zh-CN" w:eastAsia="zh-CN"/>
        </w:rPr>
        <w:t>与建设工程有关的标准、规范、技术资料；</w:t>
      </w:r>
    </w:p>
    <w:p>
      <w:pPr>
        <w:numPr>
          <w:ilvl w:val="0"/>
          <w:numId w:val="2"/>
        </w:numPr>
        <w:autoSpaceDE w:val="0"/>
        <w:autoSpaceDN w:val="0"/>
        <w:adjustRightInd w:val="0"/>
        <w:spacing w:line="360" w:lineRule="auto"/>
        <w:ind w:firstLine="420"/>
        <w:rPr>
          <w:rFonts w:hint="eastAsia" w:ascii="宋体" w:hAnsi="Arial" w:eastAsia="宋体" w:cs="Times New Roman"/>
          <w:color w:val="auto"/>
          <w:sz w:val="21"/>
          <w:szCs w:val="21"/>
          <w:lang w:val="zh-CN" w:eastAsia="zh-CN"/>
        </w:rPr>
      </w:pPr>
      <w:r>
        <w:rPr>
          <w:rFonts w:hint="eastAsia" w:ascii="宋体" w:hAnsi="Arial" w:eastAsia="宋体" w:cs="Times New Roman"/>
          <w:color w:val="auto"/>
          <w:sz w:val="21"/>
          <w:szCs w:val="21"/>
          <w:lang w:val="zh-CN" w:eastAsia="zh-CN"/>
        </w:rPr>
        <w:t>施工现场情况、工程特点及常规施工方案；</w:t>
      </w:r>
    </w:p>
    <w:p>
      <w:pPr>
        <w:numPr>
          <w:ilvl w:val="0"/>
          <w:numId w:val="2"/>
        </w:numPr>
        <w:autoSpaceDE w:val="0"/>
        <w:autoSpaceDN w:val="0"/>
        <w:adjustRightInd w:val="0"/>
        <w:spacing w:line="360" w:lineRule="auto"/>
        <w:ind w:firstLine="420"/>
        <w:rPr>
          <w:rFonts w:hint="eastAsia" w:ascii="宋体" w:hAnsi="Arial" w:eastAsia="宋体" w:cs="Times New Roman"/>
          <w:color w:val="auto"/>
          <w:sz w:val="21"/>
          <w:szCs w:val="21"/>
          <w:lang w:val="zh-CN" w:eastAsia="zh-CN"/>
        </w:rPr>
      </w:pPr>
      <w:r>
        <w:rPr>
          <w:rFonts w:hint="eastAsia" w:ascii="宋体" w:hAnsi="Arial" w:eastAsia="宋体" w:cs="Times New Roman"/>
          <w:color w:val="auto"/>
          <w:sz w:val="21"/>
          <w:szCs w:val="21"/>
          <w:lang w:val="zh-CN" w:eastAsia="zh-CN"/>
        </w:rPr>
        <w:t>其它相关资料。</w:t>
      </w:r>
    </w:p>
    <w:p>
      <w:pPr>
        <w:numPr>
          <w:ilvl w:val="0"/>
          <w:numId w:val="2"/>
        </w:numPr>
        <w:autoSpaceDE w:val="0"/>
        <w:autoSpaceDN w:val="0"/>
        <w:adjustRightInd w:val="0"/>
        <w:spacing w:line="360" w:lineRule="auto"/>
        <w:ind w:firstLine="420"/>
        <w:rPr>
          <w:rFonts w:hint="eastAsia" w:ascii="宋体" w:hAnsi="Arial" w:eastAsia="宋体" w:cs="Times New Roman"/>
          <w:color w:val="auto"/>
          <w:sz w:val="21"/>
          <w:szCs w:val="21"/>
          <w:lang w:val="zh-CN" w:eastAsia="zh-CN"/>
        </w:rPr>
      </w:pPr>
      <w:r>
        <w:rPr>
          <w:rFonts w:hint="eastAsia" w:ascii="宋体" w:hAnsi="Arial" w:eastAsia="宋体" w:cs="Times New Roman"/>
          <w:color w:val="auto"/>
          <w:sz w:val="21"/>
          <w:szCs w:val="21"/>
          <w:lang w:val="zh-CN" w:eastAsia="zh-CN"/>
        </w:rPr>
        <w:t>其他需要说明的问题：</w:t>
      </w:r>
    </w:p>
    <w:p>
      <w:pPr>
        <w:numPr>
          <w:ilvl w:val="0"/>
          <w:numId w:val="0"/>
        </w:numPr>
        <w:autoSpaceDE w:val="0"/>
        <w:autoSpaceDN w:val="0"/>
        <w:adjustRightInd w:val="0"/>
        <w:spacing w:line="360" w:lineRule="auto"/>
        <w:ind w:firstLine="630" w:firstLineChars="300"/>
        <w:rPr>
          <w:rFonts w:hint="eastAsia" w:ascii="宋体" w:hAnsi="Arial" w:eastAsia="宋体" w:cs="Times New Roman"/>
          <w:color w:val="auto"/>
          <w:sz w:val="21"/>
          <w:szCs w:val="21"/>
          <w:lang w:val="zh-CN" w:eastAsia="zh-CN"/>
        </w:rPr>
      </w:pPr>
      <w:r>
        <w:rPr>
          <w:rFonts w:hint="default" w:ascii="Calibri" w:hAnsi="Calibri" w:eastAsia="宋体" w:cs="Calibri"/>
          <w:color w:val="auto"/>
          <w:sz w:val="21"/>
          <w:szCs w:val="21"/>
          <w:lang w:val="zh-CN" w:eastAsia="zh-CN"/>
        </w:rPr>
        <w:t>①</w:t>
      </w:r>
      <w:r>
        <w:rPr>
          <w:rFonts w:hint="eastAsia" w:ascii="宋体" w:hAnsi="Arial" w:eastAsia="宋体" w:cs="Times New Roman"/>
          <w:color w:val="auto"/>
          <w:sz w:val="21"/>
          <w:szCs w:val="21"/>
          <w:lang w:val="zh-CN" w:eastAsia="zh-CN"/>
        </w:rPr>
        <w:t>本工程按使用商品混凝土、预拌砂浆考虑；</w:t>
      </w:r>
    </w:p>
    <w:p>
      <w:pPr>
        <w:numPr>
          <w:ilvl w:val="0"/>
          <w:numId w:val="0"/>
        </w:numPr>
        <w:autoSpaceDE w:val="0"/>
        <w:autoSpaceDN w:val="0"/>
        <w:adjustRightInd w:val="0"/>
        <w:spacing w:line="360" w:lineRule="auto"/>
        <w:ind w:firstLine="630" w:firstLineChars="300"/>
        <w:rPr>
          <w:rFonts w:hint="eastAsia" w:ascii="Calibri" w:hAnsi="Calibri" w:eastAsia="宋体" w:cs="Calibri"/>
          <w:color w:val="auto"/>
          <w:sz w:val="21"/>
          <w:szCs w:val="21"/>
          <w:lang w:val="zh-CN" w:eastAsia="zh-CN"/>
        </w:rPr>
      </w:pPr>
      <w:r>
        <w:rPr>
          <w:rFonts w:hint="default" w:ascii="Calibri" w:hAnsi="Calibri" w:eastAsia="宋体" w:cs="Calibri"/>
          <w:color w:val="auto"/>
          <w:sz w:val="21"/>
          <w:szCs w:val="21"/>
          <w:lang w:val="zh-CN" w:eastAsia="zh-CN"/>
        </w:rPr>
        <w:t>②</w:t>
      </w:r>
      <w:r>
        <w:rPr>
          <w:rFonts w:hint="eastAsia" w:ascii="Calibri" w:hAnsi="Calibri" w:eastAsia="宋体" w:cs="Calibri"/>
          <w:color w:val="auto"/>
          <w:sz w:val="21"/>
          <w:szCs w:val="21"/>
          <w:lang w:val="zh-CN" w:eastAsia="zh-CN"/>
        </w:rPr>
        <w:t>本工程安全文明施工费、其他措施费（材料二次搬运费、夜间施工增加费、冬雨季施工增加费）规费全部按照定额基价足额计取；</w:t>
      </w:r>
    </w:p>
    <w:p>
      <w:pPr>
        <w:numPr>
          <w:ilvl w:val="0"/>
          <w:numId w:val="0"/>
        </w:numPr>
        <w:autoSpaceDE w:val="0"/>
        <w:autoSpaceDN w:val="0"/>
        <w:adjustRightInd w:val="0"/>
        <w:spacing w:line="360" w:lineRule="auto"/>
        <w:ind w:firstLine="630" w:firstLineChars="300"/>
        <w:rPr>
          <w:rFonts w:hint="default" w:ascii="Calibri" w:hAnsi="Calibri" w:eastAsia="宋体" w:cs="Calibri"/>
          <w:color w:val="auto"/>
          <w:sz w:val="21"/>
          <w:szCs w:val="21"/>
          <w:lang w:val="en-US" w:eastAsia="zh-CN"/>
        </w:rPr>
      </w:pPr>
      <w:r>
        <w:rPr>
          <w:rFonts w:hint="default" w:ascii="Calibri" w:hAnsi="Calibri" w:eastAsia="宋体" w:cs="Calibri"/>
          <w:color w:val="auto"/>
          <w:sz w:val="21"/>
          <w:szCs w:val="21"/>
          <w:lang w:val="zh-CN" w:eastAsia="zh-CN"/>
        </w:rPr>
        <w:t>③</w:t>
      </w:r>
      <w:r>
        <w:rPr>
          <w:rFonts w:hint="eastAsia" w:ascii="Calibri" w:hAnsi="Calibri" w:eastAsia="宋体" w:cs="Calibri"/>
          <w:color w:val="auto"/>
          <w:sz w:val="21"/>
          <w:szCs w:val="21"/>
          <w:lang w:val="zh-CN" w:eastAsia="zh-CN"/>
        </w:rPr>
        <w:t>垃圾暂按外运至最近垃圾消纳场</w:t>
      </w:r>
      <w:r>
        <w:rPr>
          <w:rFonts w:hint="eastAsia" w:ascii="Calibri" w:hAnsi="Calibri" w:eastAsia="宋体" w:cs="Calibri"/>
          <w:color w:val="auto"/>
          <w:sz w:val="21"/>
          <w:szCs w:val="21"/>
          <w:lang w:val="en-US" w:eastAsia="zh-CN"/>
        </w:rPr>
        <w:t>11.6KM；</w:t>
      </w:r>
    </w:p>
    <w:p>
      <w:pPr>
        <w:numPr>
          <w:ilvl w:val="0"/>
          <w:numId w:val="0"/>
        </w:numPr>
        <w:autoSpaceDE w:val="0"/>
        <w:autoSpaceDN w:val="0"/>
        <w:adjustRightInd w:val="0"/>
        <w:spacing w:line="360" w:lineRule="auto"/>
        <w:ind w:firstLine="630" w:firstLineChars="300"/>
        <w:rPr>
          <w:rFonts w:hint="default" w:ascii="Calibri" w:hAnsi="Calibri" w:eastAsia="宋体" w:cs="Calibri"/>
          <w:color w:val="auto"/>
          <w:sz w:val="21"/>
          <w:szCs w:val="21"/>
          <w:lang w:val="en-US" w:eastAsia="zh-CN"/>
        </w:rPr>
      </w:pPr>
      <w:r>
        <w:rPr>
          <w:rFonts w:hint="default" w:ascii="Calibri" w:hAnsi="Calibri" w:eastAsia="宋体" w:cs="Calibri"/>
          <w:color w:val="auto"/>
          <w:sz w:val="21"/>
          <w:szCs w:val="21"/>
          <w:lang w:val="zh-CN" w:eastAsia="zh-CN"/>
        </w:rPr>
        <w:t>④</w:t>
      </w:r>
      <w:r>
        <w:rPr>
          <w:rFonts w:hint="eastAsia" w:ascii="Calibri" w:hAnsi="Calibri" w:eastAsia="宋体" w:cs="Calibri"/>
          <w:color w:val="auto"/>
          <w:sz w:val="21"/>
          <w:szCs w:val="21"/>
          <w:lang w:val="zh-CN" w:eastAsia="zh-CN"/>
        </w:rPr>
        <w:t>水泥稳定碎石运距暂按</w:t>
      </w:r>
      <w:r>
        <w:rPr>
          <w:rFonts w:hint="eastAsia" w:ascii="Calibri" w:hAnsi="Calibri" w:eastAsia="宋体" w:cs="Calibri"/>
          <w:color w:val="auto"/>
          <w:sz w:val="21"/>
          <w:szCs w:val="21"/>
          <w:lang w:val="en-US" w:eastAsia="zh-CN"/>
        </w:rPr>
        <w:t>5KM；</w:t>
      </w:r>
    </w:p>
    <w:p>
      <w:pPr>
        <w:numPr>
          <w:ilvl w:val="0"/>
          <w:numId w:val="0"/>
        </w:numPr>
        <w:autoSpaceDE w:val="0"/>
        <w:autoSpaceDN w:val="0"/>
        <w:adjustRightInd w:val="0"/>
        <w:spacing w:line="360" w:lineRule="auto"/>
        <w:ind w:firstLine="630" w:firstLineChars="300"/>
        <w:rPr>
          <w:rFonts w:hint="eastAsia" w:ascii="Calibri" w:hAnsi="Calibri" w:eastAsia="宋体" w:cs="Calibri"/>
          <w:color w:val="auto"/>
          <w:sz w:val="21"/>
          <w:szCs w:val="21"/>
          <w:lang w:val="zh-CN" w:eastAsia="zh-CN"/>
        </w:rPr>
      </w:pPr>
      <w:r>
        <w:rPr>
          <w:rFonts w:hint="default" w:ascii="Calibri" w:hAnsi="Calibri" w:eastAsia="宋体" w:cs="Calibri"/>
          <w:color w:val="auto"/>
          <w:sz w:val="21"/>
          <w:szCs w:val="21"/>
          <w:lang w:val="zh-CN" w:eastAsia="zh-CN"/>
        </w:rPr>
        <w:t>⑤</w:t>
      </w:r>
      <w:r>
        <w:rPr>
          <w:rFonts w:hint="eastAsia" w:ascii="Calibri" w:hAnsi="Calibri" w:eastAsia="宋体" w:cs="Calibri"/>
          <w:color w:val="auto"/>
          <w:sz w:val="21"/>
          <w:szCs w:val="21"/>
          <w:lang w:val="zh-CN" w:eastAsia="zh-CN"/>
        </w:rPr>
        <w:t>沥青混凝土运距暂未计；</w:t>
      </w:r>
    </w:p>
    <w:p>
      <w:pPr>
        <w:spacing w:line="360" w:lineRule="auto"/>
        <w:ind w:firstLine="422" w:firstLineChars="200"/>
        <w:rPr>
          <w:rFonts w:ascii="宋体" w:hAnsi="宋体"/>
          <w:b/>
          <w:bCs/>
          <w:color w:val="auto"/>
          <w:kern w:val="0"/>
          <w:sz w:val="21"/>
          <w:szCs w:val="21"/>
        </w:rPr>
      </w:pPr>
      <w:r>
        <w:rPr>
          <w:rFonts w:ascii="宋体" w:hAnsi="宋体"/>
          <w:b/>
          <w:bCs/>
          <w:color w:val="auto"/>
          <w:kern w:val="0"/>
          <w:sz w:val="21"/>
          <w:szCs w:val="21"/>
        </w:rPr>
        <w:t>3.2.4 投标报价说明</w:t>
      </w:r>
    </w:p>
    <w:p>
      <w:pPr>
        <w:spacing w:line="360" w:lineRule="auto"/>
        <w:ind w:firstLine="420" w:firstLineChars="200"/>
        <w:rPr>
          <w:rFonts w:hint="eastAsia" w:ascii="宋体" w:eastAsia="宋体" w:cs="宋体"/>
          <w:color w:val="auto"/>
          <w:lang w:val="zh-CN"/>
        </w:rPr>
      </w:pPr>
      <w:r>
        <w:rPr>
          <w:rFonts w:hint="eastAsia" w:ascii="宋体" w:eastAsia="宋体" w:cs="宋体"/>
          <w:color w:val="auto"/>
          <w:lang w:val="zh-CN"/>
        </w:rPr>
        <w:t>（1）本工程实行计价表报价方式，投标人编制报价时，应按招标人提供的清单中的数量列入，套用相应计价表中相应子目，投标人可根据工程实际情况和企业定额作合理的调整。</w:t>
      </w:r>
    </w:p>
    <w:p>
      <w:pPr>
        <w:spacing w:line="360" w:lineRule="auto"/>
        <w:ind w:firstLine="420" w:firstLineChars="200"/>
        <w:rPr>
          <w:rFonts w:hint="eastAsia" w:ascii="宋体" w:eastAsia="宋体" w:cs="宋体"/>
          <w:color w:val="auto"/>
          <w:lang w:val="zh-CN"/>
        </w:rPr>
      </w:pPr>
      <w:r>
        <w:rPr>
          <w:rFonts w:hint="eastAsia" w:ascii="宋体" w:eastAsia="宋体" w:cs="宋体"/>
          <w:color w:val="auto"/>
          <w:lang w:val="zh-CN"/>
        </w:rPr>
        <w:t>（2）投标人应掌握施工场地建设状况，制定保护措施，施工时，如有损坏按实赔偿。其保护措施费自行考虑，列入投标报价内，竣工结算时不予调整。</w:t>
      </w:r>
    </w:p>
    <w:p>
      <w:pPr>
        <w:spacing w:line="360" w:lineRule="auto"/>
        <w:ind w:firstLine="420" w:firstLineChars="200"/>
        <w:rPr>
          <w:rFonts w:hint="eastAsia" w:ascii="宋体" w:eastAsia="宋体" w:cs="宋体"/>
          <w:color w:val="auto"/>
          <w:lang w:val="zh-CN"/>
        </w:rPr>
      </w:pPr>
      <w:r>
        <w:rPr>
          <w:rFonts w:hint="eastAsia" w:ascii="宋体" w:eastAsia="宋体" w:cs="宋体"/>
          <w:color w:val="auto"/>
          <w:lang w:val="zh-CN"/>
        </w:rPr>
        <w:t>（3）招标人对不可预见的群众阻工等因素造成的误工、或因交通延误工期造成的误工等损失不予补偿，请投标单位将此风险自行考虑列入投标报价中。</w:t>
      </w:r>
    </w:p>
    <w:p>
      <w:pPr>
        <w:spacing w:line="360" w:lineRule="auto"/>
        <w:ind w:firstLine="420" w:firstLineChars="200"/>
        <w:rPr>
          <w:rFonts w:hint="eastAsia" w:ascii="宋体" w:eastAsia="宋体" w:cs="宋体"/>
          <w:color w:val="auto"/>
          <w:lang w:val="zh-CN"/>
        </w:rPr>
      </w:pPr>
      <w:r>
        <w:rPr>
          <w:rFonts w:hint="eastAsia" w:ascii="宋体" w:eastAsia="宋体" w:cs="宋体"/>
          <w:color w:val="auto"/>
          <w:lang w:val="zh-CN"/>
        </w:rPr>
        <w:t>（4）招标人发出的工程量清单中数量不得调整，单价由投标人自行报价，投标人所报的各项费用金额应是全部完成该项目并达到合格标准的所有费用，各投标人应在详细考察施工现场后，根据本单位的实际情况确定具体投标价格。</w:t>
      </w:r>
    </w:p>
    <w:p>
      <w:pPr>
        <w:spacing w:line="360" w:lineRule="auto"/>
        <w:ind w:firstLine="420" w:firstLineChars="200"/>
        <w:rPr>
          <w:rFonts w:hint="eastAsia" w:ascii="宋体" w:eastAsia="宋体" w:cs="宋体"/>
          <w:color w:val="auto"/>
          <w:lang w:val="zh-CN"/>
        </w:rPr>
      </w:pPr>
      <w:r>
        <w:rPr>
          <w:rFonts w:hint="eastAsia" w:ascii="宋体" w:eastAsia="宋体" w:cs="宋体"/>
          <w:color w:val="auto"/>
          <w:lang w:val="zh-CN"/>
        </w:rPr>
        <w:t>（5）投标人报价时应根据设计图纸、现场踏勘情况及招标文件所提供的承包范围、内容和要求，结合该工程的施工组织设计进行综合考虑并报价。投标人应审阅招标文件中所有的条款、图纸、变更签证。图纸设计做法不清楚需完善的内容，投标单位应以书面形式向招标人明确提出，由发包方明确做法并计入投标报价；否则视为投标单位的报价中已按照相关施工规范完善、计入了投标报价中，在施工过程中发包方关于设计图纸中明确做法的说明及要求，不再计入工程变更。</w:t>
      </w:r>
    </w:p>
    <w:p>
      <w:pPr>
        <w:spacing w:line="360" w:lineRule="auto"/>
        <w:ind w:firstLine="420" w:firstLineChars="200"/>
        <w:rPr>
          <w:rFonts w:hint="eastAsia" w:ascii="宋体" w:eastAsia="宋体" w:cs="宋体"/>
          <w:color w:val="auto"/>
          <w:lang w:val="zh-CN"/>
        </w:rPr>
      </w:pPr>
      <w:r>
        <w:rPr>
          <w:rFonts w:hint="eastAsia" w:ascii="宋体" w:eastAsia="宋体" w:cs="宋体"/>
          <w:color w:val="auto"/>
          <w:lang w:val="zh-CN"/>
        </w:rPr>
        <w:t>（6）投标人应先到工地踏勘以充分了解工地位置、情况、道路、储存空间、装卸限制以及其它足以影响承包价的情况，任何因忽视或误解工地情况而导致的失误招标人概不负责。</w:t>
      </w:r>
    </w:p>
    <w:p>
      <w:pPr>
        <w:spacing w:line="360" w:lineRule="auto"/>
        <w:ind w:firstLine="420" w:firstLineChars="200"/>
        <w:rPr>
          <w:rFonts w:hint="eastAsia" w:ascii="宋体" w:eastAsia="宋体" w:cs="宋体"/>
          <w:color w:val="auto"/>
          <w:lang w:val="zh-CN"/>
        </w:rPr>
      </w:pPr>
      <w:r>
        <w:rPr>
          <w:rFonts w:hint="eastAsia" w:ascii="宋体" w:eastAsia="宋体" w:cs="宋体"/>
          <w:color w:val="auto"/>
          <w:lang w:val="zh-CN"/>
        </w:rPr>
        <w:t>（7）在施工期间，承包单位不得以各单项工程量和措施项目为借口要求调整价格或不完成。投标单位投标时各子目的报价将被业主视为在充分考察了施工现场后，根据本单位的实际情况报出的能合格地完成各项目施工的投标价格。</w:t>
      </w:r>
    </w:p>
    <w:p>
      <w:pPr>
        <w:spacing w:line="360" w:lineRule="auto"/>
        <w:ind w:firstLine="420" w:firstLineChars="200"/>
        <w:rPr>
          <w:rFonts w:hint="eastAsia" w:ascii="宋体" w:eastAsia="宋体" w:cs="宋体"/>
          <w:color w:val="auto"/>
          <w:lang w:val="zh-CN"/>
        </w:rPr>
      </w:pPr>
      <w:r>
        <w:rPr>
          <w:rFonts w:hint="eastAsia" w:ascii="宋体" w:eastAsia="宋体" w:cs="宋体"/>
          <w:color w:val="auto"/>
          <w:lang w:val="zh-CN"/>
        </w:rPr>
        <w:t>（8）工程变更、签证引起的价款调整。设计图纸、工程量清单、招标文件、招标答疑等书面文件已涵盖的工程范围内所有工作内容，一般不予签证，如设计图纸有变更</w:t>
      </w:r>
      <w:r>
        <w:rPr>
          <w:rFonts w:hint="eastAsia" w:ascii="宋体" w:cs="宋体"/>
          <w:color w:val="auto"/>
          <w:lang w:val="zh-CN"/>
        </w:rPr>
        <w:t>或遇不可抗力</w:t>
      </w:r>
      <w:r>
        <w:rPr>
          <w:rFonts w:hint="eastAsia" w:ascii="宋体" w:eastAsia="宋体" w:cs="宋体"/>
          <w:color w:val="auto"/>
          <w:lang w:val="zh-CN"/>
        </w:rPr>
        <w:t>，</w:t>
      </w:r>
      <w:r>
        <w:rPr>
          <w:rFonts w:hint="eastAsia" w:ascii="宋体" w:cs="宋体"/>
          <w:color w:val="auto"/>
          <w:lang w:val="zh-CN"/>
        </w:rPr>
        <w:t>市场调节导致重大材差调整等因素，</w:t>
      </w:r>
      <w:r>
        <w:rPr>
          <w:rFonts w:hint="eastAsia" w:ascii="宋体" w:eastAsia="宋体" w:cs="宋体"/>
          <w:color w:val="auto"/>
          <w:lang w:val="zh-CN"/>
        </w:rPr>
        <w:t>需与招标人协商后，按有关规定执行，最终以区财政评审为准。</w:t>
      </w:r>
    </w:p>
    <w:p>
      <w:pPr>
        <w:spacing w:line="360" w:lineRule="auto"/>
        <w:ind w:firstLine="420" w:firstLineChars="200"/>
        <w:rPr>
          <w:rFonts w:hint="eastAsia" w:ascii="宋体" w:eastAsia="宋体" w:cs="宋体"/>
          <w:color w:val="auto"/>
          <w:lang w:val="zh-CN"/>
        </w:rPr>
      </w:pPr>
      <w:r>
        <w:rPr>
          <w:rFonts w:hint="eastAsia" w:ascii="宋体" w:eastAsia="宋体" w:cs="宋体"/>
          <w:color w:val="auto"/>
          <w:lang w:val="zh-CN"/>
        </w:rPr>
        <w:t>投标人所报变更签证优惠率不得低于自身投标报价优惠率。</w:t>
      </w:r>
    </w:p>
    <w:p>
      <w:pPr>
        <w:spacing w:line="360" w:lineRule="auto"/>
        <w:ind w:firstLine="420" w:firstLineChars="200"/>
        <w:rPr>
          <w:rFonts w:hint="eastAsia" w:ascii="宋体" w:eastAsia="宋体" w:cs="宋体"/>
          <w:color w:val="auto"/>
          <w:lang w:val="zh-CN"/>
        </w:rPr>
      </w:pPr>
      <w:r>
        <w:rPr>
          <w:rFonts w:hint="eastAsia" w:ascii="宋体" w:eastAsia="宋体" w:cs="宋体"/>
          <w:color w:val="auto"/>
          <w:lang w:val="zh-CN"/>
        </w:rPr>
        <w:t>投标报价优惠率=（最高投标限价-投标标价）/最高投标限价*100%</w:t>
      </w:r>
    </w:p>
    <w:p>
      <w:pPr>
        <w:pStyle w:val="7"/>
        <w:spacing w:before="0" w:after="0" w:line="360" w:lineRule="auto"/>
        <w:rPr>
          <w:rFonts w:ascii="宋体" w:cs="宋体"/>
          <w:color w:val="auto"/>
        </w:rPr>
      </w:pPr>
      <w:r>
        <w:rPr>
          <w:rFonts w:hint="eastAsia" w:ascii="宋体" w:cs="宋体"/>
          <w:color w:val="auto"/>
        </w:rPr>
        <w:t>3.3 投标有效期</w:t>
      </w:r>
      <w:bookmarkEnd w:id="195"/>
      <w:bookmarkEnd w:id="196"/>
      <w:bookmarkEnd w:id="197"/>
      <w:bookmarkEnd w:id="198"/>
      <w:bookmarkEnd w:id="199"/>
      <w:bookmarkEnd w:id="200"/>
      <w:bookmarkEnd w:id="201"/>
      <w:bookmarkEnd w:id="202"/>
    </w:p>
    <w:p>
      <w:pPr>
        <w:spacing w:line="360" w:lineRule="auto"/>
        <w:ind w:firstLine="420" w:firstLineChars="200"/>
        <w:rPr>
          <w:rFonts w:ascii="宋体" w:cs="宋体"/>
          <w:color w:val="auto"/>
        </w:rPr>
      </w:pPr>
      <w:r>
        <w:rPr>
          <w:rFonts w:hint="eastAsia" w:ascii="宋体" w:cs="宋体"/>
          <w:color w:val="auto"/>
        </w:rPr>
        <w:t>3.3.1 除投标人须知前附表另有规定外，投标有效期为90天。</w:t>
      </w:r>
    </w:p>
    <w:p>
      <w:pPr>
        <w:spacing w:line="360" w:lineRule="auto"/>
        <w:ind w:firstLine="420" w:firstLineChars="200"/>
        <w:rPr>
          <w:rFonts w:ascii="宋体" w:cs="宋体"/>
          <w:color w:val="auto"/>
        </w:rPr>
      </w:pPr>
      <w:r>
        <w:rPr>
          <w:rFonts w:hint="eastAsia" w:ascii="宋体" w:cs="宋体"/>
          <w:color w:val="auto"/>
        </w:rPr>
        <w:t>3.3.2在投标有效期内，投标人撤销或修改其投标文件的，应承担招标文件和法律规定的责任。</w:t>
      </w:r>
    </w:p>
    <w:p>
      <w:pPr>
        <w:spacing w:line="360" w:lineRule="auto"/>
        <w:ind w:firstLine="420" w:firstLineChars="200"/>
        <w:rPr>
          <w:rFonts w:ascii="宋体" w:cs="宋体"/>
          <w:color w:val="auto"/>
        </w:rPr>
      </w:pPr>
      <w:r>
        <w:rPr>
          <w:rFonts w:hint="eastAsia" w:ascii="宋体" w:cs="宋体"/>
          <w:color w:val="auto"/>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7"/>
        <w:spacing w:before="0" w:after="0" w:line="360" w:lineRule="auto"/>
        <w:rPr>
          <w:rFonts w:ascii="宋体" w:cs="宋体"/>
          <w:color w:val="auto"/>
        </w:rPr>
      </w:pPr>
      <w:bookmarkStart w:id="203" w:name="_Toc152045550"/>
      <w:bookmarkStart w:id="204" w:name="_Toc179632568"/>
      <w:bookmarkStart w:id="205" w:name="_Toc246996938"/>
      <w:bookmarkStart w:id="206" w:name="_Toc152042326"/>
      <w:bookmarkStart w:id="207" w:name="_Toc144974518"/>
      <w:bookmarkStart w:id="208" w:name="_Toc246996195"/>
      <w:bookmarkStart w:id="209" w:name="_Toc3662"/>
      <w:bookmarkStart w:id="210" w:name="_Toc247085709"/>
      <w:r>
        <w:rPr>
          <w:rFonts w:hint="eastAsia" w:ascii="宋体" w:cs="宋体"/>
          <w:color w:val="auto"/>
        </w:rPr>
        <w:t>3.4 投标保证金</w:t>
      </w:r>
      <w:bookmarkEnd w:id="203"/>
      <w:bookmarkEnd w:id="204"/>
      <w:bookmarkEnd w:id="205"/>
      <w:bookmarkEnd w:id="206"/>
      <w:bookmarkEnd w:id="207"/>
      <w:bookmarkEnd w:id="208"/>
      <w:bookmarkEnd w:id="209"/>
      <w:bookmarkEnd w:id="210"/>
    </w:p>
    <w:p>
      <w:pPr>
        <w:spacing w:line="360" w:lineRule="auto"/>
        <w:ind w:firstLine="420" w:firstLineChars="200"/>
        <w:rPr>
          <w:rFonts w:ascii="宋体" w:cs="宋体"/>
          <w:color w:val="auto"/>
        </w:rPr>
      </w:pPr>
      <w:r>
        <w:rPr>
          <w:rFonts w:hint="eastAsia" w:ascii="宋体" w:cs="宋体"/>
          <w:color w:val="auto"/>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spacing w:line="360" w:lineRule="auto"/>
        <w:ind w:firstLine="420" w:firstLineChars="200"/>
        <w:rPr>
          <w:rFonts w:ascii="宋体" w:cs="宋体"/>
          <w:color w:val="auto"/>
        </w:rPr>
      </w:pPr>
      <w:r>
        <w:rPr>
          <w:rFonts w:hint="eastAsia" w:ascii="宋体" w:cs="宋体"/>
          <w:color w:val="auto"/>
        </w:rPr>
        <w:t>3.4.2 投标人不按本章第3.4.1项要求提交投标保证金的，评标委员会将否决其投标。</w:t>
      </w:r>
    </w:p>
    <w:p>
      <w:pPr>
        <w:spacing w:line="360" w:lineRule="auto"/>
        <w:ind w:firstLine="420" w:firstLineChars="200"/>
        <w:rPr>
          <w:rFonts w:ascii="宋体" w:cs="宋体"/>
          <w:color w:val="auto"/>
        </w:rPr>
      </w:pPr>
      <w:r>
        <w:rPr>
          <w:rFonts w:hint="eastAsia" w:ascii="宋体" w:cs="宋体"/>
          <w:color w:val="auto"/>
        </w:rPr>
        <w:t>3.4.3 招标人与中标人签订合同后5日内，向未中标的投标人和中标人退还投标保证金及同期银行存款利息。</w:t>
      </w:r>
    </w:p>
    <w:p>
      <w:pPr>
        <w:spacing w:line="360" w:lineRule="auto"/>
        <w:ind w:firstLine="420" w:firstLineChars="200"/>
        <w:rPr>
          <w:rFonts w:ascii="宋体" w:cs="宋体"/>
          <w:color w:val="auto"/>
        </w:rPr>
      </w:pPr>
      <w:r>
        <w:rPr>
          <w:rFonts w:hint="eastAsia" w:ascii="宋体" w:cs="宋体"/>
          <w:color w:val="auto"/>
        </w:rPr>
        <w:t xml:space="preserve">3.4.4 有下列情形之一的，投标保证金将不予退还： </w:t>
      </w:r>
    </w:p>
    <w:p>
      <w:pPr>
        <w:spacing w:line="360" w:lineRule="auto"/>
        <w:ind w:firstLine="420" w:firstLineChars="200"/>
        <w:rPr>
          <w:rFonts w:ascii="宋体" w:cs="宋体"/>
          <w:color w:val="auto"/>
        </w:rPr>
      </w:pPr>
      <w:r>
        <w:rPr>
          <w:rFonts w:hint="eastAsia" w:ascii="宋体" w:cs="宋体"/>
          <w:color w:val="auto"/>
        </w:rPr>
        <w:t>（1）投标人在规定的投标有效期内撤销或修改其投标文件；</w:t>
      </w:r>
    </w:p>
    <w:p>
      <w:pPr>
        <w:spacing w:line="360" w:lineRule="auto"/>
        <w:ind w:firstLine="420" w:firstLineChars="200"/>
        <w:rPr>
          <w:rFonts w:ascii="宋体" w:cs="宋体"/>
          <w:color w:val="auto"/>
        </w:rPr>
      </w:pPr>
      <w:r>
        <w:rPr>
          <w:rFonts w:hint="eastAsia" w:ascii="宋体" w:cs="宋体"/>
          <w:color w:val="auto"/>
        </w:rPr>
        <w:t>（2）中标人在收到中标通知书后，无正当理由拒签合同协议书或未按招标文件规定提交履约担保。</w:t>
      </w:r>
    </w:p>
    <w:p>
      <w:pPr>
        <w:pStyle w:val="7"/>
        <w:spacing w:before="0" w:after="0" w:line="360" w:lineRule="auto"/>
        <w:rPr>
          <w:rFonts w:ascii="宋体" w:cs="宋体"/>
          <w:color w:val="auto"/>
        </w:rPr>
      </w:pPr>
      <w:bookmarkStart w:id="211" w:name="_Toc246996196"/>
      <w:bookmarkStart w:id="212" w:name="_Toc246996939"/>
      <w:bookmarkStart w:id="213" w:name="_Toc144974520"/>
      <w:bookmarkStart w:id="214" w:name="_Toc179632570"/>
      <w:bookmarkStart w:id="215" w:name="_Toc152042328"/>
      <w:bookmarkStart w:id="216" w:name="_Toc247085710"/>
      <w:bookmarkStart w:id="217" w:name="_Toc152045552"/>
      <w:bookmarkStart w:id="218" w:name="_Toc9099"/>
      <w:r>
        <w:rPr>
          <w:rFonts w:hint="eastAsia" w:ascii="宋体" w:cs="宋体"/>
          <w:color w:val="auto"/>
        </w:rPr>
        <w:t xml:space="preserve">3.5 </w:t>
      </w:r>
      <w:bookmarkEnd w:id="211"/>
      <w:bookmarkEnd w:id="212"/>
      <w:bookmarkEnd w:id="213"/>
      <w:bookmarkEnd w:id="214"/>
      <w:bookmarkEnd w:id="215"/>
      <w:bookmarkEnd w:id="216"/>
      <w:bookmarkEnd w:id="217"/>
      <w:bookmarkEnd w:id="218"/>
      <w:r>
        <w:rPr>
          <w:rFonts w:hint="eastAsia" w:ascii="宋体" w:cs="宋体"/>
          <w:color w:val="auto"/>
        </w:rPr>
        <w:t>资格审查资料</w:t>
      </w:r>
    </w:p>
    <w:p>
      <w:pPr>
        <w:spacing w:line="360" w:lineRule="auto"/>
        <w:ind w:firstLine="420" w:firstLineChars="200"/>
        <w:rPr>
          <w:rFonts w:ascii="宋体" w:cs="宋体"/>
          <w:color w:val="auto"/>
          <w:szCs w:val="21"/>
        </w:rPr>
      </w:pPr>
      <w:bookmarkStart w:id="219" w:name="_Toc30667"/>
      <w:bookmarkStart w:id="220" w:name="_Toc2038"/>
      <w:bookmarkStart w:id="221" w:name="_Toc18373"/>
      <w:bookmarkStart w:id="222" w:name="_Toc247085711"/>
      <w:bookmarkStart w:id="223" w:name="_Toc179632571"/>
      <w:bookmarkStart w:id="224" w:name="_Toc152045553"/>
      <w:bookmarkStart w:id="225" w:name="_Toc152042329"/>
      <w:bookmarkStart w:id="226" w:name="_Toc246996197"/>
      <w:bookmarkStart w:id="227" w:name="_Toc246996940"/>
      <w:bookmarkStart w:id="228" w:name="_Toc144974521"/>
      <w:r>
        <w:rPr>
          <w:rFonts w:hint="eastAsia" w:ascii="宋体" w:cs="宋体"/>
          <w:color w:val="auto"/>
          <w:szCs w:val="21"/>
        </w:rPr>
        <w:t>详见投标人须知前附表中第1.4.1项投标人资质条件、能力和信誉资格要求。</w:t>
      </w:r>
      <w:bookmarkEnd w:id="219"/>
      <w:bookmarkEnd w:id="220"/>
      <w:r>
        <w:rPr>
          <w:rFonts w:hint="eastAsia" w:ascii="宋体" w:cs="宋体"/>
          <w:color w:val="auto"/>
          <w:szCs w:val="21"/>
        </w:rPr>
        <w:t>本工程实行资格后审，经评标委员会审查不合格者，取消其投标资格。</w:t>
      </w:r>
    </w:p>
    <w:p>
      <w:pPr>
        <w:pStyle w:val="7"/>
        <w:spacing w:before="0" w:after="0" w:line="360" w:lineRule="auto"/>
        <w:rPr>
          <w:rFonts w:ascii="宋体" w:cs="宋体"/>
          <w:color w:val="auto"/>
        </w:rPr>
      </w:pPr>
      <w:r>
        <w:rPr>
          <w:rFonts w:hint="eastAsia" w:ascii="宋体" w:cs="宋体"/>
          <w:color w:val="auto"/>
        </w:rPr>
        <w:t>3.6投标文件的编制</w:t>
      </w:r>
      <w:bookmarkEnd w:id="221"/>
    </w:p>
    <w:p>
      <w:pPr>
        <w:spacing w:line="360" w:lineRule="auto"/>
        <w:ind w:firstLine="420" w:firstLineChars="200"/>
        <w:rPr>
          <w:rFonts w:ascii="宋体" w:cs="宋体"/>
          <w:color w:val="auto"/>
          <w:szCs w:val="21"/>
        </w:rPr>
      </w:pPr>
      <w:r>
        <w:rPr>
          <w:rFonts w:hint="eastAsia" w:ascii="宋体" w:cs="宋体"/>
          <w:color w:val="auto"/>
          <w:szCs w:val="21"/>
        </w:rPr>
        <w:t>3.6.1供应商登录“洛阳市公共资源交易中心”网站，按要求下载“新点投标文件制作软件”。</w:t>
      </w:r>
    </w:p>
    <w:p>
      <w:pPr>
        <w:spacing w:line="360" w:lineRule="auto"/>
        <w:ind w:firstLine="420" w:firstLineChars="200"/>
        <w:rPr>
          <w:rFonts w:ascii="宋体" w:cs="宋体"/>
          <w:color w:val="auto"/>
          <w:szCs w:val="21"/>
        </w:rPr>
      </w:pPr>
      <w:r>
        <w:rPr>
          <w:rFonts w:hint="eastAsia" w:ascii="宋体" w:cs="宋体"/>
          <w:color w:val="auto"/>
          <w:szCs w:val="21"/>
        </w:rPr>
        <w:t>3.6.2供应商凭CA锁登录，并按网上提示自行下载招标文件。使用“新点投标文件制作软件”按要求制作电子响应文件。供应商在制作电子响应文件时，应按要求进行电子签章。供应商编辑电子响应文件时，根据招标文件要求用法定代表人CA锁和企业CA锁进行签章制作；最后一步生成电子响应文件（*.lytf格式和*.nlytf格式）时，只能用本单位的企业CA锁。联合体投标的，响应文件由联合体牵头人按上述规定进行签章。</w:t>
      </w:r>
    </w:p>
    <w:p>
      <w:pPr>
        <w:spacing w:line="360" w:lineRule="auto"/>
        <w:ind w:firstLine="420" w:firstLineChars="200"/>
        <w:rPr>
          <w:rFonts w:hint="eastAsia" w:ascii="宋体" w:cs="宋体"/>
          <w:color w:val="auto"/>
          <w:szCs w:val="21"/>
        </w:rPr>
      </w:pPr>
      <w:r>
        <w:rPr>
          <w:rFonts w:hint="eastAsia" w:ascii="宋体" w:cs="宋体"/>
          <w:color w:val="auto"/>
          <w:szCs w:val="21"/>
        </w:rPr>
        <w:t>3.6.3加密的电子响应文件为“洛阳市公共资源交易中心”网站提供的“新点投标文件制作软件”制作生成的加密版响应文件。</w:t>
      </w:r>
    </w:p>
    <w:p>
      <w:pPr>
        <w:spacing w:line="360" w:lineRule="auto"/>
        <w:ind w:firstLine="420" w:firstLineChars="200"/>
        <w:rPr>
          <w:rFonts w:ascii="宋体" w:cs="宋体"/>
          <w:color w:val="auto"/>
          <w:szCs w:val="21"/>
        </w:rPr>
      </w:pPr>
      <w:r>
        <w:rPr>
          <w:rFonts w:hint="eastAsia" w:ascii="宋体" w:cs="宋体"/>
          <w:color w:val="auto"/>
          <w:szCs w:val="21"/>
        </w:rPr>
        <w:t>3.6.4招标文件格式所要求包含的全部资料应全部制作在响应文件内，严格按照本项目招标文件所有格式如实填写（不涉及的内容除外），不应存在漏项或缺项，否则将存在响应文件被否决的风险。</w:t>
      </w:r>
    </w:p>
    <w:p>
      <w:pPr>
        <w:spacing w:line="360" w:lineRule="auto"/>
        <w:ind w:firstLine="420" w:firstLineChars="200"/>
        <w:rPr>
          <w:rFonts w:ascii="宋体" w:cs="宋体"/>
          <w:color w:val="auto"/>
        </w:rPr>
      </w:pPr>
      <w:r>
        <w:rPr>
          <w:rFonts w:hint="eastAsia" w:ascii="宋体" w:cs="宋体"/>
          <w:color w:val="auto"/>
          <w:szCs w:val="21"/>
        </w:rPr>
        <w:t>3.6.5响应文件所附证明材料尺寸和清晰度应该能够在电脑上被阅读、识别和判断；若供应商未按要求提供证明材料或提供不清晰的，评标小组有权认定其响应文件未对招标文件有关要求进行响应，涉及资格审查性或符合性审查的将不予通过。</w:t>
      </w:r>
    </w:p>
    <w:bookmarkEnd w:id="222"/>
    <w:bookmarkEnd w:id="223"/>
    <w:bookmarkEnd w:id="224"/>
    <w:bookmarkEnd w:id="225"/>
    <w:bookmarkEnd w:id="226"/>
    <w:bookmarkEnd w:id="227"/>
    <w:bookmarkEnd w:id="228"/>
    <w:p>
      <w:pPr>
        <w:pStyle w:val="6"/>
        <w:spacing w:before="0" w:after="0" w:line="360" w:lineRule="auto"/>
        <w:rPr>
          <w:rFonts w:ascii="宋体" w:cs="宋体"/>
          <w:color w:val="auto"/>
        </w:rPr>
      </w:pPr>
      <w:bookmarkStart w:id="229" w:name="_Toc247085713"/>
      <w:bookmarkStart w:id="230" w:name="_Toc246996942"/>
      <w:bookmarkStart w:id="231" w:name="_Toc246996199"/>
      <w:bookmarkStart w:id="232" w:name="_Toc7793"/>
      <w:bookmarkStart w:id="233" w:name="_Toc152045555"/>
      <w:bookmarkStart w:id="234" w:name="_Toc144974523"/>
      <w:bookmarkStart w:id="235" w:name="_Toc179632573"/>
      <w:bookmarkStart w:id="236" w:name="_Toc152042331"/>
      <w:r>
        <w:rPr>
          <w:rFonts w:hint="eastAsia" w:ascii="宋体" w:cs="宋体"/>
          <w:color w:val="auto"/>
        </w:rPr>
        <w:t>4. 投标</w:t>
      </w:r>
      <w:bookmarkEnd w:id="229"/>
      <w:bookmarkEnd w:id="230"/>
      <w:bookmarkEnd w:id="231"/>
      <w:bookmarkEnd w:id="232"/>
      <w:bookmarkEnd w:id="233"/>
      <w:bookmarkEnd w:id="234"/>
      <w:bookmarkEnd w:id="235"/>
      <w:bookmarkEnd w:id="236"/>
    </w:p>
    <w:p>
      <w:pPr>
        <w:pStyle w:val="7"/>
        <w:spacing w:before="0" w:after="0" w:line="360" w:lineRule="auto"/>
        <w:rPr>
          <w:rFonts w:ascii="宋体" w:cs="宋体"/>
          <w:color w:val="auto"/>
        </w:rPr>
      </w:pPr>
      <w:bookmarkStart w:id="237" w:name="_Toc179632575"/>
      <w:bookmarkStart w:id="238" w:name="_Toc246996944"/>
      <w:bookmarkStart w:id="239" w:name="_Toc17725"/>
      <w:bookmarkStart w:id="240" w:name="_Toc152045557"/>
      <w:bookmarkStart w:id="241" w:name="_Toc246996201"/>
      <w:bookmarkStart w:id="242" w:name="_Toc144974525"/>
      <w:bookmarkStart w:id="243" w:name="_Toc247085715"/>
      <w:bookmarkStart w:id="244" w:name="_Toc152042333"/>
      <w:r>
        <w:rPr>
          <w:rFonts w:hint="eastAsia" w:ascii="宋体" w:cs="宋体"/>
          <w:color w:val="auto"/>
        </w:rPr>
        <w:t>4.</w:t>
      </w:r>
      <w:r>
        <w:rPr>
          <w:rFonts w:hint="eastAsia" w:ascii="宋体" w:cs="宋体"/>
          <w:color w:val="auto"/>
          <w:lang w:val="en-US" w:eastAsia="zh-CN"/>
        </w:rPr>
        <w:t>1</w:t>
      </w:r>
      <w:r>
        <w:rPr>
          <w:rFonts w:hint="eastAsia" w:ascii="宋体" w:cs="宋体"/>
          <w:color w:val="auto"/>
        </w:rPr>
        <w:t xml:space="preserve"> 投标文件的递交</w:t>
      </w:r>
      <w:bookmarkEnd w:id="237"/>
      <w:bookmarkEnd w:id="238"/>
      <w:bookmarkEnd w:id="239"/>
      <w:bookmarkEnd w:id="240"/>
      <w:bookmarkEnd w:id="241"/>
      <w:bookmarkEnd w:id="242"/>
      <w:bookmarkEnd w:id="243"/>
      <w:bookmarkEnd w:id="244"/>
    </w:p>
    <w:p>
      <w:pPr>
        <w:spacing w:line="360" w:lineRule="auto"/>
        <w:ind w:firstLine="420" w:firstLineChars="200"/>
        <w:rPr>
          <w:rFonts w:hint="eastAsia" w:ascii="宋体" w:cs="宋体"/>
          <w:color w:val="auto"/>
        </w:rPr>
      </w:pPr>
      <w:bookmarkStart w:id="245" w:name="_Toc152045558"/>
      <w:bookmarkStart w:id="246" w:name="_Toc246996945"/>
      <w:bookmarkStart w:id="247" w:name="_Toc246996202"/>
      <w:bookmarkStart w:id="248" w:name="_Toc152042334"/>
      <w:bookmarkStart w:id="249" w:name="_Toc30027"/>
      <w:bookmarkStart w:id="250" w:name="_Toc144974526"/>
      <w:bookmarkStart w:id="251" w:name="_Toc247085716"/>
      <w:bookmarkStart w:id="252" w:name="_Toc179632576"/>
      <w:r>
        <w:rPr>
          <w:rFonts w:hint="eastAsia" w:ascii="宋体" w:cs="宋体"/>
          <w:color w:val="auto"/>
        </w:rPr>
        <w:t>4.1.1 投标人应在投标人须知前附表规定的投标截止时间前上传电子投标文件。</w:t>
      </w:r>
    </w:p>
    <w:p>
      <w:pPr>
        <w:spacing w:line="360" w:lineRule="auto"/>
        <w:ind w:firstLine="420" w:firstLineChars="200"/>
        <w:rPr>
          <w:rFonts w:hint="eastAsia" w:ascii="宋体" w:cs="宋体"/>
          <w:color w:val="auto"/>
        </w:rPr>
      </w:pPr>
      <w:r>
        <w:rPr>
          <w:rFonts w:hint="eastAsia" w:ascii="宋体" w:cs="宋体"/>
          <w:color w:val="auto"/>
        </w:rPr>
        <w:t>4.1.2 投标人上传电子投标文件的截止时间和地点：见投标人须知前附表。</w:t>
      </w:r>
    </w:p>
    <w:p>
      <w:pPr>
        <w:spacing w:line="360" w:lineRule="auto"/>
        <w:ind w:firstLine="420" w:firstLineChars="200"/>
        <w:rPr>
          <w:rFonts w:hint="eastAsia" w:ascii="宋体" w:cs="宋体"/>
          <w:color w:val="auto"/>
        </w:rPr>
      </w:pPr>
      <w:r>
        <w:rPr>
          <w:rFonts w:hint="eastAsia" w:ascii="宋体" w:cs="宋体"/>
          <w:color w:val="auto"/>
        </w:rPr>
        <w:t>4.1.3 投标人应在投标截止时间前上传加密的电子投标文件（*.lytf）到洛阳市电子招投标交易平台指定位置。上传时投标人须使用制作该投标文件的同一CA锁进行上传操作。请投标人在上传时认真检查上传投标文件是否完整、正确。投标人应充分考虑上传文件时的不可预见因素，未在投标截止时间前完成上传的，视为逾期送达，洛阳市电子招投标交易平台将拒绝接收。上传成功后将得到上传成功的确认。</w:t>
      </w:r>
    </w:p>
    <w:p>
      <w:pPr>
        <w:spacing w:line="360" w:lineRule="auto"/>
        <w:ind w:firstLine="420" w:firstLineChars="200"/>
        <w:rPr>
          <w:rFonts w:hint="eastAsia" w:ascii="宋体" w:cs="宋体"/>
          <w:color w:val="auto"/>
        </w:rPr>
      </w:pPr>
      <w:r>
        <w:rPr>
          <w:rFonts w:hint="eastAsia" w:ascii="宋体" w:cs="宋体"/>
          <w:color w:val="auto"/>
        </w:rPr>
        <w:t>4.1.4 投标人因洛阳市电子招投标交易平台问题无法上传电子投标文件时，请在工作时间与交易中心联系。联系方式见投标人须知前附表。</w:t>
      </w:r>
    </w:p>
    <w:p>
      <w:pPr>
        <w:spacing w:line="360" w:lineRule="auto"/>
        <w:ind w:firstLine="420" w:firstLineChars="200"/>
        <w:rPr>
          <w:rFonts w:hint="eastAsia" w:ascii="宋体" w:cs="宋体"/>
          <w:color w:val="auto"/>
        </w:rPr>
      </w:pPr>
      <w:r>
        <w:rPr>
          <w:rFonts w:hint="eastAsia" w:ascii="宋体" w:cs="宋体"/>
          <w:color w:val="auto"/>
        </w:rPr>
        <w:t>4.1.5 除投标人须知前附表另有规定外，投标人所提交的投标文件不予退还。</w:t>
      </w:r>
    </w:p>
    <w:p>
      <w:pPr>
        <w:spacing w:line="360" w:lineRule="auto"/>
        <w:ind w:firstLine="420" w:firstLineChars="200"/>
        <w:rPr>
          <w:rFonts w:hint="eastAsia" w:ascii="宋体" w:cs="宋体"/>
          <w:color w:val="auto"/>
        </w:rPr>
      </w:pPr>
      <w:r>
        <w:rPr>
          <w:rFonts w:hint="eastAsia" w:ascii="宋体" w:cs="宋体"/>
          <w:color w:val="auto"/>
        </w:rPr>
        <w:t>4.1.6 逾期送达的投标文件，电子招标投标交易平台将予以拒收</w:t>
      </w:r>
    </w:p>
    <w:p>
      <w:pPr>
        <w:pStyle w:val="7"/>
        <w:spacing w:before="0" w:after="0" w:line="360" w:lineRule="auto"/>
        <w:rPr>
          <w:rFonts w:hint="eastAsia" w:ascii="宋体" w:cs="宋体"/>
          <w:color w:val="auto"/>
        </w:rPr>
      </w:pPr>
      <w:r>
        <w:rPr>
          <w:rFonts w:hint="eastAsia" w:ascii="宋体" w:cs="宋体"/>
          <w:color w:val="auto"/>
        </w:rPr>
        <w:t>4.</w:t>
      </w:r>
      <w:r>
        <w:rPr>
          <w:rFonts w:hint="eastAsia" w:ascii="宋体" w:cs="宋体"/>
          <w:color w:val="auto"/>
          <w:lang w:val="en-US" w:eastAsia="zh-CN"/>
        </w:rPr>
        <w:t>2</w:t>
      </w:r>
      <w:r>
        <w:rPr>
          <w:rFonts w:hint="eastAsia" w:ascii="宋体" w:cs="宋体"/>
          <w:color w:val="auto"/>
        </w:rPr>
        <w:t xml:space="preserve"> 投标文件的修改与撤回</w:t>
      </w:r>
      <w:bookmarkEnd w:id="245"/>
      <w:bookmarkEnd w:id="246"/>
      <w:bookmarkEnd w:id="247"/>
      <w:bookmarkEnd w:id="248"/>
      <w:bookmarkEnd w:id="249"/>
      <w:bookmarkEnd w:id="250"/>
      <w:bookmarkEnd w:id="251"/>
      <w:bookmarkEnd w:id="252"/>
    </w:p>
    <w:p>
      <w:pPr>
        <w:spacing w:line="360" w:lineRule="auto"/>
        <w:ind w:firstLine="420" w:firstLineChars="200"/>
        <w:rPr>
          <w:rFonts w:hint="eastAsia" w:ascii="宋体" w:cs="宋体"/>
          <w:color w:val="auto"/>
          <w:lang w:val="en-US" w:eastAsia="zh-CN"/>
        </w:rPr>
      </w:pPr>
      <w:bookmarkStart w:id="253" w:name="_Toc246996203"/>
      <w:bookmarkStart w:id="254" w:name="_Toc27984"/>
      <w:bookmarkStart w:id="255" w:name="_Toc152042335"/>
      <w:bookmarkStart w:id="256" w:name="_Toc179632577"/>
      <w:bookmarkStart w:id="257" w:name="_Toc144974527"/>
      <w:bookmarkStart w:id="258" w:name="_Toc246996946"/>
      <w:bookmarkStart w:id="259" w:name="_Toc152045559"/>
      <w:bookmarkStart w:id="260" w:name="_Toc247085717"/>
      <w:r>
        <w:rPr>
          <w:rFonts w:hint="eastAsia" w:ascii="宋体" w:cs="宋体"/>
          <w:color w:val="auto"/>
          <w:lang w:val="en-US" w:eastAsia="zh-CN"/>
        </w:rPr>
        <w:t>4.2.1  在投标截止时间前，投标人可以修改或撤回已递交的投标文件。投标人对加密的投标文件进行撤回的，应在洛阳市公共资源交易网（http://lyggzyjy.ly.gov.cn）-“洛阳市电子招投标交易平台”直接进行撤回操作；投标人对加密的投标文件进行修改的，应在投标截止时间前完成上传。</w:t>
      </w:r>
    </w:p>
    <w:p>
      <w:pPr>
        <w:spacing w:line="360" w:lineRule="auto"/>
        <w:ind w:firstLine="420" w:firstLineChars="200"/>
        <w:rPr>
          <w:rFonts w:hint="eastAsia" w:ascii="宋体" w:cs="宋体"/>
          <w:color w:val="auto"/>
          <w:lang w:val="en-US" w:eastAsia="zh-CN"/>
        </w:rPr>
      </w:pPr>
      <w:r>
        <w:rPr>
          <w:rFonts w:hint="eastAsia" w:ascii="宋体" w:cs="宋体"/>
          <w:color w:val="auto"/>
          <w:lang w:val="en-US" w:eastAsia="zh-CN"/>
        </w:rPr>
        <w:t>4.2.2 投标人修改投标文件的，应使用规定的投标文件制作工具制作成完整的投标文件，并按照规定进行编制、加密和递交。对采用网上递交的加密的投标文件，以投标截止时间前最后完成上传的文件为准。</w:t>
      </w:r>
    </w:p>
    <w:p>
      <w:pPr>
        <w:pStyle w:val="6"/>
        <w:spacing w:before="0" w:after="0" w:line="360" w:lineRule="auto"/>
        <w:rPr>
          <w:rFonts w:hint="eastAsia" w:ascii="宋体" w:cs="宋体"/>
          <w:color w:val="auto"/>
          <w:lang w:val="en-US" w:eastAsia="zh-CN"/>
        </w:rPr>
      </w:pPr>
      <w:r>
        <w:rPr>
          <w:rFonts w:hint="eastAsia" w:ascii="宋体" w:cs="宋体"/>
          <w:color w:val="auto"/>
          <w:lang w:val="en-US" w:eastAsia="zh-CN"/>
        </w:rPr>
        <w:t>5. 开标</w:t>
      </w:r>
      <w:bookmarkEnd w:id="253"/>
      <w:bookmarkEnd w:id="254"/>
      <w:bookmarkEnd w:id="255"/>
      <w:bookmarkEnd w:id="256"/>
      <w:bookmarkEnd w:id="257"/>
      <w:bookmarkEnd w:id="258"/>
      <w:bookmarkEnd w:id="259"/>
      <w:bookmarkEnd w:id="260"/>
    </w:p>
    <w:p>
      <w:pPr>
        <w:pStyle w:val="7"/>
        <w:spacing w:before="0" w:after="0" w:line="360" w:lineRule="auto"/>
        <w:rPr>
          <w:rFonts w:ascii="宋体" w:cs="宋体"/>
          <w:color w:val="auto"/>
        </w:rPr>
      </w:pPr>
      <w:bookmarkStart w:id="261" w:name="_Toc144974528"/>
      <w:bookmarkStart w:id="262" w:name="_Toc246996947"/>
      <w:bookmarkStart w:id="263" w:name="_Toc247085718"/>
      <w:bookmarkStart w:id="264" w:name="_Toc152045560"/>
      <w:bookmarkStart w:id="265" w:name="_Toc8740"/>
      <w:bookmarkStart w:id="266" w:name="_Toc152042336"/>
      <w:bookmarkStart w:id="267" w:name="_Toc246996204"/>
      <w:bookmarkStart w:id="268" w:name="_Toc179632578"/>
      <w:r>
        <w:rPr>
          <w:rFonts w:hint="eastAsia" w:ascii="宋体" w:cs="宋体"/>
          <w:color w:val="auto"/>
        </w:rPr>
        <w:t>5.1 开标时间和地点</w:t>
      </w:r>
      <w:bookmarkEnd w:id="261"/>
      <w:bookmarkEnd w:id="262"/>
      <w:bookmarkEnd w:id="263"/>
      <w:bookmarkEnd w:id="264"/>
      <w:bookmarkEnd w:id="265"/>
      <w:bookmarkEnd w:id="266"/>
      <w:bookmarkEnd w:id="267"/>
      <w:bookmarkEnd w:id="268"/>
    </w:p>
    <w:p>
      <w:pPr>
        <w:spacing w:line="360" w:lineRule="auto"/>
        <w:ind w:firstLine="420" w:firstLineChars="200"/>
        <w:rPr>
          <w:rFonts w:hint="eastAsia" w:ascii="宋体" w:cs="宋体"/>
          <w:color w:val="auto"/>
          <w:lang w:val="zh-CN"/>
        </w:rPr>
      </w:pPr>
      <w:bookmarkStart w:id="269" w:name="_Toc152042337"/>
      <w:bookmarkStart w:id="270" w:name="_Toc247085719"/>
      <w:bookmarkStart w:id="271" w:name="_Toc144974529"/>
      <w:bookmarkStart w:id="272" w:name="_Toc179632579"/>
      <w:bookmarkStart w:id="273" w:name="_Toc19630"/>
      <w:bookmarkStart w:id="274" w:name="_Toc246996948"/>
      <w:bookmarkStart w:id="275" w:name="_Toc152045561"/>
      <w:bookmarkStart w:id="276" w:name="_Toc246996205"/>
      <w:r>
        <w:rPr>
          <w:rFonts w:hint="eastAsia" w:ascii="宋体" w:cs="宋体"/>
          <w:color w:val="auto"/>
          <w:lang w:val="zh-CN"/>
        </w:rPr>
        <w:t>5.</w:t>
      </w:r>
      <w:r>
        <w:rPr>
          <w:rFonts w:hint="eastAsia" w:ascii="宋体" w:cs="宋体"/>
          <w:color w:val="auto"/>
          <w:lang w:val="en-US" w:eastAsia="zh-CN"/>
        </w:rPr>
        <w:t>1</w:t>
      </w:r>
      <w:r>
        <w:rPr>
          <w:rFonts w:hint="eastAsia" w:ascii="宋体" w:cs="宋体"/>
          <w:color w:val="auto"/>
          <w:lang w:val="zh-CN"/>
        </w:rPr>
        <w:t>.1 招标人在投标文件规定的时间和地点开启公开招标活动。</w:t>
      </w:r>
    </w:p>
    <w:p>
      <w:pPr>
        <w:spacing w:line="360" w:lineRule="auto"/>
        <w:ind w:firstLine="420" w:firstLineChars="200"/>
        <w:rPr>
          <w:rFonts w:hint="eastAsia" w:ascii="宋体" w:cs="宋体"/>
          <w:color w:val="auto"/>
          <w:lang w:val="zh-CN"/>
        </w:rPr>
      </w:pPr>
      <w:r>
        <w:rPr>
          <w:rFonts w:hint="eastAsia" w:ascii="宋体" w:cs="宋体"/>
          <w:color w:val="auto"/>
          <w:lang w:val="zh-CN"/>
        </w:rPr>
        <w:t>5.</w:t>
      </w:r>
      <w:r>
        <w:rPr>
          <w:rFonts w:hint="eastAsia" w:ascii="宋体" w:cs="宋体"/>
          <w:color w:val="auto"/>
          <w:lang w:val="en-US" w:eastAsia="zh-CN"/>
        </w:rPr>
        <w:t>1</w:t>
      </w:r>
      <w:r>
        <w:rPr>
          <w:rFonts w:hint="eastAsia" w:ascii="宋体" w:cs="宋体"/>
          <w:color w:val="auto"/>
          <w:lang w:val="zh-CN"/>
        </w:rPr>
        <w:t>.2招标代理机构将会同监督人及投标人代表检查电子响应文件的上传情况。</w:t>
      </w:r>
    </w:p>
    <w:p>
      <w:pPr>
        <w:spacing w:line="360" w:lineRule="auto"/>
        <w:ind w:firstLine="420" w:firstLineChars="200"/>
        <w:rPr>
          <w:rFonts w:hint="eastAsia" w:ascii="宋体" w:cs="宋体"/>
          <w:color w:val="auto"/>
          <w:lang w:val="zh-CN"/>
        </w:rPr>
      </w:pPr>
      <w:r>
        <w:rPr>
          <w:rFonts w:hint="eastAsia" w:ascii="宋体" w:cs="宋体"/>
          <w:color w:val="auto"/>
          <w:lang w:val="zh-CN"/>
        </w:rPr>
        <w:t>5</w:t>
      </w:r>
      <w:r>
        <w:rPr>
          <w:rFonts w:hint="eastAsia" w:ascii="宋体" w:cs="宋体"/>
          <w:color w:val="auto"/>
          <w:lang w:val="en-US" w:eastAsia="zh-CN"/>
        </w:rPr>
        <w:t>.1</w:t>
      </w:r>
      <w:r>
        <w:rPr>
          <w:rFonts w:hint="eastAsia" w:ascii="宋体" w:cs="宋体"/>
          <w:color w:val="auto"/>
          <w:lang w:val="zh-CN"/>
        </w:rPr>
        <w:t>.3各投标人应在规定时间内对本单位的投标文件解密。</w:t>
      </w:r>
    </w:p>
    <w:p>
      <w:pPr>
        <w:spacing w:line="360" w:lineRule="auto"/>
        <w:ind w:firstLine="420" w:firstLineChars="200"/>
        <w:rPr>
          <w:rFonts w:hint="eastAsia" w:ascii="宋体" w:cs="宋体"/>
          <w:color w:val="auto"/>
          <w:lang w:val="zh-CN"/>
        </w:rPr>
      </w:pPr>
      <w:r>
        <w:rPr>
          <w:rFonts w:hint="eastAsia" w:ascii="宋体" w:cs="宋体"/>
          <w:color w:val="auto"/>
          <w:lang w:val="zh-CN"/>
        </w:rPr>
        <w:t>5.</w:t>
      </w:r>
      <w:r>
        <w:rPr>
          <w:rFonts w:hint="eastAsia" w:ascii="宋体" w:cs="宋体"/>
          <w:color w:val="auto"/>
          <w:lang w:val="en-US" w:eastAsia="zh-CN"/>
        </w:rPr>
        <w:t>1</w:t>
      </w:r>
      <w:r>
        <w:rPr>
          <w:rFonts w:hint="eastAsia" w:ascii="宋体" w:cs="宋体"/>
          <w:color w:val="auto"/>
          <w:lang w:val="zh-CN"/>
        </w:rPr>
        <w:t>.4如投标人现场解密失败，投标人应使用未加密的电子投标文件。</w:t>
      </w:r>
    </w:p>
    <w:p>
      <w:pPr>
        <w:spacing w:line="360" w:lineRule="auto"/>
        <w:ind w:firstLine="420" w:firstLineChars="200"/>
        <w:rPr>
          <w:rFonts w:hint="eastAsia" w:ascii="宋体" w:cs="宋体"/>
          <w:color w:val="auto"/>
          <w:lang w:val="zh-CN"/>
        </w:rPr>
      </w:pPr>
      <w:r>
        <w:rPr>
          <w:rFonts w:hint="eastAsia" w:ascii="宋体" w:cs="宋体"/>
          <w:color w:val="auto"/>
          <w:lang w:val="zh-CN"/>
        </w:rPr>
        <w:t>5.</w:t>
      </w:r>
      <w:r>
        <w:rPr>
          <w:rFonts w:hint="eastAsia" w:ascii="宋体" w:cs="宋体"/>
          <w:color w:val="auto"/>
          <w:lang w:val="en-US" w:eastAsia="zh-CN"/>
        </w:rPr>
        <w:t>1</w:t>
      </w:r>
      <w:r>
        <w:rPr>
          <w:rFonts w:hint="eastAsia" w:ascii="宋体" w:cs="宋体"/>
          <w:color w:val="auto"/>
          <w:lang w:val="zh-CN"/>
        </w:rPr>
        <w:t>.5公开招标开启前没有提交未加密的电子投标文件，视同放弃使用未加密的电子投标文件投标。未加密的投标文件现场无法成功上传的，投标无效。</w:t>
      </w:r>
    </w:p>
    <w:p>
      <w:pPr>
        <w:spacing w:line="360" w:lineRule="auto"/>
        <w:ind w:firstLine="420" w:firstLineChars="200"/>
        <w:rPr>
          <w:rFonts w:hint="eastAsia" w:ascii="宋体" w:cs="宋体"/>
          <w:color w:val="auto"/>
          <w:lang w:val="zh-CN"/>
        </w:rPr>
      </w:pPr>
      <w:r>
        <w:rPr>
          <w:rFonts w:hint="eastAsia" w:ascii="宋体" w:cs="宋体"/>
          <w:color w:val="auto"/>
          <w:lang w:val="zh-CN"/>
        </w:rPr>
        <w:t>5.</w:t>
      </w:r>
      <w:r>
        <w:rPr>
          <w:rFonts w:hint="eastAsia" w:ascii="宋体" w:cs="宋体"/>
          <w:color w:val="auto"/>
          <w:lang w:val="en-US" w:eastAsia="zh-CN"/>
        </w:rPr>
        <w:t>1</w:t>
      </w:r>
      <w:r>
        <w:rPr>
          <w:rFonts w:hint="eastAsia" w:ascii="宋体" w:cs="宋体"/>
          <w:color w:val="auto"/>
          <w:lang w:val="zh-CN"/>
        </w:rPr>
        <w:t>.6未加密的电子投标文件仅仅作为网上提交的加密的电子投标文件在特殊情况下才启用的备份资料。没有提交网上加密电子投标文件，仅提交未加密电子投标文件的，投标无效。</w:t>
      </w:r>
    </w:p>
    <w:p>
      <w:pPr>
        <w:spacing w:line="360" w:lineRule="auto"/>
        <w:ind w:firstLine="643" w:firstLineChars="200"/>
        <w:rPr>
          <w:rFonts w:hint="eastAsia" w:ascii="宋体" w:hAnsi="Calibri" w:eastAsia="宋体" w:cs="宋体"/>
          <w:b/>
          <w:bCs/>
          <w:color w:val="auto"/>
          <w:kern w:val="2"/>
          <w:sz w:val="32"/>
          <w:szCs w:val="32"/>
          <w:lang w:val="en-US" w:eastAsia="zh-CN" w:bidi="ar-SA"/>
        </w:rPr>
      </w:pPr>
      <w:r>
        <w:rPr>
          <w:rFonts w:hint="eastAsia" w:ascii="宋体" w:hAnsi="Calibri" w:eastAsia="宋体" w:cs="宋体"/>
          <w:b/>
          <w:bCs/>
          <w:color w:val="auto"/>
          <w:kern w:val="2"/>
          <w:sz w:val="32"/>
          <w:szCs w:val="32"/>
          <w:lang w:val="en-US" w:eastAsia="zh-CN" w:bidi="ar-SA"/>
        </w:rPr>
        <w:t>5.2 开标程序</w:t>
      </w:r>
      <w:bookmarkEnd w:id="269"/>
      <w:bookmarkEnd w:id="270"/>
      <w:bookmarkEnd w:id="271"/>
      <w:bookmarkEnd w:id="272"/>
      <w:bookmarkEnd w:id="273"/>
      <w:bookmarkEnd w:id="274"/>
      <w:bookmarkEnd w:id="275"/>
      <w:bookmarkEnd w:id="276"/>
    </w:p>
    <w:p>
      <w:pPr>
        <w:spacing w:line="360" w:lineRule="auto"/>
        <w:ind w:firstLine="420" w:firstLineChars="200"/>
        <w:rPr>
          <w:rFonts w:ascii="宋体" w:cs="宋体"/>
          <w:color w:val="auto"/>
        </w:rPr>
      </w:pPr>
      <w:r>
        <w:rPr>
          <w:rFonts w:hint="eastAsia" w:ascii="宋体" w:cs="宋体"/>
          <w:color w:val="auto"/>
        </w:rPr>
        <w:t>主持人按下列程序进行开标：</w:t>
      </w:r>
    </w:p>
    <w:p>
      <w:pPr>
        <w:spacing w:line="360" w:lineRule="auto"/>
        <w:ind w:firstLine="359" w:firstLineChars="171"/>
        <w:rPr>
          <w:rFonts w:ascii="宋体" w:cs="宋体"/>
          <w:color w:val="auto"/>
        </w:rPr>
      </w:pPr>
      <w:r>
        <w:rPr>
          <w:rFonts w:hint="eastAsia" w:ascii="宋体" w:cs="宋体"/>
          <w:color w:val="auto"/>
        </w:rPr>
        <w:t>（1）宣布开标纪律；</w:t>
      </w:r>
    </w:p>
    <w:p>
      <w:pPr>
        <w:spacing w:line="360" w:lineRule="auto"/>
        <w:ind w:firstLine="359" w:firstLineChars="171"/>
        <w:rPr>
          <w:rFonts w:ascii="宋体" w:cs="宋体"/>
          <w:color w:val="auto"/>
        </w:rPr>
      </w:pPr>
      <w:r>
        <w:rPr>
          <w:rFonts w:hint="eastAsia" w:ascii="宋体" w:cs="宋体"/>
          <w:color w:val="auto"/>
        </w:rPr>
        <w:t>（2）公布在投标截止时间前递交投标文件的投标人名称；</w:t>
      </w:r>
    </w:p>
    <w:p>
      <w:pPr>
        <w:spacing w:line="360" w:lineRule="auto"/>
        <w:ind w:firstLine="359" w:firstLineChars="171"/>
        <w:rPr>
          <w:rFonts w:ascii="宋体" w:cs="宋体"/>
          <w:color w:val="auto"/>
        </w:rPr>
      </w:pPr>
      <w:r>
        <w:rPr>
          <w:rFonts w:hint="eastAsia" w:ascii="宋体" w:cs="宋体"/>
          <w:color w:val="auto"/>
        </w:rPr>
        <w:t>（3）宣布开标人、唱标人、记录人、监标人等有关人员姓名；</w:t>
      </w:r>
    </w:p>
    <w:p>
      <w:pPr>
        <w:spacing w:line="360" w:lineRule="auto"/>
        <w:ind w:firstLine="359" w:firstLineChars="171"/>
        <w:rPr>
          <w:rFonts w:ascii="宋体" w:cs="宋体"/>
          <w:color w:val="auto"/>
        </w:rPr>
      </w:pPr>
      <w:r>
        <w:rPr>
          <w:rFonts w:hint="eastAsia" w:ascii="宋体" w:cs="宋体"/>
          <w:color w:val="auto"/>
        </w:rPr>
        <w:t>（4）进行投标文件解密；</w:t>
      </w:r>
    </w:p>
    <w:p>
      <w:pPr>
        <w:spacing w:line="360" w:lineRule="auto"/>
        <w:ind w:firstLine="359" w:firstLineChars="171"/>
        <w:rPr>
          <w:rFonts w:ascii="宋体" w:cs="宋体"/>
          <w:color w:val="auto"/>
        </w:rPr>
      </w:pPr>
      <w:r>
        <w:rPr>
          <w:rFonts w:hint="eastAsia" w:ascii="宋体" w:cs="宋体"/>
          <w:color w:val="auto"/>
        </w:rPr>
        <w:t>（5）电声唱标；</w:t>
      </w:r>
    </w:p>
    <w:p>
      <w:pPr>
        <w:spacing w:line="360" w:lineRule="auto"/>
        <w:ind w:firstLine="359" w:firstLineChars="171"/>
        <w:rPr>
          <w:rFonts w:ascii="宋体" w:cs="宋体"/>
          <w:color w:val="auto"/>
        </w:rPr>
      </w:pPr>
      <w:r>
        <w:rPr>
          <w:rFonts w:hint="eastAsia" w:ascii="宋体" w:cs="宋体"/>
          <w:color w:val="auto"/>
        </w:rPr>
        <w:t>（6）开标结束。</w:t>
      </w:r>
    </w:p>
    <w:p>
      <w:pPr>
        <w:pStyle w:val="7"/>
        <w:spacing w:before="0" w:after="0" w:line="360" w:lineRule="auto"/>
        <w:rPr>
          <w:rFonts w:ascii="宋体" w:cs="宋体"/>
          <w:color w:val="auto"/>
        </w:rPr>
      </w:pPr>
      <w:bookmarkStart w:id="277" w:name="_Toc21237"/>
      <w:r>
        <w:rPr>
          <w:rFonts w:hint="eastAsia" w:ascii="宋体" w:cs="宋体"/>
          <w:color w:val="auto"/>
        </w:rPr>
        <w:t>5.3 开标异议</w:t>
      </w:r>
      <w:bookmarkEnd w:id="277"/>
    </w:p>
    <w:p>
      <w:pPr>
        <w:spacing w:line="360" w:lineRule="auto"/>
        <w:ind w:firstLine="359" w:firstLineChars="171"/>
        <w:rPr>
          <w:rFonts w:ascii="宋体" w:cs="宋体"/>
          <w:color w:val="auto"/>
        </w:rPr>
      </w:pPr>
      <w:r>
        <w:rPr>
          <w:rFonts w:hint="eastAsia" w:ascii="宋体" w:cs="宋体"/>
          <w:color w:val="auto"/>
        </w:rPr>
        <w:t>投标人对开标有异议的，应当在开标现场提出，招标人当场作出答复，并制作记录。</w:t>
      </w:r>
    </w:p>
    <w:p>
      <w:pPr>
        <w:pStyle w:val="6"/>
        <w:spacing w:before="0" w:after="0" w:line="360" w:lineRule="auto"/>
        <w:rPr>
          <w:rFonts w:ascii="宋体" w:cs="宋体"/>
          <w:color w:val="auto"/>
        </w:rPr>
      </w:pPr>
      <w:bookmarkStart w:id="278" w:name="_Toc246996949"/>
      <w:bookmarkStart w:id="279" w:name="_Toc179632580"/>
      <w:bookmarkStart w:id="280" w:name="_Toc246996206"/>
      <w:bookmarkStart w:id="281" w:name="_Toc144974530"/>
      <w:bookmarkStart w:id="282" w:name="_Toc152045562"/>
      <w:bookmarkStart w:id="283" w:name="_Toc152042338"/>
      <w:bookmarkStart w:id="284" w:name="_Toc247085720"/>
      <w:bookmarkStart w:id="285" w:name="_Toc19360"/>
      <w:r>
        <w:rPr>
          <w:rFonts w:hint="eastAsia" w:ascii="宋体" w:cs="宋体"/>
          <w:color w:val="auto"/>
        </w:rPr>
        <w:t>6. 评标</w:t>
      </w:r>
      <w:bookmarkEnd w:id="278"/>
      <w:bookmarkEnd w:id="279"/>
      <w:bookmarkEnd w:id="280"/>
      <w:bookmarkEnd w:id="281"/>
      <w:bookmarkEnd w:id="282"/>
      <w:bookmarkEnd w:id="283"/>
      <w:bookmarkEnd w:id="284"/>
      <w:bookmarkEnd w:id="285"/>
    </w:p>
    <w:p>
      <w:pPr>
        <w:pStyle w:val="7"/>
        <w:spacing w:before="0" w:after="0" w:line="360" w:lineRule="auto"/>
        <w:rPr>
          <w:rFonts w:ascii="宋体" w:cs="宋体"/>
          <w:color w:val="auto"/>
        </w:rPr>
      </w:pPr>
      <w:bookmarkStart w:id="286" w:name="_Toc246996207"/>
      <w:bookmarkStart w:id="287" w:name="_Toc246996950"/>
      <w:bookmarkStart w:id="288" w:name="_Toc247085721"/>
      <w:bookmarkStart w:id="289" w:name="_Toc179632581"/>
      <w:bookmarkStart w:id="290" w:name="_Toc152042339"/>
      <w:bookmarkStart w:id="291" w:name="_Toc144974531"/>
      <w:bookmarkStart w:id="292" w:name="_Toc10128"/>
      <w:bookmarkStart w:id="293" w:name="_Toc152045563"/>
      <w:r>
        <w:rPr>
          <w:rFonts w:hint="eastAsia" w:ascii="宋体" w:cs="宋体"/>
          <w:color w:val="auto"/>
        </w:rPr>
        <w:t>6.1 评标委员会</w:t>
      </w:r>
      <w:bookmarkEnd w:id="286"/>
      <w:bookmarkEnd w:id="287"/>
      <w:bookmarkEnd w:id="288"/>
      <w:bookmarkEnd w:id="289"/>
      <w:bookmarkEnd w:id="290"/>
      <w:bookmarkEnd w:id="291"/>
      <w:bookmarkEnd w:id="292"/>
      <w:bookmarkEnd w:id="293"/>
    </w:p>
    <w:p>
      <w:pPr>
        <w:spacing w:line="360" w:lineRule="auto"/>
        <w:ind w:firstLine="420" w:firstLineChars="200"/>
        <w:rPr>
          <w:rFonts w:ascii="宋体" w:cs="宋体"/>
          <w:color w:val="auto"/>
        </w:rPr>
      </w:pPr>
      <w:r>
        <w:rPr>
          <w:rFonts w:hint="eastAsia" w:ascii="宋体" w:cs="宋体"/>
          <w:color w:val="auto"/>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spacing w:line="360" w:lineRule="auto"/>
        <w:ind w:firstLine="420" w:firstLineChars="200"/>
        <w:rPr>
          <w:rFonts w:ascii="宋体" w:cs="宋体"/>
          <w:color w:val="auto"/>
        </w:rPr>
      </w:pPr>
      <w:r>
        <w:rPr>
          <w:rFonts w:hint="eastAsia" w:ascii="宋体" w:cs="宋体"/>
          <w:color w:val="auto"/>
        </w:rPr>
        <w:t>6.1.2 评标委员会成员有下列情形之一的，应当回避：</w:t>
      </w:r>
    </w:p>
    <w:p>
      <w:pPr>
        <w:spacing w:line="360" w:lineRule="auto"/>
        <w:ind w:firstLine="359" w:firstLineChars="171"/>
        <w:rPr>
          <w:rFonts w:ascii="宋体" w:cs="宋体"/>
          <w:color w:val="auto"/>
        </w:rPr>
      </w:pPr>
      <w:r>
        <w:rPr>
          <w:rFonts w:hint="eastAsia" w:ascii="宋体" w:cs="宋体"/>
          <w:color w:val="auto"/>
        </w:rPr>
        <w:t>（1）投标人或投标人主要负责人的近亲属；</w:t>
      </w:r>
    </w:p>
    <w:p>
      <w:pPr>
        <w:spacing w:line="360" w:lineRule="auto"/>
        <w:ind w:firstLine="359" w:firstLineChars="171"/>
        <w:rPr>
          <w:rFonts w:ascii="宋体" w:cs="宋体"/>
          <w:color w:val="auto"/>
        </w:rPr>
      </w:pPr>
      <w:r>
        <w:rPr>
          <w:rFonts w:hint="eastAsia" w:ascii="宋体" w:cs="宋体"/>
          <w:color w:val="auto"/>
        </w:rPr>
        <w:t>（2）项目主管部门或者行政监督部门的人员；</w:t>
      </w:r>
    </w:p>
    <w:p>
      <w:pPr>
        <w:spacing w:line="360" w:lineRule="auto"/>
        <w:ind w:firstLine="359" w:firstLineChars="171"/>
        <w:rPr>
          <w:rFonts w:ascii="宋体" w:cs="宋体"/>
          <w:color w:val="auto"/>
        </w:rPr>
      </w:pPr>
      <w:r>
        <w:rPr>
          <w:rFonts w:hint="eastAsia" w:ascii="宋体" w:cs="宋体"/>
          <w:color w:val="auto"/>
        </w:rPr>
        <w:t>（3）与投标人有经济利益关系；</w:t>
      </w:r>
    </w:p>
    <w:p>
      <w:pPr>
        <w:spacing w:line="360" w:lineRule="auto"/>
        <w:ind w:firstLine="359" w:firstLineChars="171"/>
        <w:rPr>
          <w:rFonts w:ascii="宋体" w:cs="宋体"/>
          <w:color w:val="auto"/>
        </w:rPr>
      </w:pPr>
      <w:r>
        <w:rPr>
          <w:rFonts w:hint="eastAsia" w:ascii="宋体" w:cs="宋体"/>
          <w:color w:val="auto"/>
        </w:rPr>
        <w:t>（4）曾因在招标、评标以及其他与招标投标有关活动中从事违法行为而受过行政处罚或刑事处罚的；</w:t>
      </w:r>
    </w:p>
    <w:p>
      <w:pPr>
        <w:spacing w:line="360" w:lineRule="auto"/>
        <w:ind w:firstLine="359" w:firstLineChars="171"/>
        <w:rPr>
          <w:rFonts w:ascii="宋体" w:cs="宋体"/>
          <w:color w:val="auto"/>
        </w:rPr>
      </w:pPr>
      <w:r>
        <w:rPr>
          <w:rFonts w:hint="eastAsia" w:ascii="宋体" w:cs="宋体"/>
          <w:color w:val="auto"/>
        </w:rPr>
        <w:t>（5）与投标人有其他利害关系。</w:t>
      </w:r>
    </w:p>
    <w:p>
      <w:pPr>
        <w:pStyle w:val="7"/>
        <w:spacing w:before="0" w:after="0" w:line="360" w:lineRule="auto"/>
        <w:rPr>
          <w:rFonts w:ascii="宋体" w:cs="宋体"/>
          <w:color w:val="auto"/>
        </w:rPr>
      </w:pPr>
      <w:bookmarkStart w:id="294" w:name="_Toc179632582"/>
      <w:bookmarkStart w:id="295" w:name="_Toc247085722"/>
      <w:bookmarkStart w:id="296" w:name="_Toc144974532"/>
      <w:bookmarkStart w:id="297" w:name="_Toc246996951"/>
      <w:bookmarkStart w:id="298" w:name="_Toc246996208"/>
      <w:bookmarkStart w:id="299" w:name="_Toc152045564"/>
      <w:bookmarkStart w:id="300" w:name="_Toc18585"/>
      <w:bookmarkStart w:id="301" w:name="_Toc152042340"/>
      <w:r>
        <w:rPr>
          <w:rFonts w:hint="eastAsia" w:ascii="宋体" w:cs="宋体"/>
          <w:color w:val="auto"/>
        </w:rPr>
        <w:t>6.2 评标原则</w:t>
      </w:r>
      <w:bookmarkEnd w:id="294"/>
      <w:bookmarkEnd w:id="295"/>
      <w:bookmarkEnd w:id="296"/>
      <w:bookmarkEnd w:id="297"/>
      <w:bookmarkEnd w:id="298"/>
      <w:bookmarkEnd w:id="299"/>
      <w:bookmarkEnd w:id="300"/>
      <w:bookmarkEnd w:id="301"/>
    </w:p>
    <w:p>
      <w:pPr>
        <w:spacing w:line="360" w:lineRule="auto"/>
        <w:ind w:firstLine="420" w:firstLineChars="200"/>
        <w:rPr>
          <w:rFonts w:ascii="宋体" w:cs="宋体"/>
          <w:color w:val="auto"/>
        </w:rPr>
      </w:pPr>
      <w:r>
        <w:rPr>
          <w:rFonts w:hint="eastAsia" w:ascii="宋体" w:cs="宋体"/>
          <w:color w:val="auto"/>
        </w:rPr>
        <w:t>评标活动遵循公平、公正、科学和择优的原则。</w:t>
      </w:r>
    </w:p>
    <w:p>
      <w:pPr>
        <w:pStyle w:val="7"/>
        <w:spacing w:before="0" w:after="0" w:line="360" w:lineRule="auto"/>
        <w:rPr>
          <w:rFonts w:ascii="宋体" w:cs="宋体"/>
          <w:color w:val="auto"/>
        </w:rPr>
      </w:pPr>
      <w:bookmarkStart w:id="302" w:name="_Toc152042341"/>
      <w:bookmarkStart w:id="303" w:name="_Toc144974533"/>
      <w:bookmarkStart w:id="304" w:name="_Toc179632583"/>
      <w:bookmarkStart w:id="305" w:name="_Toc246996952"/>
      <w:bookmarkStart w:id="306" w:name="_Toc247085723"/>
      <w:bookmarkStart w:id="307" w:name="_Toc29409"/>
      <w:bookmarkStart w:id="308" w:name="_Toc246996209"/>
      <w:bookmarkStart w:id="309" w:name="_Toc152045565"/>
      <w:r>
        <w:rPr>
          <w:rFonts w:hint="eastAsia" w:ascii="宋体" w:cs="宋体"/>
          <w:color w:val="auto"/>
        </w:rPr>
        <w:t>6.3 评标</w:t>
      </w:r>
      <w:bookmarkEnd w:id="302"/>
      <w:bookmarkEnd w:id="303"/>
      <w:bookmarkEnd w:id="304"/>
      <w:bookmarkEnd w:id="305"/>
      <w:bookmarkEnd w:id="306"/>
      <w:bookmarkEnd w:id="307"/>
      <w:bookmarkEnd w:id="308"/>
      <w:bookmarkEnd w:id="309"/>
    </w:p>
    <w:p>
      <w:pPr>
        <w:spacing w:line="360" w:lineRule="auto"/>
        <w:ind w:firstLine="420" w:firstLineChars="200"/>
        <w:rPr>
          <w:rFonts w:ascii="宋体" w:cs="宋体"/>
          <w:color w:val="auto"/>
        </w:rPr>
      </w:pPr>
      <w:r>
        <w:rPr>
          <w:rFonts w:hint="eastAsia" w:ascii="宋体" w:cs="宋体"/>
          <w:color w:val="auto"/>
        </w:rPr>
        <w:t>评标委员会按照第三章“评标办法”规定的方法、评审因素、标准和程序对投标文件进行评审。第三章“评标办法”没有规定的方法、评审因素和标准，不作为评标依据。</w:t>
      </w:r>
    </w:p>
    <w:p>
      <w:pPr>
        <w:pStyle w:val="6"/>
        <w:spacing w:before="0" w:after="0" w:line="360" w:lineRule="auto"/>
        <w:rPr>
          <w:rFonts w:ascii="宋体" w:cs="宋体"/>
          <w:color w:val="auto"/>
        </w:rPr>
      </w:pPr>
      <w:bookmarkStart w:id="310" w:name="_Toc2069"/>
      <w:bookmarkStart w:id="311" w:name="_Toc152042342"/>
      <w:bookmarkStart w:id="312" w:name="_Toc247085724"/>
      <w:bookmarkStart w:id="313" w:name="_Toc246996953"/>
      <w:bookmarkStart w:id="314" w:name="_Toc246996210"/>
      <w:bookmarkStart w:id="315" w:name="_Toc144974534"/>
      <w:bookmarkStart w:id="316" w:name="_Toc152045566"/>
      <w:bookmarkStart w:id="317" w:name="_Toc179632584"/>
      <w:r>
        <w:rPr>
          <w:rFonts w:hint="eastAsia" w:ascii="宋体" w:cs="宋体"/>
          <w:color w:val="auto"/>
        </w:rPr>
        <w:t>7. 合同授予</w:t>
      </w:r>
      <w:bookmarkEnd w:id="310"/>
      <w:bookmarkEnd w:id="311"/>
      <w:bookmarkEnd w:id="312"/>
      <w:bookmarkEnd w:id="313"/>
      <w:bookmarkEnd w:id="314"/>
      <w:bookmarkEnd w:id="315"/>
      <w:bookmarkEnd w:id="316"/>
      <w:bookmarkEnd w:id="317"/>
    </w:p>
    <w:p>
      <w:pPr>
        <w:pStyle w:val="7"/>
        <w:spacing w:before="0" w:after="0" w:line="360" w:lineRule="auto"/>
        <w:rPr>
          <w:rFonts w:ascii="宋体" w:cs="宋体"/>
          <w:color w:val="auto"/>
        </w:rPr>
      </w:pPr>
      <w:bookmarkStart w:id="318" w:name="_Toc246996954"/>
      <w:bookmarkStart w:id="319" w:name="_Toc6084"/>
      <w:bookmarkStart w:id="320" w:name="_Toc152045567"/>
      <w:bookmarkStart w:id="321" w:name="_Toc152042343"/>
      <w:bookmarkStart w:id="322" w:name="_Toc246996211"/>
      <w:bookmarkStart w:id="323" w:name="_Toc144974535"/>
      <w:bookmarkStart w:id="324" w:name="_Toc247085725"/>
      <w:bookmarkStart w:id="325" w:name="_Toc179632585"/>
      <w:r>
        <w:rPr>
          <w:rFonts w:hint="eastAsia" w:ascii="宋体" w:cs="宋体"/>
          <w:color w:val="auto"/>
        </w:rPr>
        <w:t>7.1 定标方式</w:t>
      </w:r>
      <w:bookmarkEnd w:id="318"/>
      <w:bookmarkEnd w:id="319"/>
      <w:bookmarkEnd w:id="320"/>
      <w:bookmarkEnd w:id="321"/>
      <w:bookmarkEnd w:id="322"/>
      <w:bookmarkEnd w:id="323"/>
      <w:bookmarkEnd w:id="324"/>
      <w:bookmarkEnd w:id="325"/>
    </w:p>
    <w:p>
      <w:pPr>
        <w:spacing w:line="360" w:lineRule="auto"/>
        <w:ind w:firstLine="420" w:firstLineChars="200"/>
        <w:rPr>
          <w:rFonts w:ascii="宋体" w:cs="宋体"/>
          <w:color w:val="auto"/>
        </w:rPr>
      </w:pPr>
      <w:r>
        <w:rPr>
          <w:rFonts w:hint="eastAsia" w:ascii="宋体" w:cs="宋体"/>
          <w:color w:val="auto"/>
        </w:rPr>
        <w:t>除投标人须知前附表规定评标委员会直接确定中标人外，招标人依据评标委员会推荐的中标候选人确定中标人，评标委员会推荐中标候选人的人数见投标人须知前附表。</w:t>
      </w:r>
    </w:p>
    <w:p>
      <w:pPr>
        <w:pStyle w:val="7"/>
        <w:spacing w:before="0" w:after="0" w:line="360" w:lineRule="auto"/>
        <w:rPr>
          <w:rFonts w:ascii="宋体" w:cs="宋体"/>
          <w:color w:val="auto"/>
        </w:rPr>
      </w:pPr>
      <w:bookmarkStart w:id="326" w:name="_Toc6275"/>
      <w:r>
        <w:rPr>
          <w:rFonts w:hint="eastAsia" w:ascii="宋体" w:cs="宋体"/>
          <w:color w:val="auto"/>
        </w:rPr>
        <w:t>7.2 中标候选人公示</w:t>
      </w:r>
      <w:bookmarkEnd w:id="326"/>
    </w:p>
    <w:p>
      <w:pPr>
        <w:spacing w:line="360" w:lineRule="auto"/>
        <w:ind w:firstLine="420" w:firstLineChars="200"/>
        <w:rPr>
          <w:rFonts w:ascii="宋体" w:cs="宋体"/>
          <w:color w:val="auto"/>
        </w:rPr>
      </w:pPr>
      <w:r>
        <w:rPr>
          <w:rFonts w:hint="eastAsia" w:ascii="宋体" w:cs="宋体"/>
          <w:color w:val="auto"/>
        </w:rPr>
        <w:t>招标人在投标人须知前附表规定的媒介公示中标候选人。</w:t>
      </w:r>
    </w:p>
    <w:p>
      <w:pPr>
        <w:pStyle w:val="7"/>
        <w:spacing w:before="0" w:after="0" w:line="360" w:lineRule="auto"/>
        <w:rPr>
          <w:rFonts w:ascii="宋体" w:cs="宋体"/>
          <w:color w:val="auto"/>
        </w:rPr>
      </w:pPr>
      <w:bookmarkStart w:id="327" w:name="_Toc246996955"/>
      <w:bookmarkStart w:id="328" w:name="_Toc144974536"/>
      <w:bookmarkStart w:id="329" w:name="_Toc28110"/>
      <w:bookmarkStart w:id="330" w:name="_Toc246996212"/>
      <w:bookmarkStart w:id="331" w:name="_Toc152042344"/>
      <w:bookmarkStart w:id="332" w:name="_Toc247085726"/>
      <w:bookmarkStart w:id="333" w:name="_Toc179632586"/>
      <w:bookmarkStart w:id="334" w:name="_Toc152045568"/>
      <w:r>
        <w:rPr>
          <w:rFonts w:hint="eastAsia" w:ascii="宋体" w:cs="宋体"/>
          <w:color w:val="auto"/>
        </w:rPr>
        <w:t>7.3 中标通知</w:t>
      </w:r>
      <w:bookmarkEnd w:id="327"/>
      <w:bookmarkEnd w:id="328"/>
      <w:bookmarkEnd w:id="329"/>
      <w:bookmarkEnd w:id="330"/>
      <w:bookmarkEnd w:id="331"/>
      <w:bookmarkEnd w:id="332"/>
      <w:bookmarkEnd w:id="333"/>
      <w:bookmarkEnd w:id="334"/>
    </w:p>
    <w:p>
      <w:pPr>
        <w:spacing w:line="360" w:lineRule="auto"/>
        <w:ind w:firstLine="420" w:firstLineChars="200"/>
        <w:rPr>
          <w:rFonts w:ascii="宋体" w:cs="宋体"/>
          <w:color w:val="auto"/>
        </w:rPr>
      </w:pPr>
      <w:r>
        <w:rPr>
          <w:rFonts w:hint="eastAsia" w:ascii="宋体" w:cs="宋体"/>
          <w:color w:val="auto"/>
        </w:rPr>
        <w:t>在本章第3.3款规定的投标有效期内，招标人以书面形式向中标人发出中标通知书，同时将中标结果通知未中标的投标人。</w:t>
      </w:r>
    </w:p>
    <w:p>
      <w:pPr>
        <w:pStyle w:val="7"/>
        <w:spacing w:before="0" w:after="0" w:line="360" w:lineRule="auto"/>
        <w:rPr>
          <w:rFonts w:ascii="宋体" w:cs="宋体"/>
          <w:color w:val="auto"/>
        </w:rPr>
      </w:pPr>
      <w:bookmarkStart w:id="335" w:name="_Toc152045569"/>
      <w:bookmarkStart w:id="336" w:name="_Toc152042345"/>
      <w:bookmarkStart w:id="337" w:name="_Toc246996213"/>
      <w:bookmarkStart w:id="338" w:name="_Toc179632587"/>
      <w:bookmarkStart w:id="339" w:name="_Toc246996956"/>
      <w:bookmarkStart w:id="340" w:name="_Toc29314"/>
      <w:bookmarkStart w:id="341" w:name="_Toc144974537"/>
      <w:bookmarkStart w:id="342" w:name="_Toc247085727"/>
      <w:r>
        <w:rPr>
          <w:rFonts w:hint="eastAsia" w:ascii="宋体" w:cs="宋体"/>
          <w:color w:val="auto"/>
        </w:rPr>
        <w:t>7.4 履约担保</w:t>
      </w:r>
      <w:bookmarkEnd w:id="335"/>
      <w:bookmarkEnd w:id="336"/>
      <w:bookmarkEnd w:id="337"/>
      <w:bookmarkEnd w:id="338"/>
      <w:bookmarkEnd w:id="339"/>
      <w:bookmarkEnd w:id="340"/>
      <w:bookmarkEnd w:id="341"/>
      <w:bookmarkEnd w:id="342"/>
    </w:p>
    <w:p>
      <w:pPr>
        <w:spacing w:line="360" w:lineRule="auto"/>
        <w:ind w:firstLine="420" w:firstLineChars="200"/>
        <w:rPr>
          <w:rFonts w:ascii="宋体" w:cs="宋体"/>
          <w:color w:val="auto"/>
        </w:rPr>
      </w:pPr>
      <w:r>
        <w:rPr>
          <w:rFonts w:hint="eastAsia" w:ascii="宋体" w:cs="宋体"/>
          <w:color w:val="auto"/>
        </w:rPr>
        <w:t>7.4.1在签订合同前，中标人应按投标人须知前附表规定的担保形式和招标文件第四章“合同条款及格式”规定的或者事先经过招标人书面认可的履约担保格式向招标人提交履约担保。</w:t>
      </w:r>
    </w:p>
    <w:p>
      <w:pPr>
        <w:spacing w:line="360" w:lineRule="auto"/>
        <w:ind w:firstLine="420" w:firstLineChars="200"/>
        <w:rPr>
          <w:rFonts w:ascii="宋体" w:cs="宋体"/>
          <w:color w:val="auto"/>
        </w:rPr>
      </w:pPr>
      <w:r>
        <w:rPr>
          <w:rFonts w:hint="eastAsia" w:ascii="宋体" w:cs="宋体"/>
          <w:color w:val="auto"/>
        </w:rPr>
        <w:t>7.4.2 中标人不能按本章第7.4.1项要求提交履约担保的，视为放弃中标，其投标保证金不予退还，给招标人造成的损失超过投标保证金数额的，中标人还应当对超过部分予以赔偿。</w:t>
      </w:r>
    </w:p>
    <w:p>
      <w:pPr>
        <w:pStyle w:val="7"/>
        <w:spacing w:before="0" w:after="0" w:line="360" w:lineRule="auto"/>
        <w:rPr>
          <w:rFonts w:ascii="宋体" w:cs="宋体"/>
          <w:color w:val="auto"/>
        </w:rPr>
      </w:pPr>
      <w:bookmarkStart w:id="343" w:name="_Toc179632588"/>
      <w:bookmarkStart w:id="344" w:name="_Toc29976"/>
      <w:bookmarkStart w:id="345" w:name="_Toc247085728"/>
      <w:bookmarkStart w:id="346" w:name="_Toc144974538"/>
      <w:bookmarkStart w:id="347" w:name="_Toc152045570"/>
      <w:bookmarkStart w:id="348" w:name="_Toc152042346"/>
      <w:bookmarkStart w:id="349" w:name="_Toc246996214"/>
      <w:bookmarkStart w:id="350" w:name="_Toc246996957"/>
      <w:r>
        <w:rPr>
          <w:rFonts w:hint="eastAsia" w:ascii="宋体" w:cs="宋体"/>
          <w:color w:val="auto"/>
        </w:rPr>
        <w:t>7.5 签订合同</w:t>
      </w:r>
      <w:bookmarkEnd w:id="343"/>
      <w:bookmarkEnd w:id="344"/>
      <w:bookmarkEnd w:id="345"/>
      <w:bookmarkEnd w:id="346"/>
      <w:bookmarkEnd w:id="347"/>
      <w:bookmarkEnd w:id="348"/>
      <w:bookmarkEnd w:id="349"/>
      <w:bookmarkEnd w:id="350"/>
    </w:p>
    <w:p>
      <w:pPr>
        <w:spacing w:line="360" w:lineRule="auto"/>
        <w:ind w:firstLine="420" w:firstLineChars="200"/>
        <w:rPr>
          <w:rFonts w:ascii="宋体" w:cs="宋体"/>
          <w:color w:val="auto"/>
        </w:rPr>
      </w:pPr>
      <w:r>
        <w:rPr>
          <w:rFonts w:hint="eastAsia" w:ascii="宋体" w:cs="宋体"/>
          <w:color w:val="auto"/>
        </w:rPr>
        <w:t>7.5.1招标人和中标人应当自中标通知书发出之日起</w:t>
      </w:r>
      <w:r>
        <w:rPr>
          <w:rFonts w:hint="eastAsia" w:ascii="宋体" w:cs="宋体"/>
          <w:color w:val="auto"/>
          <w:lang w:val="en-US" w:eastAsia="zh-CN"/>
        </w:rPr>
        <w:t>15</w:t>
      </w:r>
      <w:r>
        <w:rPr>
          <w:rFonts w:hint="eastAsia" w:ascii="宋体" w:cs="宋体"/>
          <w:color w:val="auto"/>
        </w:rPr>
        <w:t>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spacing w:line="360" w:lineRule="auto"/>
        <w:ind w:firstLine="420" w:firstLineChars="200"/>
        <w:rPr>
          <w:rFonts w:ascii="宋体" w:cs="宋体"/>
          <w:color w:val="auto"/>
        </w:rPr>
      </w:pPr>
      <w:r>
        <w:rPr>
          <w:rFonts w:hint="eastAsia" w:ascii="宋体" w:cs="宋体"/>
          <w:color w:val="auto"/>
        </w:rPr>
        <w:t>7.5.2 发出中标通知书后，招标人无正当理由拒签合同的，招标人向中标人退还投标保证金；给中标人造成损失的，还应当赔偿损失。</w:t>
      </w:r>
    </w:p>
    <w:p>
      <w:pPr>
        <w:pStyle w:val="6"/>
        <w:spacing w:before="0" w:after="0" w:line="360" w:lineRule="auto"/>
        <w:rPr>
          <w:rFonts w:ascii="宋体" w:cs="宋体"/>
          <w:color w:val="auto"/>
        </w:rPr>
      </w:pPr>
      <w:bookmarkStart w:id="351" w:name="_Toc8178"/>
      <w:r>
        <w:rPr>
          <w:rFonts w:hint="eastAsia" w:ascii="宋体" w:cs="宋体"/>
          <w:color w:val="auto"/>
        </w:rPr>
        <w:t>8. 纪律和监督</w:t>
      </w:r>
      <w:bookmarkEnd w:id="351"/>
    </w:p>
    <w:p>
      <w:pPr>
        <w:pStyle w:val="7"/>
        <w:spacing w:before="0" w:after="0" w:line="360" w:lineRule="auto"/>
        <w:rPr>
          <w:rFonts w:ascii="宋体" w:cs="宋体"/>
          <w:color w:val="auto"/>
        </w:rPr>
      </w:pPr>
      <w:bookmarkStart w:id="352" w:name="_Toc296590983"/>
      <w:bookmarkStart w:id="353" w:name="_Toc247085733"/>
      <w:bookmarkStart w:id="354" w:name="_Toc152042351"/>
      <w:bookmarkStart w:id="355" w:name="_Toc246996962"/>
      <w:bookmarkStart w:id="356" w:name="_Toc152045575"/>
      <w:bookmarkStart w:id="357" w:name="_Toc6530"/>
      <w:bookmarkStart w:id="358" w:name="_Toc246996219"/>
      <w:bookmarkStart w:id="359" w:name="_Toc144974543"/>
      <w:bookmarkStart w:id="360" w:name="_Toc179632593"/>
      <w:r>
        <w:rPr>
          <w:rFonts w:hint="eastAsia" w:ascii="宋体" w:cs="宋体"/>
          <w:color w:val="auto"/>
        </w:rPr>
        <w:t>8.1 对招标人的纪律要求</w:t>
      </w:r>
      <w:bookmarkEnd w:id="352"/>
      <w:bookmarkEnd w:id="353"/>
      <w:bookmarkEnd w:id="354"/>
      <w:bookmarkEnd w:id="355"/>
      <w:bookmarkEnd w:id="356"/>
      <w:bookmarkEnd w:id="357"/>
      <w:bookmarkEnd w:id="358"/>
      <w:bookmarkEnd w:id="359"/>
      <w:bookmarkEnd w:id="360"/>
    </w:p>
    <w:p>
      <w:pPr>
        <w:spacing w:line="360" w:lineRule="auto"/>
        <w:ind w:firstLine="420" w:firstLineChars="200"/>
        <w:rPr>
          <w:rFonts w:ascii="宋体" w:cs="宋体"/>
          <w:color w:val="auto"/>
        </w:rPr>
      </w:pPr>
      <w:r>
        <w:rPr>
          <w:rFonts w:hint="eastAsia" w:ascii="宋体" w:cs="宋体"/>
          <w:color w:val="auto"/>
        </w:rPr>
        <w:t>招标人不得泄漏招标投标活动中应当保密的情况和资料，不得与投标人串通损害国家利益、社会公共利益或者他人合法权益。</w:t>
      </w:r>
    </w:p>
    <w:p>
      <w:pPr>
        <w:pStyle w:val="7"/>
        <w:spacing w:before="0" w:after="0" w:line="360" w:lineRule="auto"/>
        <w:rPr>
          <w:rFonts w:ascii="宋体" w:cs="宋体"/>
          <w:color w:val="auto"/>
        </w:rPr>
      </w:pPr>
      <w:bookmarkStart w:id="361" w:name="_Toc152042352"/>
      <w:bookmarkStart w:id="362" w:name="_Toc18602"/>
      <w:bookmarkStart w:id="363" w:name="_Toc247085734"/>
      <w:bookmarkStart w:id="364" w:name="_Toc152045576"/>
      <w:bookmarkStart w:id="365" w:name="_Toc246996963"/>
      <w:bookmarkStart w:id="366" w:name="_Toc246996220"/>
      <w:bookmarkStart w:id="367" w:name="_Toc144974544"/>
      <w:bookmarkStart w:id="368" w:name="_Toc179632594"/>
      <w:r>
        <w:rPr>
          <w:rFonts w:hint="eastAsia" w:ascii="宋体" w:cs="宋体"/>
          <w:color w:val="auto"/>
        </w:rPr>
        <w:t>8.2 对投标人的纪律要求</w:t>
      </w:r>
      <w:bookmarkEnd w:id="361"/>
      <w:bookmarkEnd w:id="362"/>
      <w:bookmarkEnd w:id="363"/>
      <w:bookmarkEnd w:id="364"/>
      <w:bookmarkEnd w:id="365"/>
      <w:bookmarkEnd w:id="366"/>
      <w:bookmarkEnd w:id="367"/>
      <w:bookmarkEnd w:id="368"/>
    </w:p>
    <w:p>
      <w:pPr>
        <w:spacing w:line="360" w:lineRule="auto"/>
        <w:ind w:firstLine="420" w:firstLineChars="200"/>
        <w:rPr>
          <w:rFonts w:ascii="宋体" w:cs="宋体"/>
          <w:color w:val="auto"/>
        </w:rPr>
      </w:pPr>
      <w:r>
        <w:rPr>
          <w:rFonts w:hint="eastAsia" w:ascii="宋体" w:cs="宋体"/>
          <w:color w:val="auto"/>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7"/>
        <w:spacing w:before="0" w:after="0" w:line="360" w:lineRule="auto"/>
        <w:rPr>
          <w:rFonts w:ascii="宋体" w:cs="宋体"/>
          <w:color w:val="auto"/>
        </w:rPr>
      </w:pPr>
      <w:bookmarkStart w:id="369" w:name="_Toc247085735"/>
      <w:bookmarkStart w:id="370" w:name="_Toc152042353"/>
      <w:bookmarkStart w:id="371" w:name="_Toc246996964"/>
      <w:bookmarkStart w:id="372" w:name="_Toc152045577"/>
      <w:bookmarkStart w:id="373" w:name="_Toc179632595"/>
      <w:bookmarkStart w:id="374" w:name="_Toc144974545"/>
      <w:bookmarkStart w:id="375" w:name="_Toc246996221"/>
      <w:bookmarkStart w:id="376" w:name="_Toc2326"/>
      <w:r>
        <w:rPr>
          <w:rFonts w:hint="eastAsia" w:ascii="宋体" w:cs="宋体"/>
          <w:color w:val="auto"/>
        </w:rPr>
        <w:t>8.3 对评标委员会成员的纪律要求</w:t>
      </w:r>
      <w:bookmarkEnd w:id="369"/>
      <w:bookmarkEnd w:id="370"/>
      <w:bookmarkEnd w:id="371"/>
      <w:bookmarkEnd w:id="372"/>
      <w:bookmarkEnd w:id="373"/>
      <w:bookmarkEnd w:id="374"/>
      <w:bookmarkEnd w:id="375"/>
      <w:bookmarkEnd w:id="376"/>
    </w:p>
    <w:p>
      <w:pPr>
        <w:spacing w:line="360" w:lineRule="auto"/>
        <w:ind w:firstLine="420" w:firstLineChars="200"/>
        <w:rPr>
          <w:rFonts w:ascii="宋体" w:cs="宋体"/>
          <w:color w:val="auto"/>
        </w:rPr>
      </w:pPr>
      <w:r>
        <w:rPr>
          <w:rFonts w:hint="eastAsia" w:ascii="宋体" w:cs="宋体"/>
          <w:color w:val="auto"/>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7"/>
        <w:spacing w:before="0" w:after="0" w:line="360" w:lineRule="auto"/>
        <w:rPr>
          <w:rFonts w:ascii="宋体" w:cs="宋体"/>
          <w:color w:val="auto"/>
        </w:rPr>
      </w:pPr>
      <w:bookmarkStart w:id="377" w:name="_Toc179632596"/>
      <w:bookmarkStart w:id="378" w:name="_Toc246996965"/>
      <w:bookmarkStart w:id="379" w:name="_Toc152045578"/>
      <w:bookmarkStart w:id="380" w:name="_Toc152042354"/>
      <w:bookmarkStart w:id="381" w:name="_Toc247085736"/>
      <w:bookmarkStart w:id="382" w:name="_Toc14810"/>
      <w:bookmarkStart w:id="383" w:name="_Toc246996222"/>
      <w:bookmarkStart w:id="384" w:name="_Toc144974546"/>
      <w:r>
        <w:rPr>
          <w:rFonts w:hint="eastAsia" w:ascii="宋体" w:cs="宋体"/>
          <w:color w:val="auto"/>
        </w:rPr>
        <w:t>8.4 对与评标活动有关的工作人员的纪律要求</w:t>
      </w:r>
      <w:bookmarkEnd w:id="377"/>
      <w:bookmarkEnd w:id="378"/>
      <w:bookmarkEnd w:id="379"/>
      <w:bookmarkEnd w:id="380"/>
      <w:bookmarkEnd w:id="381"/>
      <w:bookmarkEnd w:id="382"/>
      <w:bookmarkEnd w:id="383"/>
    </w:p>
    <w:p>
      <w:pPr>
        <w:spacing w:line="360" w:lineRule="auto"/>
        <w:ind w:firstLine="420" w:firstLineChars="200"/>
        <w:rPr>
          <w:rFonts w:ascii="宋体" w:cs="宋体"/>
          <w:color w:val="auto"/>
        </w:rPr>
      </w:pPr>
      <w:bookmarkStart w:id="385" w:name="_Toc152042355"/>
      <w:r>
        <w:rPr>
          <w:rFonts w:hint="eastAsia" w:ascii="宋体" w:cs="宋体"/>
          <w:color w:val="auto"/>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85"/>
    </w:p>
    <w:p>
      <w:pPr>
        <w:pStyle w:val="7"/>
        <w:spacing w:before="0" w:after="0" w:line="360" w:lineRule="auto"/>
        <w:rPr>
          <w:rFonts w:ascii="宋体" w:cs="宋体"/>
          <w:color w:val="auto"/>
        </w:rPr>
      </w:pPr>
      <w:bookmarkStart w:id="386" w:name="_Toc179632597"/>
      <w:bookmarkStart w:id="387" w:name="_Toc32362"/>
      <w:bookmarkStart w:id="388" w:name="_Toc246996223"/>
      <w:bookmarkStart w:id="389" w:name="_Toc247085737"/>
      <w:bookmarkStart w:id="390" w:name="_Toc152042356"/>
      <w:bookmarkStart w:id="391" w:name="_Toc246996966"/>
      <w:bookmarkStart w:id="392" w:name="_Toc152045579"/>
      <w:r>
        <w:rPr>
          <w:rFonts w:hint="eastAsia" w:ascii="宋体" w:cs="宋体"/>
          <w:color w:val="auto"/>
        </w:rPr>
        <w:t>8.5 投诉</w:t>
      </w:r>
      <w:bookmarkEnd w:id="384"/>
      <w:bookmarkEnd w:id="386"/>
      <w:bookmarkEnd w:id="387"/>
      <w:bookmarkEnd w:id="388"/>
      <w:bookmarkEnd w:id="389"/>
      <w:bookmarkEnd w:id="390"/>
      <w:bookmarkEnd w:id="391"/>
      <w:bookmarkEnd w:id="392"/>
    </w:p>
    <w:p>
      <w:pPr>
        <w:spacing w:line="360" w:lineRule="auto"/>
        <w:ind w:firstLine="420" w:firstLineChars="200"/>
        <w:rPr>
          <w:rFonts w:ascii="宋体" w:cs="宋体"/>
          <w:color w:val="auto"/>
        </w:rPr>
      </w:pPr>
      <w:r>
        <w:rPr>
          <w:rFonts w:hint="eastAsia" w:ascii="宋体" w:cs="宋体"/>
          <w:color w:val="auto"/>
        </w:rPr>
        <w:t>投标人和其他利害关系人认为本次招标活动违反法律、法规和规章规定的，有权向有关行政监督部门投诉。</w:t>
      </w:r>
    </w:p>
    <w:p>
      <w:pPr>
        <w:numPr>
          <w:ilvl w:val="0"/>
          <w:numId w:val="3"/>
        </w:numPr>
        <w:spacing w:line="360" w:lineRule="auto"/>
        <w:rPr>
          <w:rFonts w:ascii="宋体" w:cs="宋体"/>
          <w:b/>
          <w:bCs/>
          <w:color w:val="auto"/>
          <w:sz w:val="32"/>
          <w:szCs w:val="32"/>
        </w:rPr>
      </w:pPr>
      <w:bookmarkStart w:id="393" w:name="_Toc144974547"/>
      <w:bookmarkStart w:id="394" w:name="_Toc152042357"/>
      <w:bookmarkStart w:id="395" w:name="_Toc246996224"/>
      <w:bookmarkStart w:id="396" w:name="_Toc179632598"/>
      <w:bookmarkStart w:id="397" w:name="_Toc247085738"/>
      <w:bookmarkStart w:id="398" w:name="_Toc25940"/>
      <w:bookmarkStart w:id="399" w:name="_Toc152045580"/>
      <w:bookmarkStart w:id="400" w:name="_Toc246996967"/>
      <w:r>
        <w:rPr>
          <w:rFonts w:hint="eastAsia" w:ascii="宋体" w:cs="宋体"/>
          <w:b/>
          <w:bCs/>
          <w:color w:val="auto"/>
          <w:sz w:val="32"/>
          <w:szCs w:val="32"/>
        </w:rPr>
        <w:t>是否采用电子招标投标</w:t>
      </w:r>
    </w:p>
    <w:p>
      <w:pPr>
        <w:spacing w:line="360" w:lineRule="auto"/>
        <w:ind w:firstLine="420" w:firstLineChars="200"/>
        <w:rPr>
          <w:rFonts w:ascii="宋体" w:cs="宋体"/>
          <w:color w:val="auto"/>
          <w:szCs w:val="21"/>
        </w:rPr>
      </w:pPr>
      <w:r>
        <w:rPr>
          <w:rFonts w:hint="eastAsia" w:ascii="宋体" w:cs="宋体"/>
          <w:color w:val="auto"/>
          <w:szCs w:val="21"/>
        </w:rPr>
        <w:t>本招标项目是否采用电子招标投标方式，见投标人须知前附表。</w:t>
      </w:r>
    </w:p>
    <w:p>
      <w:pPr>
        <w:pStyle w:val="6"/>
        <w:spacing w:before="0" w:after="0" w:line="360" w:lineRule="auto"/>
        <w:rPr>
          <w:rFonts w:ascii="宋体" w:cs="宋体"/>
          <w:color w:val="auto"/>
        </w:rPr>
      </w:pPr>
      <w:r>
        <w:rPr>
          <w:rFonts w:hint="eastAsia" w:ascii="宋体" w:cs="宋体"/>
          <w:color w:val="auto"/>
        </w:rPr>
        <w:t>10. 需要补充的其他内容</w:t>
      </w:r>
      <w:bookmarkEnd w:id="393"/>
      <w:bookmarkEnd w:id="394"/>
      <w:bookmarkEnd w:id="395"/>
      <w:bookmarkEnd w:id="396"/>
      <w:bookmarkEnd w:id="397"/>
      <w:bookmarkEnd w:id="398"/>
      <w:bookmarkEnd w:id="399"/>
      <w:bookmarkEnd w:id="400"/>
    </w:p>
    <w:p>
      <w:pPr>
        <w:spacing w:line="360" w:lineRule="auto"/>
        <w:ind w:firstLine="420" w:firstLineChars="200"/>
        <w:rPr>
          <w:rFonts w:ascii="宋体" w:cs="宋体"/>
          <w:color w:val="auto"/>
        </w:rPr>
      </w:pPr>
      <w:r>
        <w:rPr>
          <w:rFonts w:hint="eastAsia" w:ascii="宋体" w:cs="宋体"/>
          <w:color w:val="auto"/>
        </w:rPr>
        <w:t>需要补充的其他内容：见投标人须知前附表。</w:t>
      </w:r>
    </w:p>
    <w:p>
      <w:pPr>
        <w:pStyle w:val="5"/>
        <w:rPr>
          <w:rFonts w:ascii="宋体" w:cs="宋体"/>
          <w:color w:val="auto"/>
        </w:rPr>
      </w:pPr>
      <w:bookmarkStart w:id="401" w:name="_Toc152045598"/>
      <w:bookmarkStart w:id="402" w:name="_Toc246996241"/>
      <w:bookmarkStart w:id="403" w:name="_Toc152042375"/>
      <w:bookmarkStart w:id="404" w:name="_Toc144974565"/>
      <w:bookmarkStart w:id="405" w:name="_Toc247085756"/>
      <w:bookmarkStart w:id="406" w:name="_Toc179632616"/>
      <w:bookmarkStart w:id="407" w:name="_Toc246996984"/>
      <w:r>
        <w:rPr>
          <w:rFonts w:hint="eastAsia" w:ascii="宋体" w:cs="宋体"/>
          <w:color w:val="auto"/>
        </w:rPr>
        <w:br w:type="page"/>
      </w:r>
      <w:bookmarkStart w:id="408" w:name="_Toc10040"/>
      <w:bookmarkStart w:id="409" w:name="_Toc16191"/>
      <w:bookmarkStart w:id="410" w:name="_Toc15148"/>
      <w:bookmarkStart w:id="411" w:name="_Toc17396"/>
      <w:r>
        <w:rPr>
          <w:rFonts w:hint="eastAsia" w:ascii="宋体" w:cs="宋体"/>
          <w:color w:val="auto"/>
        </w:rPr>
        <w:t>第三章 评标办法（综合计分法）</w:t>
      </w:r>
      <w:bookmarkEnd w:id="401"/>
      <w:bookmarkEnd w:id="402"/>
      <w:bookmarkEnd w:id="403"/>
      <w:bookmarkEnd w:id="404"/>
      <w:bookmarkEnd w:id="405"/>
      <w:bookmarkEnd w:id="406"/>
      <w:bookmarkEnd w:id="407"/>
      <w:bookmarkEnd w:id="408"/>
      <w:bookmarkEnd w:id="409"/>
      <w:bookmarkEnd w:id="410"/>
      <w:bookmarkEnd w:id="411"/>
    </w:p>
    <w:p>
      <w:pPr>
        <w:pStyle w:val="6"/>
        <w:spacing w:before="0" w:after="0"/>
        <w:rPr>
          <w:rFonts w:ascii="宋体" w:cs="宋体"/>
          <w:color w:val="auto"/>
        </w:rPr>
      </w:pPr>
      <w:bookmarkStart w:id="412" w:name="_Toc144974566"/>
      <w:bookmarkStart w:id="413" w:name="_Toc247085757"/>
      <w:bookmarkStart w:id="414" w:name="_Toc246996242"/>
      <w:bookmarkStart w:id="415" w:name="_Toc179632617"/>
      <w:bookmarkStart w:id="416" w:name="_Toc152042376"/>
      <w:bookmarkStart w:id="417" w:name="_Toc88"/>
      <w:bookmarkStart w:id="418" w:name="_Toc246996985"/>
      <w:bookmarkStart w:id="419" w:name="_Toc152045599"/>
      <w:r>
        <w:rPr>
          <w:rFonts w:hint="eastAsia" w:ascii="宋体" w:cs="宋体"/>
          <w:color w:val="auto"/>
          <w:sz w:val="28"/>
          <w:szCs w:val="28"/>
        </w:rPr>
        <w:t>初步评审表</w:t>
      </w:r>
      <w:bookmarkEnd w:id="412"/>
      <w:bookmarkEnd w:id="413"/>
      <w:bookmarkEnd w:id="414"/>
      <w:bookmarkEnd w:id="415"/>
      <w:bookmarkEnd w:id="416"/>
      <w:bookmarkEnd w:id="417"/>
      <w:bookmarkEnd w:id="418"/>
      <w:bookmarkEnd w:id="419"/>
    </w:p>
    <w:tbl>
      <w:tblPr>
        <w:tblStyle w:val="17"/>
        <w:tblW w:w="9422" w:type="dxa"/>
        <w:tblInd w:w="1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9"/>
        <w:gridCol w:w="595"/>
        <w:gridCol w:w="2086"/>
        <w:gridCol w:w="61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8" w:hRule="atLeast"/>
        </w:trPr>
        <w:tc>
          <w:tcPr>
            <w:tcW w:w="1154" w:type="dxa"/>
            <w:gridSpan w:val="2"/>
          </w:tcPr>
          <w:p>
            <w:pPr>
              <w:pStyle w:val="37"/>
              <w:spacing w:before="37" w:line="300" w:lineRule="exact"/>
              <w:ind w:left="250"/>
              <w:rPr>
                <w:color w:val="auto"/>
                <w:lang w:val="en-US" w:eastAsia="en-US" w:bidi="ar-SA"/>
              </w:rPr>
            </w:pPr>
            <w:r>
              <w:rPr>
                <w:rFonts w:hint="eastAsia"/>
                <w:color w:val="auto"/>
                <w:lang w:val="en-US" w:eastAsia="en-US" w:bidi="ar-SA"/>
              </w:rPr>
              <w:t>条款号</w:t>
            </w:r>
          </w:p>
        </w:tc>
        <w:tc>
          <w:tcPr>
            <w:tcW w:w="2086" w:type="dxa"/>
          </w:tcPr>
          <w:p>
            <w:pPr>
              <w:pStyle w:val="37"/>
              <w:spacing w:before="37" w:line="300" w:lineRule="exact"/>
              <w:ind w:left="4"/>
              <w:jc w:val="center"/>
              <w:rPr>
                <w:color w:val="auto"/>
                <w:lang w:val="en-US" w:eastAsia="en-US" w:bidi="ar-SA"/>
              </w:rPr>
            </w:pPr>
            <w:r>
              <w:rPr>
                <w:rFonts w:hint="eastAsia"/>
                <w:color w:val="auto"/>
                <w:lang w:val="en-US" w:eastAsia="en-US" w:bidi="ar-SA"/>
              </w:rPr>
              <w:t>评审因素</w:t>
            </w:r>
          </w:p>
        </w:tc>
        <w:tc>
          <w:tcPr>
            <w:tcW w:w="6182" w:type="dxa"/>
          </w:tcPr>
          <w:p>
            <w:pPr>
              <w:pStyle w:val="37"/>
              <w:spacing w:before="37" w:line="300" w:lineRule="exact"/>
              <w:ind w:left="2618" w:right="2595"/>
              <w:jc w:val="center"/>
              <w:rPr>
                <w:color w:val="auto"/>
                <w:lang w:val="en-US" w:eastAsia="en-US" w:bidi="ar-SA"/>
              </w:rPr>
            </w:pPr>
            <w:r>
              <w:rPr>
                <w:rFonts w:hint="eastAsia"/>
                <w:color w:val="auto"/>
                <w:lang w:val="en-US" w:eastAsia="en-US" w:bidi="ar-SA"/>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559" w:type="dxa"/>
            <w:vMerge w:val="restart"/>
            <w:vAlign w:val="center"/>
          </w:tcPr>
          <w:p>
            <w:pPr>
              <w:pStyle w:val="37"/>
              <w:spacing w:before="129" w:line="300" w:lineRule="exact"/>
              <w:ind w:left="22" w:right="-15"/>
              <w:jc w:val="both"/>
              <w:rPr>
                <w:color w:val="auto"/>
                <w:lang w:val="en-US" w:eastAsia="en-US" w:bidi="ar-SA"/>
              </w:rPr>
            </w:pPr>
            <w:r>
              <w:rPr>
                <w:rFonts w:hint="eastAsia"/>
                <w:color w:val="auto"/>
                <w:lang w:val="en-US" w:eastAsia="en-US" w:bidi="ar-SA"/>
              </w:rPr>
              <w:t>2.1.1</w:t>
            </w:r>
          </w:p>
        </w:tc>
        <w:tc>
          <w:tcPr>
            <w:tcW w:w="595" w:type="dxa"/>
            <w:vMerge w:val="restart"/>
            <w:vAlign w:val="center"/>
          </w:tcPr>
          <w:p>
            <w:pPr>
              <w:pStyle w:val="37"/>
              <w:spacing w:line="300" w:lineRule="exact"/>
              <w:ind w:left="83" w:right="75"/>
              <w:jc w:val="both"/>
              <w:rPr>
                <w:color w:val="auto"/>
                <w:lang w:val="en-US" w:eastAsia="en-US" w:bidi="ar-SA"/>
              </w:rPr>
            </w:pPr>
            <w:r>
              <w:rPr>
                <w:rFonts w:hint="eastAsia"/>
                <w:color w:val="auto"/>
                <w:lang w:val="en-US" w:bidi="ar-SA"/>
              </w:rPr>
              <w:t>符合性</w:t>
            </w:r>
            <w:r>
              <w:rPr>
                <w:rFonts w:hint="eastAsia"/>
                <w:color w:val="auto"/>
                <w:lang w:val="en-US" w:eastAsia="en-US" w:bidi="ar-SA"/>
              </w:rPr>
              <w:t>评审标准</w:t>
            </w:r>
          </w:p>
        </w:tc>
        <w:tc>
          <w:tcPr>
            <w:tcW w:w="2086" w:type="dxa"/>
          </w:tcPr>
          <w:p>
            <w:pPr>
              <w:pStyle w:val="37"/>
              <w:spacing w:before="29" w:line="300" w:lineRule="exact"/>
              <w:ind w:left="26"/>
              <w:jc w:val="center"/>
              <w:rPr>
                <w:color w:val="auto"/>
                <w:lang w:val="en-US" w:eastAsia="en-US" w:bidi="ar-SA"/>
              </w:rPr>
            </w:pPr>
            <w:r>
              <w:rPr>
                <w:rFonts w:hint="eastAsia"/>
                <w:color w:val="auto"/>
                <w:lang w:val="en-US" w:eastAsia="en-US" w:bidi="ar-SA"/>
              </w:rPr>
              <w:t>投标人名称</w:t>
            </w:r>
          </w:p>
        </w:tc>
        <w:tc>
          <w:tcPr>
            <w:tcW w:w="6182" w:type="dxa"/>
          </w:tcPr>
          <w:p>
            <w:pPr>
              <w:pStyle w:val="37"/>
              <w:spacing w:before="29" w:line="300" w:lineRule="exact"/>
              <w:ind w:left="110"/>
              <w:rPr>
                <w:color w:val="auto"/>
                <w:lang w:val="en-US" w:bidi="ar-SA"/>
              </w:rPr>
            </w:pPr>
            <w:r>
              <w:rPr>
                <w:rFonts w:hint="eastAsia"/>
                <w:color w:val="auto"/>
                <w:lang w:val="en-US" w:bidi="ar-SA"/>
              </w:rPr>
              <w:t>与营业执照、资质证书一致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5" w:hRule="atLeast"/>
        </w:trPr>
        <w:tc>
          <w:tcPr>
            <w:tcW w:w="559" w:type="dxa"/>
            <w:vMerge w:val="continue"/>
            <w:tcBorders>
              <w:top w:val="nil"/>
            </w:tcBorders>
          </w:tcPr>
          <w:p>
            <w:pPr>
              <w:rPr>
                <w:color w:val="auto"/>
              </w:rPr>
            </w:pPr>
          </w:p>
        </w:tc>
        <w:tc>
          <w:tcPr>
            <w:tcW w:w="595" w:type="dxa"/>
            <w:vMerge w:val="continue"/>
            <w:tcBorders>
              <w:top w:val="nil"/>
            </w:tcBorders>
          </w:tcPr>
          <w:p>
            <w:pPr>
              <w:rPr>
                <w:color w:val="auto"/>
              </w:rPr>
            </w:pPr>
          </w:p>
        </w:tc>
        <w:tc>
          <w:tcPr>
            <w:tcW w:w="2086" w:type="dxa"/>
          </w:tcPr>
          <w:p>
            <w:pPr>
              <w:pStyle w:val="37"/>
              <w:spacing w:before="145" w:line="300" w:lineRule="exact"/>
              <w:ind w:left="26"/>
              <w:jc w:val="center"/>
              <w:rPr>
                <w:color w:val="auto"/>
                <w:lang w:val="en-US" w:eastAsia="en-US" w:bidi="ar-SA"/>
              </w:rPr>
            </w:pPr>
            <w:r>
              <w:rPr>
                <w:rFonts w:hint="eastAsia"/>
                <w:color w:val="auto"/>
                <w:lang w:val="en-US" w:eastAsia="en-US" w:bidi="ar-SA"/>
              </w:rPr>
              <w:t>投标文件签字盖章</w:t>
            </w:r>
          </w:p>
        </w:tc>
        <w:tc>
          <w:tcPr>
            <w:tcW w:w="6182" w:type="dxa"/>
          </w:tcPr>
          <w:p>
            <w:pPr>
              <w:pStyle w:val="37"/>
              <w:spacing w:before="29" w:line="300" w:lineRule="exact"/>
              <w:ind w:left="110"/>
              <w:rPr>
                <w:color w:val="auto"/>
                <w:lang w:val="en-US" w:bidi="ar-SA"/>
              </w:rPr>
            </w:pPr>
            <w:r>
              <w:rPr>
                <w:rFonts w:hint="eastAsia"/>
                <w:color w:val="auto"/>
                <w:lang w:val="en-US" w:bidi="ar-SA"/>
              </w:rPr>
              <w:t>签字、盖章均符合招标文件要求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6" w:hRule="atLeast"/>
        </w:trPr>
        <w:tc>
          <w:tcPr>
            <w:tcW w:w="559" w:type="dxa"/>
            <w:vMerge w:val="continue"/>
            <w:tcBorders>
              <w:top w:val="nil"/>
            </w:tcBorders>
          </w:tcPr>
          <w:p>
            <w:pPr>
              <w:rPr>
                <w:color w:val="auto"/>
              </w:rPr>
            </w:pPr>
          </w:p>
        </w:tc>
        <w:tc>
          <w:tcPr>
            <w:tcW w:w="595" w:type="dxa"/>
            <w:vMerge w:val="continue"/>
            <w:tcBorders>
              <w:top w:val="nil"/>
            </w:tcBorders>
          </w:tcPr>
          <w:p>
            <w:pPr>
              <w:rPr>
                <w:color w:val="auto"/>
              </w:rPr>
            </w:pPr>
          </w:p>
        </w:tc>
        <w:tc>
          <w:tcPr>
            <w:tcW w:w="2086" w:type="dxa"/>
          </w:tcPr>
          <w:p>
            <w:pPr>
              <w:pStyle w:val="37"/>
              <w:spacing w:before="52" w:line="300" w:lineRule="exact"/>
              <w:ind w:left="24"/>
              <w:jc w:val="center"/>
              <w:rPr>
                <w:color w:val="auto"/>
                <w:lang w:val="en-US" w:eastAsia="en-US" w:bidi="ar-SA"/>
              </w:rPr>
            </w:pPr>
            <w:r>
              <w:rPr>
                <w:rFonts w:hint="eastAsia"/>
                <w:color w:val="auto"/>
                <w:lang w:val="en-US" w:eastAsia="en-US" w:bidi="ar-SA"/>
              </w:rPr>
              <w:t>投标文件格式</w:t>
            </w:r>
          </w:p>
        </w:tc>
        <w:tc>
          <w:tcPr>
            <w:tcW w:w="6182" w:type="dxa"/>
          </w:tcPr>
          <w:p>
            <w:pPr>
              <w:pStyle w:val="37"/>
              <w:spacing w:before="52" w:line="300" w:lineRule="exact"/>
              <w:ind w:left="110"/>
              <w:rPr>
                <w:color w:val="auto"/>
                <w:lang w:val="en-US" w:bidi="ar-SA"/>
              </w:rPr>
            </w:pPr>
            <w:r>
              <w:rPr>
                <w:rFonts w:hint="eastAsia"/>
                <w:color w:val="auto"/>
                <w:lang w:val="en-US" w:bidi="ar-SA"/>
              </w:rPr>
              <w:t>符合第八章“投标文件格式”的要求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6" w:hRule="atLeast"/>
        </w:trPr>
        <w:tc>
          <w:tcPr>
            <w:tcW w:w="559" w:type="dxa"/>
            <w:vMerge w:val="continue"/>
            <w:tcBorders>
              <w:top w:val="nil"/>
            </w:tcBorders>
          </w:tcPr>
          <w:p>
            <w:pPr>
              <w:rPr>
                <w:color w:val="auto"/>
              </w:rPr>
            </w:pPr>
          </w:p>
        </w:tc>
        <w:tc>
          <w:tcPr>
            <w:tcW w:w="595" w:type="dxa"/>
            <w:vMerge w:val="continue"/>
            <w:tcBorders>
              <w:top w:val="nil"/>
            </w:tcBorders>
          </w:tcPr>
          <w:p>
            <w:pPr>
              <w:rPr>
                <w:color w:val="auto"/>
              </w:rPr>
            </w:pPr>
          </w:p>
        </w:tc>
        <w:tc>
          <w:tcPr>
            <w:tcW w:w="2086" w:type="dxa"/>
          </w:tcPr>
          <w:p>
            <w:pPr>
              <w:pStyle w:val="37"/>
              <w:spacing w:before="44" w:line="300" w:lineRule="exact"/>
              <w:ind w:left="26"/>
              <w:jc w:val="center"/>
              <w:rPr>
                <w:color w:val="auto"/>
                <w:lang w:val="en-US" w:eastAsia="en-US" w:bidi="ar-SA"/>
              </w:rPr>
            </w:pPr>
            <w:r>
              <w:rPr>
                <w:rFonts w:hint="eastAsia"/>
                <w:color w:val="auto"/>
                <w:lang w:val="en-US" w:eastAsia="en-US" w:bidi="ar-SA"/>
              </w:rPr>
              <w:t>投标报价</w:t>
            </w:r>
          </w:p>
        </w:tc>
        <w:tc>
          <w:tcPr>
            <w:tcW w:w="6182" w:type="dxa"/>
          </w:tcPr>
          <w:p>
            <w:pPr>
              <w:pStyle w:val="37"/>
              <w:spacing w:before="44" w:line="300" w:lineRule="exact"/>
              <w:ind w:left="110"/>
              <w:rPr>
                <w:color w:val="auto"/>
                <w:lang w:val="en-US" w:bidi="ar-SA"/>
              </w:rPr>
            </w:pPr>
            <w:r>
              <w:rPr>
                <w:rFonts w:hint="eastAsia"/>
                <w:color w:val="auto"/>
                <w:lang w:val="en-US" w:bidi="ar-SA"/>
              </w:rPr>
              <w:t>各单项只能有一个有效报价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4" w:hRule="atLeast"/>
        </w:trPr>
        <w:tc>
          <w:tcPr>
            <w:tcW w:w="559" w:type="dxa"/>
            <w:vMerge w:val="restart"/>
            <w:vAlign w:val="center"/>
          </w:tcPr>
          <w:p>
            <w:pPr>
              <w:pStyle w:val="37"/>
              <w:spacing w:line="300" w:lineRule="exact"/>
              <w:ind w:left="22" w:right="-15"/>
              <w:jc w:val="both"/>
              <w:rPr>
                <w:color w:val="auto"/>
                <w:lang w:val="en-US" w:eastAsia="en-US" w:bidi="ar-SA"/>
              </w:rPr>
            </w:pPr>
            <w:r>
              <w:rPr>
                <w:rFonts w:hint="eastAsia"/>
                <w:color w:val="auto"/>
                <w:lang w:val="en-US" w:eastAsia="en-US" w:bidi="ar-SA"/>
              </w:rPr>
              <w:t>2.1.2</w:t>
            </w:r>
          </w:p>
        </w:tc>
        <w:tc>
          <w:tcPr>
            <w:tcW w:w="595" w:type="dxa"/>
            <w:vMerge w:val="restart"/>
            <w:vAlign w:val="center"/>
          </w:tcPr>
          <w:p>
            <w:pPr>
              <w:pStyle w:val="37"/>
              <w:spacing w:line="300" w:lineRule="exact"/>
              <w:ind w:left="83" w:right="75"/>
              <w:jc w:val="both"/>
              <w:rPr>
                <w:color w:val="auto"/>
                <w:lang w:val="en-US" w:eastAsia="en-US" w:bidi="ar-SA"/>
              </w:rPr>
            </w:pPr>
            <w:r>
              <w:rPr>
                <w:rFonts w:hint="eastAsia"/>
                <w:color w:val="auto"/>
                <w:lang w:val="en-US" w:eastAsia="en-US" w:bidi="ar-SA"/>
              </w:rPr>
              <w:t>资格评审标准</w:t>
            </w:r>
          </w:p>
        </w:tc>
        <w:tc>
          <w:tcPr>
            <w:tcW w:w="2086" w:type="dxa"/>
          </w:tcPr>
          <w:p>
            <w:pPr>
              <w:pStyle w:val="37"/>
              <w:spacing w:line="300" w:lineRule="exact"/>
              <w:ind w:left="24"/>
              <w:jc w:val="center"/>
              <w:rPr>
                <w:color w:val="auto"/>
                <w:lang w:val="en-US" w:eastAsia="en-US" w:bidi="ar-SA"/>
              </w:rPr>
            </w:pPr>
            <w:r>
              <w:rPr>
                <w:rFonts w:hint="eastAsia"/>
                <w:color w:val="auto"/>
                <w:lang w:val="en-US" w:eastAsia="en-US" w:bidi="ar-SA"/>
              </w:rPr>
              <w:t>企业营业执照</w:t>
            </w:r>
          </w:p>
        </w:tc>
        <w:tc>
          <w:tcPr>
            <w:tcW w:w="6182" w:type="dxa"/>
          </w:tcPr>
          <w:p>
            <w:pPr>
              <w:pStyle w:val="37"/>
              <w:spacing w:before="100" w:line="300" w:lineRule="exact"/>
              <w:ind w:right="202"/>
              <w:rPr>
                <w:color w:val="auto"/>
                <w:lang w:val="en-US" w:eastAsia="en-US" w:bidi="ar-SA"/>
              </w:rPr>
            </w:pPr>
            <w:r>
              <w:rPr>
                <w:rFonts w:hint="eastAsia"/>
                <w:color w:val="auto"/>
                <w:lang w:val="en-US" w:eastAsia="en-US" w:bidi="ar-SA"/>
              </w:rPr>
              <w:t>具备有效的营业执照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7"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103" w:line="300" w:lineRule="exact"/>
              <w:ind w:left="24"/>
              <w:jc w:val="center"/>
              <w:rPr>
                <w:color w:val="auto"/>
                <w:lang w:val="en-US" w:eastAsia="en-US" w:bidi="ar-SA"/>
              </w:rPr>
            </w:pPr>
            <w:r>
              <w:rPr>
                <w:rFonts w:hint="eastAsia"/>
                <w:color w:val="auto"/>
                <w:lang w:val="en-US" w:eastAsia="en-US" w:bidi="ar-SA"/>
              </w:rPr>
              <w:t>安全生产许可证</w:t>
            </w:r>
          </w:p>
        </w:tc>
        <w:tc>
          <w:tcPr>
            <w:tcW w:w="6182" w:type="dxa"/>
          </w:tcPr>
          <w:p>
            <w:pPr>
              <w:spacing w:before="103" w:line="300" w:lineRule="exact"/>
              <w:ind w:right="174"/>
              <w:rPr>
                <w:rFonts w:ascii="宋体" w:cs="宋体"/>
                <w:color w:val="auto"/>
              </w:rPr>
            </w:pPr>
            <w:r>
              <w:rPr>
                <w:rFonts w:hint="eastAsia" w:ascii="宋体" w:cs="宋体"/>
                <w:color w:val="auto"/>
              </w:rPr>
              <w:t>具备有效的安全许可证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6"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126" w:line="300" w:lineRule="exact"/>
              <w:ind w:left="24"/>
              <w:jc w:val="center"/>
              <w:rPr>
                <w:color w:val="auto"/>
                <w:lang w:val="en-US" w:eastAsia="en-US" w:bidi="ar-SA"/>
              </w:rPr>
            </w:pPr>
            <w:r>
              <w:rPr>
                <w:rFonts w:hint="eastAsia"/>
                <w:color w:val="auto"/>
                <w:lang w:val="en-US" w:eastAsia="en-US" w:bidi="ar-SA"/>
              </w:rPr>
              <w:t>企业资质证书</w:t>
            </w:r>
          </w:p>
        </w:tc>
        <w:tc>
          <w:tcPr>
            <w:tcW w:w="6182" w:type="dxa"/>
          </w:tcPr>
          <w:p>
            <w:pPr>
              <w:spacing w:before="9" w:line="300" w:lineRule="exact"/>
              <w:rPr>
                <w:rFonts w:ascii="宋体" w:cs="宋体"/>
                <w:color w:val="auto"/>
              </w:rPr>
            </w:pPr>
            <w:r>
              <w:rPr>
                <w:rFonts w:hint="eastAsia" w:ascii="宋体" w:cs="宋体"/>
                <w:color w:val="auto"/>
              </w:rPr>
              <w:t>符合第二章“投标人须知前附表”第 1.4.1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4"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67" w:line="300" w:lineRule="exact"/>
              <w:ind w:left="26"/>
              <w:jc w:val="center"/>
              <w:rPr>
                <w:color w:val="auto"/>
                <w:lang w:val="en-US" w:eastAsia="en-US" w:bidi="ar-SA"/>
              </w:rPr>
            </w:pPr>
            <w:r>
              <w:rPr>
                <w:rFonts w:hint="eastAsia"/>
                <w:color w:val="auto"/>
                <w:lang w:val="en-US" w:eastAsia="en-US" w:bidi="ar-SA"/>
              </w:rPr>
              <w:t>项目经理要求</w:t>
            </w:r>
          </w:p>
        </w:tc>
        <w:tc>
          <w:tcPr>
            <w:tcW w:w="6182" w:type="dxa"/>
          </w:tcPr>
          <w:p>
            <w:pPr>
              <w:spacing w:before="67" w:line="300" w:lineRule="exact"/>
              <w:ind w:right="174"/>
              <w:rPr>
                <w:rFonts w:ascii="宋体" w:cs="宋体"/>
                <w:color w:val="auto"/>
              </w:rPr>
            </w:pPr>
            <w:r>
              <w:rPr>
                <w:rFonts w:hint="eastAsia" w:ascii="宋体" w:cs="宋体"/>
                <w:color w:val="auto"/>
              </w:rPr>
              <w:t>符合第二章“投标人须知前附表”第 1.4.1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4"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67" w:line="300" w:lineRule="exact"/>
              <w:ind w:left="26"/>
              <w:jc w:val="center"/>
              <w:rPr>
                <w:color w:val="auto"/>
                <w:lang w:val="en-US" w:bidi="ar-SA"/>
              </w:rPr>
            </w:pPr>
            <w:r>
              <w:rPr>
                <w:rFonts w:hint="eastAsia"/>
                <w:color w:val="auto"/>
                <w:lang w:val="en-US" w:bidi="ar-SA"/>
              </w:rPr>
              <w:t>技术负责人要求</w:t>
            </w:r>
          </w:p>
        </w:tc>
        <w:tc>
          <w:tcPr>
            <w:tcW w:w="6182" w:type="dxa"/>
          </w:tcPr>
          <w:p>
            <w:pPr>
              <w:spacing w:before="67" w:line="300" w:lineRule="exact"/>
              <w:ind w:right="174"/>
              <w:rPr>
                <w:rFonts w:ascii="宋体" w:cs="宋体"/>
                <w:color w:val="auto"/>
              </w:rPr>
            </w:pPr>
            <w:r>
              <w:rPr>
                <w:rFonts w:hint="eastAsia" w:ascii="宋体" w:cs="宋体"/>
                <w:color w:val="auto"/>
              </w:rPr>
              <w:t>符合第二章“投标人须知前附表”第 1.4.1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26"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67" w:line="300" w:lineRule="exact"/>
              <w:ind w:left="26"/>
              <w:jc w:val="center"/>
              <w:rPr>
                <w:color w:val="auto"/>
                <w:lang w:val="en-US" w:eastAsia="en-US" w:bidi="ar-SA"/>
              </w:rPr>
            </w:pPr>
            <w:r>
              <w:rPr>
                <w:rFonts w:hint="eastAsia"/>
                <w:color w:val="auto"/>
                <w:lang w:val="en-US" w:eastAsia="en-US" w:bidi="ar-SA"/>
              </w:rPr>
              <w:t>财务要求</w:t>
            </w:r>
          </w:p>
        </w:tc>
        <w:tc>
          <w:tcPr>
            <w:tcW w:w="6182" w:type="dxa"/>
          </w:tcPr>
          <w:p>
            <w:pPr>
              <w:spacing w:before="118" w:line="300" w:lineRule="exact"/>
              <w:ind w:right="174"/>
              <w:rPr>
                <w:rFonts w:ascii="宋体" w:cs="宋体"/>
                <w:color w:val="auto"/>
              </w:rPr>
            </w:pPr>
            <w:r>
              <w:rPr>
                <w:rFonts w:hint="eastAsia" w:ascii="宋体" w:cs="宋体"/>
                <w:color w:val="auto"/>
              </w:rPr>
              <w:t>符合第二章“投标人须知前附表”第 1.4.1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00"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97" w:line="300" w:lineRule="exact"/>
              <w:ind w:left="26"/>
              <w:jc w:val="center"/>
              <w:rPr>
                <w:color w:val="auto"/>
                <w:lang w:val="en-US" w:eastAsia="en-US" w:bidi="ar-SA"/>
              </w:rPr>
            </w:pPr>
            <w:r>
              <w:rPr>
                <w:rFonts w:hint="eastAsia"/>
                <w:color w:val="auto"/>
                <w:lang w:val="en-US" w:eastAsia="en-US" w:bidi="ar-SA"/>
              </w:rPr>
              <w:t>纳税证明</w:t>
            </w:r>
          </w:p>
        </w:tc>
        <w:tc>
          <w:tcPr>
            <w:tcW w:w="6182" w:type="dxa"/>
          </w:tcPr>
          <w:p>
            <w:pPr>
              <w:spacing w:before="97" w:line="300" w:lineRule="exact"/>
              <w:ind w:right="174"/>
              <w:rPr>
                <w:rFonts w:ascii="宋体" w:cs="宋体"/>
                <w:color w:val="auto"/>
              </w:rPr>
            </w:pPr>
            <w:r>
              <w:rPr>
                <w:rFonts w:hint="eastAsia" w:ascii="宋体" w:cs="宋体"/>
                <w:color w:val="auto"/>
              </w:rPr>
              <w:t>符合第二章“投标人须知前附表”第 1.4.1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0"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97" w:line="300" w:lineRule="exact"/>
              <w:ind w:left="26"/>
              <w:jc w:val="center"/>
              <w:rPr>
                <w:color w:val="auto"/>
                <w:lang w:val="en-US" w:eastAsia="en-US" w:bidi="ar-SA"/>
              </w:rPr>
            </w:pPr>
            <w:r>
              <w:rPr>
                <w:rFonts w:hint="eastAsia"/>
                <w:color w:val="auto"/>
                <w:lang w:val="en-US" w:eastAsia="en-US" w:bidi="ar-SA"/>
              </w:rPr>
              <w:t>社会保险证明</w:t>
            </w:r>
          </w:p>
        </w:tc>
        <w:tc>
          <w:tcPr>
            <w:tcW w:w="6182" w:type="dxa"/>
          </w:tcPr>
          <w:p>
            <w:pPr>
              <w:spacing w:before="97" w:line="300" w:lineRule="exact"/>
              <w:ind w:right="174"/>
              <w:rPr>
                <w:rFonts w:ascii="宋体" w:cs="宋体"/>
                <w:color w:val="auto"/>
              </w:rPr>
            </w:pPr>
            <w:r>
              <w:rPr>
                <w:rFonts w:hint="eastAsia" w:ascii="宋体" w:cs="宋体"/>
                <w:color w:val="auto"/>
              </w:rPr>
              <w:t>符合第二章“投标人须知前附表”第 1.4.1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9"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48" w:line="300" w:lineRule="exact"/>
              <w:ind w:left="26"/>
              <w:jc w:val="center"/>
              <w:rPr>
                <w:color w:val="auto"/>
                <w:lang w:val="en-US" w:eastAsia="en-US" w:bidi="ar-SA"/>
              </w:rPr>
            </w:pPr>
            <w:r>
              <w:rPr>
                <w:rFonts w:hint="eastAsia"/>
                <w:color w:val="auto"/>
                <w:lang w:val="en-US" w:eastAsia="en-US" w:bidi="ar-SA"/>
              </w:rPr>
              <w:t>信用记录查询记录</w:t>
            </w:r>
          </w:p>
        </w:tc>
        <w:tc>
          <w:tcPr>
            <w:tcW w:w="6182" w:type="dxa"/>
          </w:tcPr>
          <w:p>
            <w:pPr>
              <w:spacing w:before="48" w:line="300" w:lineRule="exact"/>
              <w:rPr>
                <w:rFonts w:ascii="宋体" w:cs="宋体"/>
                <w:color w:val="auto"/>
              </w:rPr>
            </w:pPr>
            <w:r>
              <w:rPr>
                <w:rFonts w:hint="eastAsia" w:ascii="宋体" w:cs="宋体"/>
                <w:color w:val="auto"/>
              </w:rPr>
              <w:t>符合第二章“投标人须知前附表”第 1.4.1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9"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48" w:line="300" w:lineRule="exact"/>
              <w:ind w:left="26"/>
              <w:jc w:val="center"/>
              <w:rPr>
                <w:color w:val="auto"/>
                <w:lang w:val="en-US" w:bidi="ar-SA"/>
              </w:rPr>
            </w:pPr>
            <w:r>
              <w:rPr>
                <w:rFonts w:hint="eastAsia"/>
                <w:color w:val="auto"/>
                <w:lang w:val="en-US" w:bidi="ar-SA"/>
              </w:rPr>
              <w:t>外省企业进豫备案</w:t>
            </w:r>
          </w:p>
        </w:tc>
        <w:tc>
          <w:tcPr>
            <w:tcW w:w="6182" w:type="dxa"/>
          </w:tcPr>
          <w:p>
            <w:pPr>
              <w:spacing w:before="48" w:line="300" w:lineRule="exact"/>
              <w:rPr>
                <w:rFonts w:ascii="宋体" w:cs="宋体"/>
                <w:color w:val="auto"/>
              </w:rPr>
            </w:pPr>
            <w:r>
              <w:rPr>
                <w:rFonts w:hint="eastAsia" w:ascii="宋体" w:cs="宋体"/>
                <w:color w:val="auto"/>
              </w:rPr>
              <w:t>符合第二章“投标人须知前附表”第 1.4.1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9"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48" w:line="300" w:lineRule="exact"/>
              <w:ind w:left="26"/>
              <w:jc w:val="center"/>
              <w:rPr>
                <w:color w:val="auto"/>
                <w:lang w:val="en-US" w:bidi="ar-SA"/>
              </w:rPr>
            </w:pPr>
            <w:r>
              <w:rPr>
                <w:rFonts w:hint="eastAsia"/>
                <w:color w:val="auto"/>
                <w:lang w:val="en-US" w:bidi="ar-SA"/>
              </w:rPr>
              <w:t>其他</w:t>
            </w:r>
          </w:p>
        </w:tc>
        <w:tc>
          <w:tcPr>
            <w:tcW w:w="6182" w:type="dxa"/>
          </w:tcPr>
          <w:p>
            <w:pPr>
              <w:spacing w:before="48" w:line="300" w:lineRule="exact"/>
              <w:rPr>
                <w:rFonts w:ascii="宋体" w:cs="宋体"/>
                <w:color w:val="auto"/>
              </w:rPr>
            </w:pPr>
            <w:r>
              <w:rPr>
                <w:rFonts w:hint="eastAsia" w:ascii="宋体" w:cs="宋体"/>
                <w:color w:val="auto"/>
              </w:rPr>
              <w:t>符合第二章“投标人须知前附表”第 1.4.1 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9" w:hRule="atLeast"/>
        </w:trPr>
        <w:tc>
          <w:tcPr>
            <w:tcW w:w="559" w:type="dxa"/>
            <w:vMerge w:val="restart"/>
            <w:vAlign w:val="center"/>
          </w:tcPr>
          <w:p>
            <w:pPr>
              <w:pStyle w:val="37"/>
              <w:spacing w:before="151" w:line="300" w:lineRule="exact"/>
              <w:ind w:left="22" w:right="-15"/>
              <w:jc w:val="both"/>
              <w:rPr>
                <w:color w:val="auto"/>
                <w:lang w:val="en-US" w:eastAsia="en-US" w:bidi="ar-SA"/>
              </w:rPr>
            </w:pPr>
            <w:r>
              <w:rPr>
                <w:rFonts w:hint="eastAsia"/>
                <w:color w:val="auto"/>
                <w:lang w:val="en-US" w:eastAsia="en-US" w:bidi="ar-SA"/>
              </w:rPr>
              <w:t>2.1.3</w:t>
            </w:r>
          </w:p>
        </w:tc>
        <w:tc>
          <w:tcPr>
            <w:tcW w:w="595" w:type="dxa"/>
            <w:vMerge w:val="restart"/>
            <w:vAlign w:val="center"/>
          </w:tcPr>
          <w:p>
            <w:pPr>
              <w:pStyle w:val="37"/>
              <w:spacing w:line="300" w:lineRule="exact"/>
              <w:ind w:left="83" w:right="75"/>
              <w:jc w:val="both"/>
              <w:rPr>
                <w:color w:val="auto"/>
                <w:lang w:val="en-US" w:eastAsia="en-US" w:bidi="ar-SA"/>
              </w:rPr>
            </w:pPr>
            <w:r>
              <w:rPr>
                <w:rFonts w:hint="eastAsia"/>
                <w:color w:val="auto"/>
                <w:lang w:val="en-US" w:eastAsia="en-US" w:bidi="ar-SA"/>
              </w:rPr>
              <w:t>响应性评审标准</w:t>
            </w:r>
          </w:p>
        </w:tc>
        <w:tc>
          <w:tcPr>
            <w:tcW w:w="2086" w:type="dxa"/>
          </w:tcPr>
          <w:p>
            <w:pPr>
              <w:pStyle w:val="37"/>
              <w:spacing w:before="54" w:line="300" w:lineRule="exact"/>
              <w:ind w:left="26"/>
              <w:jc w:val="center"/>
              <w:rPr>
                <w:color w:val="auto"/>
                <w:lang w:val="en-US" w:eastAsia="en-US" w:bidi="ar-SA"/>
              </w:rPr>
            </w:pPr>
            <w:r>
              <w:rPr>
                <w:rFonts w:hint="eastAsia"/>
                <w:color w:val="auto"/>
                <w:lang w:val="en-US" w:eastAsia="en-US" w:bidi="ar-SA"/>
              </w:rPr>
              <w:t>招标范围</w:t>
            </w:r>
          </w:p>
        </w:tc>
        <w:tc>
          <w:tcPr>
            <w:tcW w:w="6182" w:type="dxa"/>
          </w:tcPr>
          <w:p>
            <w:pPr>
              <w:pStyle w:val="37"/>
              <w:spacing w:before="54" w:line="300" w:lineRule="exact"/>
              <w:ind w:left="5"/>
              <w:rPr>
                <w:color w:val="auto"/>
                <w:lang w:val="en-US" w:bidi="ar-SA"/>
              </w:rPr>
            </w:pPr>
            <w:r>
              <w:rPr>
                <w:rFonts w:hint="eastAsia"/>
                <w:color w:val="auto"/>
                <w:lang w:val="en-US" w:bidi="ar-SA"/>
              </w:rPr>
              <w:t>符合第二章“投标人须知前附表”第 1.3.1项规定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3"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tabs>
                <w:tab w:val="left" w:pos="446"/>
              </w:tabs>
              <w:spacing w:before="88" w:line="300" w:lineRule="exact"/>
              <w:ind w:left="26"/>
              <w:jc w:val="center"/>
              <w:rPr>
                <w:color w:val="auto"/>
                <w:lang w:val="en-US" w:eastAsia="en-US" w:bidi="ar-SA"/>
              </w:rPr>
            </w:pPr>
            <w:r>
              <w:rPr>
                <w:rFonts w:hint="eastAsia"/>
                <w:color w:val="auto"/>
                <w:lang w:val="en-US" w:eastAsia="en-US" w:bidi="ar-SA"/>
              </w:rPr>
              <w:t>工</w:t>
            </w:r>
            <w:r>
              <w:rPr>
                <w:rFonts w:hint="eastAsia"/>
                <w:color w:val="auto"/>
                <w:lang w:val="en-US" w:eastAsia="en-US" w:bidi="ar-SA"/>
              </w:rPr>
              <w:tab/>
            </w:r>
            <w:r>
              <w:rPr>
                <w:rFonts w:hint="eastAsia"/>
                <w:color w:val="auto"/>
                <w:lang w:val="en-US" w:eastAsia="en-US" w:bidi="ar-SA"/>
              </w:rPr>
              <w:t>期</w:t>
            </w:r>
          </w:p>
        </w:tc>
        <w:tc>
          <w:tcPr>
            <w:tcW w:w="6182" w:type="dxa"/>
          </w:tcPr>
          <w:p>
            <w:pPr>
              <w:pStyle w:val="37"/>
              <w:spacing w:before="88" w:line="300" w:lineRule="exact"/>
              <w:rPr>
                <w:color w:val="auto"/>
                <w:lang w:val="en-US" w:bidi="ar-SA"/>
              </w:rPr>
            </w:pPr>
            <w:r>
              <w:rPr>
                <w:rFonts w:hint="eastAsia"/>
                <w:color w:val="auto"/>
                <w:lang w:val="en-US" w:bidi="ar-SA"/>
              </w:rPr>
              <w:t>符合第二章“投标人须知前附表”第 1.3.2项规定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6"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tabs>
                <w:tab w:val="left" w:pos="446"/>
              </w:tabs>
              <w:spacing w:before="88" w:line="300" w:lineRule="exact"/>
              <w:ind w:left="26"/>
              <w:jc w:val="center"/>
              <w:rPr>
                <w:color w:val="auto"/>
                <w:lang w:val="en-US" w:eastAsia="en-US" w:bidi="ar-SA"/>
              </w:rPr>
            </w:pPr>
            <w:r>
              <w:rPr>
                <w:rFonts w:hint="eastAsia" w:ascii="宋体" w:cs="宋体"/>
                <w:color w:val="auto"/>
                <w:szCs w:val="21"/>
              </w:rPr>
              <w:t>质量标准</w:t>
            </w:r>
          </w:p>
        </w:tc>
        <w:tc>
          <w:tcPr>
            <w:tcW w:w="6182" w:type="dxa"/>
          </w:tcPr>
          <w:p>
            <w:pPr>
              <w:pStyle w:val="37"/>
              <w:spacing w:before="55" w:line="300" w:lineRule="exact"/>
              <w:rPr>
                <w:color w:val="auto"/>
                <w:lang w:val="en-US" w:bidi="ar-SA"/>
              </w:rPr>
            </w:pPr>
            <w:r>
              <w:rPr>
                <w:rFonts w:hint="eastAsia"/>
                <w:color w:val="auto"/>
                <w:lang w:val="en-US" w:bidi="ar-SA"/>
              </w:rPr>
              <w:t>符合第二章“投标人须知前附表”第 1.3.3项规定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2"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tabs>
                <w:tab w:val="left" w:pos="446"/>
              </w:tabs>
              <w:spacing w:before="88" w:line="300" w:lineRule="exact"/>
              <w:ind w:left="26"/>
              <w:jc w:val="center"/>
              <w:rPr>
                <w:color w:val="auto"/>
                <w:lang w:val="en-US" w:eastAsia="en-US" w:bidi="ar-SA"/>
              </w:rPr>
            </w:pPr>
            <w:r>
              <w:rPr>
                <w:rFonts w:hint="eastAsia"/>
                <w:color w:val="auto"/>
                <w:lang w:val="en-US" w:eastAsia="en-US" w:bidi="ar-SA"/>
              </w:rPr>
              <w:t>安全目标</w:t>
            </w:r>
          </w:p>
        </w:tc>
        <w:tc>
          <w:tcPr>
            <w:tcW w:w="6182" w:type="dxa"/>
            <w:vAlign w:val="center"/>
          </w:tcPr>
          <w:p>
            <w:pPr>
              <w:pStyle w:val="37"/>
              <w:spacing w:before="1" w:line="300" w:lineRule="exact"/>
              <w:rPr>
                <w:color w:val="auto"/>
                <w:lang w:val="en-US" w:bidi="ar-SA"/>
              </w:rPr>
            </w:pPr>
            <w:r>
              <w:rPr>
                <w:rFonts w:hint="eastAsia"/>
                <w:color w:val="auto"/>
                <w:lang w:val="en-US" w:bidi="ar-SA"/>
              </w:rPr>
              <w:t>符合第二章“投标人须知前附表”第 1.3.4项规定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2"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tabs>
                <w:tab w:val="left" w:pos="446"/>
              </w:tabs>
              <w:spacing w:before="88" w:line="300" w:lineRule="exact"/>
              <w:ind w:left="26"/>
              <w:jc w:val="center"/>
              <w:rPr>
                <w:color w:val="auto"/>
                <w:lang w:val="en-US" w:bidi="ar-SA"/>
              </w:rPr>
            </w:pPr>
            <w:r>
              <w:rPr>
                <w:rFonts w:hint="eastAsia"/>
                <w:color w:val="auto"/>
                <w:lang w:val="en-US" w:bidi="ar-SA"/>
              </w:rPr>
              <w:t>文明工地目标</w:t>
            </w:r>
          </w:p>
        </w:tc>
        <w:tc>
          <w:tcPr>
            <w:tcW w:w="6182" w:type="dxa"/>
            <w:vAlign w:val="center"/>
          </w:tcPr>
          <w:p>
            <w:pPr>
              <w:pStyle w:val="37"/>
              <w:spacing w:before="1" w:line="300" w:lineRule="exact"/>
              <w:rPr>
                <w:color w:val="auto"/>
                <w:lang w:val="en-US" w:bidi="ar-SA"/>
              </w:rPr>
            </w:pPr>
            <w:r>
              <w:rPr>
                <w:rFonts w:hint="eastAsia"/>
                <w:color w:val="auto"/>
                <w:lang w:val="en-US" w:bidi="ar-SA"/>
              </w:rPr>
              <w:t>符合第二章“投标人须知前附表”第 1.3.5项规定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2"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tabs>
                <w:tab w:val="left" w:pos="446"/>
              </w:tabs>
              <w:spacing w:before="88" w:line="300" w:lineRule="exact"/>
              <w:ind w:left="26"/>
              <w:jc w:val="center"/>
              <w:rPr>
                <w:color w:val="auto"/>
                <w:lang w:val="en-US" w:bidi="ar-SA"/>
              </w:rPr>
            </w:pPr>
            <w:r>
              <w:rPr>
                <w:rFonts w:hint="eastAsia"/>
                <w:color w:val="auto"/>
                <w:lang w:val="en-US" w:bidi="ar-SA"/>
              </w:rPr>
              <w:t>扬尘治理目标</w:t>
            </w:r>
          </w:p>
        </w:tc>
        <w:tc>
          <w:tcPr>
            <w:tcW w:w="6182" w:type="dxa"/>
            <w:vAlign w:val="center"/>
          </w:tcPr>
          <w:p>
            <w:pPr>
              <w:pStyle w:val="37"/>
              <w:spacing w:before="1" w:line="300" w:lineRule="exact"/>
              <w:rPr>
                <w:color w:val="auto"/>
                <w:lang w:val="en-US" w:bidi="ar-SA"/>
              </w:rPr>
            </w:pPr>
            <w:r>
              <w:rPr>
                <w:rFonts w:hint="eastAsia"/>
                <w:color w:val="auto"/>
                <w:lang w:val="en-US" w:bidi="ar-SA"/>
              </w:rPr>
              <w:t>符合第二章“投标人须知前附表”第 1.3.6项规定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9"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tabs>
                <w:tab w:val="left" w:pos="446"/>
              </w:tabs>
              <w:spacing w:before="88" w:line="300" w:lineRule="exact"/>
              <w:ind w:left="26"/>
              <w:jc w:val="center"/>
              <w:rPr>
                <w:color w:val="auto"/>
                <w:lang w:val="en-US" w:eastAsia="en-US" w:bidi="ar-SA"/>
              </w:rPr>
            </w:pPr>
            <w:r>
              <w:rPr>
                <w:rFonts w:hint="eastAsia"/>
                <w:color w:val="auto"/>
                <w:lang w:val="en-US" w:eastAsia="en-US" w:bidi="ar-SA"/>
              </w:rPr>
              <w:t>投标有效期</w:t>
            </w:r>
          </w:p>
        </w:tc>
        <w:tc>
          <w:tcPr>
            <w:tcW w:w="6182" w:type="dxa"/>
          </w:tcPr>
          <w:p>
            <w:pPr>
              <w:pStyle w:val="37"/>
              <w:spacing w:before="21" w:line="300" w:lineRule="exact"/>
              <w:rPr>
                <w:color w:val="auto"/>
                <w:lang w:val="en-US" w:bidi="ar-SA"/>
              </w:rPr>
            </w:pPr>
            <w:r>
              <w:rPr>
                <w:rFonts w:hint="eastAsia"/>
                <w:color w:val="auto"/>
                <w:lang w:val="en-US" w:bidi="ar-SA"/>
              </w:rPr>
              <w:t>符合第二章“投标人须知前附表”第 3.3.1项规定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6"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61" w:line="300" w:lineRule="exact"/>
              <w:ind w:left="26"/>
              <w:jc w:val="center"/>
              <w:rPr>
                <w:color w:val="auto"/>
                <w:lang w:val="en-US" w:eastAsia="en-US" w:bidi="ar-SA"/>
              </w:rPr>
            </w:pPr>
            <w:r>
              <w:rPr>
                <w:rFonts w:hint="eastAsia"/>
                <w:color w:val="auto"/>
                <w:lang w:val="en-US" w:eastAsia="en-US" w:bidi="ar-SA"/>
              </w:rPr>
              <w:t>投标保证金</w:t>
            </w:r>
          </w:p>
        </w:tc>
        <w:tc>
          <w:tcPr>
            <w:tcW w:w="6182" w:type="dxa"/>
          </w:tcPr>
          <w:p>
            <w:pPr>
              <w:pStyle w:val="37"/>
              <w:spacing w:before="61" w:line="300" w:lineRule="exact"/>
              <w:rPr>
                <w:color w:val="auto"/>
                <w:lang w:val="en-US" w:bidi="ar-SA"/>
              </w:rPr>
            </w:pPr>
            <w:r>
              <w:rPr>
                <w:rFonts w:hint="eastAsia"/>
                <w:color w:val="auto"/>
                <w:lang w:val="en-US" w:bidi="ar-SA"/>
              </w:rPr>
              <w:t>符合第二章“投标人须知前附表”第 3.4.1项规定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7"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111" w:line="300" w:lineRule="exact"/>
              <w:ind w:left="26"/>
              <w:jc w:val="center"/>
              <w:rPr>
                <w:color w:val="auto"/>
                <w:lang w:val="en-US" w:eastAsia="en-US" w:bidi="ar-SA"/>
              </w:rPr>
            </w:pPr>
            <w:r>
              <w:rPr>
                <w:rFonts w:hint="eastAsia"/>
                <w:color w:val="auto"/>
                <w:lang w:val="en-US" w:eastAsia="en-US" w:bidi="ar-SA"/>
              </w:rPr>
              <w:t>投标报价</w:t>
            </w:r>
          </w:p>
        </w:tc>
        <w:tc>
          <w:tcPr>
            <w:tcW w:w="6182" w:type="dxa"/>
          </w:tcPr>
          <w:p>
            <w:pPr>
              <w:pStyle w:val="37"/>
              <w:spacing w:before="111" w:line="300" w:lineRule="exact"/>
              <w:rPr>
                <w:color w:val="auto"/>
                <w:lang w:val="en-US" w:eastAsia="en-US" w:bidi="ar-SA"/>
              </w:rPr>
            </w:pPr>
            <w:r>
              <w:rPr>
                <w:rFonts w:hint="eastAsia"/>
                <w:color w:val="auto"/>
                <w:lang w:val="en-US" w:eastAsia="en-US" w:bidi="ar-SA"/>
              </w:rPr>
              <w:t>不超过招标控制价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7"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111" w:line="300" w:lineRule="exact"/>
              <w:ind w:left="26"/>
              <w:jc w:val="center"/>
              <w:rPr>
                <w:color w:val="auto"/>
                <w:lang w:val="en-US" w:bidi="ar-SA"/>
              </w:rPr>
            </w:pPr>
            <w:r>
              <w:rPr>
                <w:rFonts w:hint="eastAsia"/>
                <w:color w:val="auto"/>
                <w:lang w:val="en-US" w:bidi="ar-SA"/>
              </w:rPr>
              <w:t>农民工工资保障承诺</w:t>
            </w:r>
          </w:p>
        </w:tc>
        <w:tc>
          <w:tcPr>
            <w:tcW w:w="6182" w:type="dxa"/>
          </w:tcPr>
          <w:p>
            <w:pPr>
              <w:pStyle w:val="37"/>
              <w:spacing w:before="111" w:line="300" w:lineRule="exact"/>
              <w:rPr>
                <w:color w:val="auto"/>
                <w:lang w:val="en-US" w:bidi="ar-SA"/>
              </w:rPr>
            </w:pPr>
            <w:r>
              <w:rPr>
                <w:rFonts w:hint="eastAsia"/>
                <w:color w:val="auto"/>
                <w:lang w:val="en-US" w:bidi="ar-SA"/>
              </w:rPr>
              <w:t>三项均承诺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111" w:line="300" w:lineRule="exact"/>
              <w:ind w:left="26"/>
              <w:jc w:val="center"/>
              <w:rPr>
                <w:color w:val="auto"/>
                <w:lang w:val="en-US" w:bidi="ar-SA"/>
              </w:rPr>
            </w:pPr>
            <w:r>
              <w:rPr>
                <w:rFonts w:hint="eastAsia"/>
                <w:color w:val="auto"/>
                <w:lang w:val="en-US" w:bidi="ar-SA"/>
              </w:rPr>
              <w:t>已标价工程量清单</w:t>
            </w:r>
          </w:p>
        </w:tc>
        <w:tc>
          <w:tcPr>
            <w:tcW w:w="6182" w:type="dxa"/>
          </w:tcPr>
          <w:p>
            <w:pPr>
              <w:pStyle w:val="37"/>
              <w:spacing w:before="111" w:line="300" w:lineRule="exact"/>
              <w:rPr>
                <w:color w:val="auto"/>
                <w:lang w:val="en-US" w:eastAsia="en-US" w:bidi="ar-SA"/>
              </w:rPr>
            </w:pPr>
            <w:r>
              <w:rPr>
                <w:rFonts w:hint="eastAsia"/>
                <w:color w:val="auto"/>
                <w:szCs w:val="21"/>
              </w:rPr>
              <w:t>符合第六章“工程量清单”给出的范围及数量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559" w:type="dxa"/>
            <w:vMerge w:val="continue"/>
          </w:tcPr>
          <w:p>
            <w:pPr>
              <w:rPr>
                <w:color w:val="auto"/>
              </w:rPr>
            </w:pPr>
          </w:p>
        </w:tc>
        <w:tc>
          <w:tcPr>
            <w:tcW w:w="595" w:type="dxa"/>
            <w:vMerge w:val="continue"/>
          </w:tcPr>
          <w:p>
            <w:pPr>
              <w:rPr>
                <w:color w:val="auto"/>
              </w:rPr>
            </w:pPr>
          </w:p>
        </w:tc>
        <w:tc>
          <w:tcPr>
            <w:tcW w:w="2086" w:type="dxa"/>
          </w:tcPr>
          <w:p>
            <w:pPr>
              <w:pStyle w:val="37"/>
              <w:spacing w:before="111" w:line="300" w:lineRule="exact"/>
              <w:ind w:left="26"/>
              <w:jc w:val="center"/>
              <w:rPr>
                <w:color w:val="auto"/>
                <w:lang w:val="en-US" w:bidi="ar-SA"/>
              </w:rPr>
            </w:pPr>
            <w:r>
              <w:rPr>
                <w:rFonts w:hint="eastAsia"/>
                <w:color w:val="auto"/>
                <w:lang w:val="en-US" w:bidi="ar-SA"/>
              </w:rPr>
              <w:t>其他</w:t>
            </w:r>
          </w:p>
        </w:tc>
        <w:tc>
          <w:tcPr>
            <w:tcW w:w="6182" w:type="dxa"/>
          </w:tcPr>
          <w:p>
            <w:pPr>
              <w:pStyle w:val="37"/>
              <w:spacing w:before="111" w:line="300" w:lineRule="exact"/>
              <w:rPr>
                <w:color w:val="auto"/>
                <w:szCs w:val="21"/>
              </w:rPr>
            </w:pPr>
            <w:r>
              <w:rPr>
                <w:rFonts w:hint="eastAsia"/>
                <w:color w:val="auto"/>
              </w:rPr>
              <w:t>招标文件的其他要求</w:t>
            </w:r>
          </w:p>
        </w:tc>
      </w:tr>
    </w:tbl>
    <w:p>
      <w:pPr>
        <w:widowControl/>
        <w:spacing w:line="360" w:lineRule="auto"/>
        <w:ind w:firstLine="422" w:firstLineChars="200"/>
        <w:jc w:val="left"/>
        <w:rPr>
          <w:rFonts w:ascii="宋体" w:hAnsi="宋体" w:cs="宋体"/>
          <w:color w:val="auto"/>
          <w:szCs w:val="21"/>
        </w:rPr>
      </w:pPr>
      <w:bookmarkStart w:id="420" w:name="_Toc246996995"/>
      <w:bookmarkStart w:id="421" w:name="_Toc246996252"/>
      <w:bookmarkStart w:id="422" w:name="_Toc15286"/>
      <w:bookmarkStart w:id="423" w:name="_Toc13831"/>
      <w:bookmarkStart w:id="424" w:name="_Toc144974577"/>
      <w:bookmarkStart w:id="425" w:name="_Toc152042387"/>
      <w:bookmarkStart w:id="426" w:name="_Toc26001"/>
      <w:bookmarkStart w:id="427" w:name="_Toc247085767"/>
      <w:bookmarkStart w:id="428" w:name="_Toc179632627"/>
      <w:bookmarkStart w:id="429" w:name="_Toc152045609"/>
      <w:r>
        <w:rPr>
          <w:rFonts w:hint="eastAsia" w:ascii="宋体" w:hAnsi="宋体" w:cs="宋体"/>
          <w:b/>
          <w:color w:val="auto"/>
          <w:kern w:val="0"/>
          <w:szCs w:val="21"/>
        </w:rPr>
        <w:t xml:space="preserve">1、评标办法 </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kern w:val="0"/>
          <w:szCs w:val="21"/>
        </w:rPr>
        <w:t xml:space="preserve">本次评标采用综合评估法。评标委员会对满足招标文件实质性要求的投标文件，按照详细评审标准进行打分，按照得分由高到低的顺序推荐前3名为中标候选人。当合计得分最高的出现相等时，按投标总报价由低到高的顺序排列；如总得分和投标总报价也相同时,按技术标得分由高到低的顺序排列；技术标得分相同时，按综合标得分由高到低的顺序排列。 </w:t>
      </w:r>
    </w:p>
    <w:p>
      <w:pPr>
        <w:widowControl/>
        <w:spacing w:line="360" w:lineRule="auto"/>
        <w:ind w:firstLine="422" w:firstLineChars="200"/>
        <w:jc w:val="left"/>
        <w:rPr>
          <w:rFonts w:ascii="宋体" w:hAnsi="宋体" w:cs="宋体"/>
          <w:color w:val="auto"/>
          <w:szCs w:val="21"/>
        </w:rPr>
      </w:pPr>
      <w:r>
        <w:rPr>
          <w:rFonts w:hint="eastAsia" w:ascii="宋体" w:hAnsi="宋体" w:cs="宋体"/>
          <w:b/>
          <w:color w:val="auto"/>
          <w:kern w:val="0"/>
          <w:szCs w:val="21"/>
        </w:rPr>
        <w:t xml:space="preserve">2、评审标准和程序 </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kern w:val="0"/>
          <w:szCs w:val="21"/>
        </w:rPr>
        <w:t xml:space="preserve">评标活动分为初步评审和详细评审等阶段。在评审阶段评标委员会应该对招标文件要求提供网页截图并提供查询途径的业绩、奖项以及提供承诺的信用等内容进行网上查询，确认其真实性、有效性。 </w:t>
      </w:r>
    </w:p>
    <w:p>
      <w:pPr>
        <w:widowControl/>
        <w:spacing w:line="360" w:lineRule="auto"/>
        <w:ind w:firstLine="422" w:firstLineChars="200"/>
        <w:jc w:val="left"/>
        <w:rPr>
          <w:rFonts w:ascii="宋体" w:hAnsi="宋体" w:cs="宋体"/>
          <w:color w:val="auto"/>
          <w:szCs w:val="21"/>
        </w:rPr>
      </w:pPr>
      <w:r>
        <w:rPr>
          <w:rFonts w:hint="eastAsia" w:ascii="宋体" w:hAnsi="宋体" w:cs="宋体"/>
          <w:b/>
          <w:color w:val="auto"/>
          <w:kern w:val="0"/>
          <w:szCs w:val="21"/>
        </w:rPr>
        <w:t xml:space="preserve">2.1 初步评审 </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kern w:val="0"/>
          <w:szCs w:val="21"/>
        </w:rPr>
        <w:t xml:space="preserve">2.1.1 评标委员会按招标文件评标办法前附表及商务标清标内容（附件 1）要求对投标文件的形式、响应性、资格条件等逐一进行评审。经审查不符合招标文件要求的，不再进入详细评审阶段；符合招标文件 要求的投标文件为有效投标文件，进入详细评审阶段，其报价为有效投标报价。 </w:t>
      </w:r>
    </w:p>
    <w:p>
      <w:pPr>
        <w:widowControl/>
        <w:spacing w:line="360" w:lineRule="auto"/>
        <w:ind w:firstLine="422" w:firstLineChars="200"/>
        <w:jc w:val="left"/>
        <w:rPr>
          <w:rFonts w:ascii="宋体" w:hAnsi="宋体" w:cs="宋体"/>
          <w:color w:val="auto"/>
          <w:szCs w:val="21"/>
        </w:rPr>
      </w:pPr>
      <w:r>
        <w:rPr>
          <w:rFonts w:hint="eastAsia" w:ascii="宋体" w:hAnsi="宋体" w:cs="宋体"/>
          <w:b/>
          <w:color w:val="auto"/>
          <w:kern w:val="0"/>
          <w:szCs w:val="21"/>
        </w:rPr>
        <w:t xml:space="preserve">2.1.3 投标人有以下情形之一的，按否决投标处理：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第二章“投标人须知”第 1.4.3 项规定的任何一种情形的；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串通投标或弄虚作假或有其他违法行为的；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不按评标委员会要求澄清、说明或补正的；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投标文件不按规定签字盖章的；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投标文件的关键内容字迹模糊，无法辨认的；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未按规定提交投标保证金或投标保函的；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投标人的投标报价高于最高投标限价或低于成本价的；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未按招标文件规定编制各项报价的；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投标人不按照招标文件提供的工程量清单及编码进行工程量清单综合单价分析的；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投标报价与其组成部分、工程量清单项目合价与综合单价、综合单价与人材机用量相互矛盾，致使评标委员会无法正常评审判定的；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规费和安全文明施工费违反工程造价计价有关规定的；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分部分项工程项目、措施项目报价中的项目编码、项目名称、项目特征、计量单位和工程量与招标文件的清单不一致的；主要材料价格表中的材料品种未包含招标人提供的主要材料价格表中的材料品种；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未按照招标文件所列明的暂列金额、暂估价编制投标报价的；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不同投标人的投标文件中列出的人工费、材料费、机械使用费、管理费及利润的价格构成部分或全部雷同的，不同投标人的投标报价或报价组成出现非正常一致，或呈现非正常规律性变化的；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对《洛阳市工程建设项目廉洁自律告知书》、《洛阳市工程建设项目廉洁自律承诺书》承诺的；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借用他人资质进行多重身份投标，不同的两家（或两家以上）投标人出现相同联系人的；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开标前已有反映，开标后发现各投标人的报价等与反映情况相吻合的；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投标人之间为谋取中标或者排斥特定投标人而联合采取行动的；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不同投标人的投标文件由同一单位或者个人编制；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不同投标人的投标文件及其它材料等相互混装的；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不同投标人的投标保证金来源于同一投标人或同一账户的；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不同投标人的投标文件的错漏之处非正常一致的；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不同投标人的投标文件载明的项目管理班子或其他成员存在相同人员的；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不同投标人的施工组织设计方案雷同的；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运用计算机硬件特征码识别技术、标书编制系统软证书识别技术、标书编制系统与计价软件特征码关联识别技术,发现不同投标人的投标文件出自同一台计算机的；通过电子评标系统雷同性分析技术，发现不同投标人的投标文件相互之间存在非正常雷同现象的；通过电子评标系统不平衡报价分析技术，发现不同投标人的投标文件相互之间存在过高报价或过低报价雷同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投标人之间事先约定中标者或相互约定抬高或者压低投标报价的；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属于同一法人组织、集团公司等组织成员的投标人,在投标中采取协同行动的；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技术标总得分低于 15 分的，其技术标为不合格，按否决投标处理；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 xml:space="preserve">项目经理未按要求参加答辩的，视为放弃投标，按无效投标处理； </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投标人的投标报价高于最高投标限价（招标控制价）表中所列各项费用的；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电子开评标系统对不同投标人的电子投标文件作出雷同性提示或预警的，资格评审委员会或评标委员会集体表决认定属于《中华人民共和国招标投标法实施条例》第四十条“视为投标人相互串通投标” 的情形，同时写出串（围）标行为认定报告并签字的；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hint="eastAsia" w:ascii="宋体" w:hAnsi="宋体" w:eastAsia="宋体" w:cs="宋体"/>
          <w:b/>
          <w:bCs/>
          <w:color w:val="auto"/>
          <w:kern w:val="0"/>
          <w:szCs w:val="21"/>
          <w:lang w:val="en-US" w:eastAsia="zh-CN"/>
        </w:rPr>
      </w:pPr>
      <w:r>
        <w:rPr>
          <w:rFonts w:hint="eastAsia" w:ascii="宋体" w:hAnsi="宋体" w:eastAsia="宋体" w:cs="宋体"/>
          <w:b/>
          <w:bCs/>
          <w:color w:val="auto"/>
          <w:kern w:val="0"/>
          <w:szCs w:val="21"/>
          <w:lang w:val="en-US" w:eastAsia="zh-CN"/>
        </w:rPr>
        <w:t>投标人递交的已标价工程量清单未记录软硬件信息或造价软件锁实名信息的，或者经认定， 记录的软硬件信息或造价软件锁实名信息被篡改的；</w:t>
      </w:r>
    </w:p>
    <w:p>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22" w:firstLineChars="200"/>
        <w:jc w:val="left"/>
        <w:textAlignment w:val="auto"/>
        <w:rPr>
          <w:rFonts w:ascii="宋体" w:hAnsi="宋体" w:cs="宋体"/>
          <w:color w:val="auto"/>
          <w:szCs w:val="21"/>
        </w:rPr>
      </w:pPr>
      <w:r>
        <w:rPr>
          <w:rFonts w:hint="eastAsia" w:ascii="宋体" w:hAnsi="宋体" w:eastAsia="宋体" w:cs="宋体"/>
          <w:b/>
          <w:bCs/>
          <w:color w:val="auto"/>
          <w:kern w:val="0"/>
          <w:szCs w:val="21"/>
        </w:rPr>
        <w:t>提供虚假材料或不符合法律、法规和本招标文件规定的其他</w:t>
      </w:r>
      <w:r>
        <w:rPr>
          <w:b/>
          <w:bCs/>
          <w:color w:val="auto"/>
          <w:spacing w:val="-15"/>
        </w:rPr>
        <w:t>实质性要求的。</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ascii="宋体" w:hAnsi="宋体" w:cs="宋体"/>
          <w:color w:val="auto"/>
          <w:szCs w:val="21"/>
        </w:rPr>
      </w:pPr>
      <w:r>
        <w:rPr>
          <w:rFonts w:hint="eastAsia" w:ascii="宋体" w:hAnsi="宋体" w:cs="宋体"/>
          <w:b w:val="0"/>
          <w:bCs w:val="0"/>
          <w:color w:val="auto"/>
          <w:kern w:val="0"/>
          <w:szCs w:val="21"/>
        </w:rPr>
        <w:t>评标委员会否决投标时应审慎。因招标文件或工程量清单表述歧义或逻辑错误等原因，造成投标文件表述不一致的，不作为否决投标的因素。投标人明显打字或排版错误且不影响实质内容的，评标委员会可要求投标人作出书面澄清、说明或补正，不予以否决投标。</w:t>
      </w:r>
      <w:r>
        <w:rPr>
          <w:rFonts w:hint="eastAsia" w:ascii="宋体" w:hAnsi="宋体" w:cs="宋体"/>
          <w:color w:val="auto"/>
          <w:kern w:val="0"/>
          <w:szCs w:val="21"/>
        </w:rPr>
        <w:t xml:space="preserve"> </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kern w:val="0"/>
          <w:szCs w:val="21"/>
        </w:rPr>
        <w:t xml:space="preserve">评标委员会根据《评标委员会和评标方法暂行规定》第二十七条，否决不合格投标或者界定为废标后，因有效投标不足三个使得投标明显缺乏竞争的，评标委员会可以否决全部投标。 </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kern w:val="0"/>
          <w:szCs w:val="21"/>
        </w:rPr>
        <w:t xml:space="preserve">2.1.4 投标报价有算术错误的，评标委员会按以下原则对投标报价进行修正，修正的价格经投标人书面确认后具有约束力。投标人不接受修正价格的，其投标作废标处理。 </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kern w:val="0"/>
          <w:szCs w:val="21"/>
        </w:rPr>
        <w:t xml:space="preserve">（1）投标文件中的大写金额与小写金额不一致的，以大写金额为准； </w:t>
      </w:r>
    </w:p>
    <w:p>
      <w:pPr>
        <w:widowControl/>
        <w:spacing w:line="360" w:lineRule="auto"/>
        <w:ind w:firstLine="420" w:firstLineChars="200"/>
        <w:jc w:val="left"/>
        <w:rPr>
          <w:rFonts w:ascii="宋体" w:hAnsi="宋体" w:cs="宋体"/>
          <w:color w:val="auto"/>
          <w:szCs w:val="21"/>
        </w:rPr>
      </w:pPr>
      <w:r>
        <w:rPr>
          <w:rFonts w:hint="eastAsia" w:ascii="宋体" w:hAnsi="宋体" w:cs="宋体"/>
          <w:color w:val="auto"/>
          <w:kern w:val="0"/>
          <w:szCs w:val="21"/>
        </w:rPr>
        <w:t xml:space="preserve">（2）总价金额与依据单价计算出的结果不一致的，以单价金额为准修正总价，但单价金额小数点有明显错误的除外。 </w:t>
      </w:r>
    </w:p>
    <w:p>
      <w:pPr>
        <w:widowControl/>
        <w:spacing w:line="360" w:lineRule="auto"/>
        <w:ind w:firstLine="422" w:firstLineChars="200"/>
        <w:jc w:val="left"/>
        <w:rPr>
          <w:rFonts w:ascii="宋体" w:hAnsi="宋体" w:cs="宋体"/>
          <w:color w:val="auto"/>
          <w:szCs w:val="21"/>
        </w:rPr>
      </w:pPr>
      <w:r>
        <w:rPr>
          <w:rFonts w:hint="eastAsia" w:ascii="宋体" w:hAnsi="宋体" w:cs="宋体"/>
          <w:b/>
          <w:color w:val="auto"/>
          <w:kern w:val="0"/>
          <w:szCs w:val="21"/>
        </w:rPr>
        <w:t xml:space="preserve">2.2 详细评审 </w:t>
      </w:r>
    </w:p>
    <w:p>
      <w:pPr>
        <w:widowControl/>
        <w:spacing w:line="360" w:lineRule="auto"/>
        <w:ind w:firstLine="420" w:firstLineChars="200"/>
        <w:jc w:val="left"/>
        <w:rPr>
          <w:color w:val="auto"/>
        </w:rPr>
      </w:pPr>
      <w:r>
        <w:rPr>
          <w:rFonts w:hint="eastAsia" w:ascii="宋体" w:hAnsi="宋体" w:cs="宋体"/>
          <w:color w:val="auto"/>
          <w:kern w:val="0"/>
          <w:szCs w:val="21"/>
        </w:rPr>
        <w:t>评标委员会对通过初步评审合格的有效投标文件，按照招标文件中明确的评标方式进行技术标、商务标、综合标的评审。</w:t>
      </w:r>
    </w:p>
    <w:p>
      <w:pPr>
        <w:rPr>
          <w:rFonts w:ascii="宋体" w:hAnsi="宋体" w:cs="宋体"/>
          <w:color w:val="auto"/>
          <w:szCs w:val="21"/>
        </w:rPr>
      </w:pPr>
      <w:r>
        <w:rPr>
          <w:rFonts w:hint="eastAsia" w:ascii="宋体" w:hAnsi="Arial" w:cs="宋体"/>
          <w:b/>
          <w:color w:val="auto"/>
          <w:kern w:val="1"/>
          <w:sz w:val="28"/>
          <w:szCs w:val="28"/>
        </w:rPr>
        <w:t>评 审 规 则</w:t>
      </w:r>
    </w:p>
    <w:p>
      <w:pPr>
        <w:pStyle w:val="16"/>
        <w:widowControl/>
        <w:numPr>
          <w:ilvl w:val="0"/>
          <w:numId w:val="5"/>
        </w:numPr>
        <w:spacing w:beforeAutospacing="0" w:afterAutospacing="0" w:line="360" w:lineRule="auto"/>
        <w:jc w:val="both"/>
        <w:rPr>
          <w:rFonts w:ascii="宋体" w:hAnsi="宋体" w:cs="宋体"/>
          <w:b/>
          <w:bCs/>
          <w:color w:val="auto"/>
          <w:sz w:val="21"/>
          <w:szCs w:val="21"/>
        </w:rPr>
      </w:pPr>
      <w:r>
        <w:rPr>
          <w:rFonts w:hint="eastAsia" w:ascii="宋体" w:hAnsi="宋体" w:cs="宋体"/>
          <w:b/>
          <w:bCs/>
          <w:color w:val="auto"/>
          <w:sz w:val="21"/>
          <w:szCs w:val="21"/>
        </w:rPr>
        <w:t>技术标的主要内容及评标分值：25分</w:t>
      </w:r>
    </w:p>
    <w:p>
      <w:pPr>
        <w:pStyle w:val="16"/>
        <w:widowControl/>
        <w:spacing w:beforeAutospacing="0" w:afterAutospacing="0" w:line="360" w:lineRule="auto"/>
        <w:jc w:val="both"/>
        <w:rPr>
          <w:color w:val="auto"/>
        </w:rPr>
      </w:pPr>
      <w:r>
        <w:rPr>
          <w:rFonts w:hint="eastAsia" w:ascii="宋体" w:hAnsi="宋体" w:cs="宋体"/>
          <w:b/>
          <w:bCs/>
          <w:color w:val="auto"/>
          <w:sz w:val="21"/>
          <w:szCs w:val="21"/>
        </w:rPr>
        <w:t>（一）技术标编制的主要内容及评标分值：20分</w:t>
      </w:r>
    </w:p>
    <w:p>
      <w:pPr>
        <w:pStyle w:val="16"/>
        <w:widowControl/>
        <w:spacing w:beforeAutospacing="0" w:afterAutospacing="0" w:line="360" w:lineRule="auto"/>
        <w:ind w:firstLine="422" w:firstLineChars="200"/>
        <w:jc w:val="both"/>
        <w:rPr>
          <w:rFonts w:ascii="宋体" w:hAnsi="宋体" w:cs="宋体"/>
          <w:b/>
          <w:bCs/>
          <w:color w:val="auto"/>
          <w:sz w:val="21"/>
          <w:szCs w:val="21"/>
        </w:rPr>
      </w:pPr>
      <w:r>
        <w:rPr>
          <w:rFonts w:hint="eastAsia" w:ascii="宋体" w:hAnsi="宋体" w:cs="宋体"/>
          <w:b/>
          <w:bCs/>
          <w:color w:val="auto"/>
          <w:sz w:val="21"/>
          <w:szCs w:val="21"/>
        </w:rPr>
        <w:t>1.主要施工方案与技术措施：0-2.5分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（1）工程概况（包括工程主要情况、设计简介和工程施工条件等)  0-0.5分；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（2）施工准备  0-0.5分；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（3）对主要分部、分项工程制定施工方案  0-1分；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（4）季节性施工等专项工程的技术措施  0-0.5分。</w:t>
      </w:r>
    </w:p>
    <w:p>
      <w:pPr>
        <w:pStyle w:val="16"/>
        <w:widowControl/>
        <w:spacing w:beforeAutospacing="0" w:afterAutospacing="0" w:line="360" w:lineRule="auto"/>
        <w:ind w:firstLine="422" w:firstLineChars="200"/>
        <w:jc w:val="both"/>
        <w:rPr>
          <w:rFonts w:ascii="宋体" w:hAnsi="宋体" w:cs="宋体"/>
          <w:b/>
          <w:bCs/>
          <w:color w:val="auto"/>
          <w:sz w:val="21"/>
          <w:szCs w:val="21"/>
        </w:rPr>
      </w:pPr>
      <w:r>
        <w:rPr>
          <w:rFonts w:hint="eastAsia" w:ascii="宋体" w:hAnsi="宋体" w:cs="宋体"/>
          <w:b/>
          <w:bCs/>
          <w:color w:val="auto"/>
          <w:sz w:val="21"/>
          <w:szCs w:val="21"/>
        </w:rPr>
        <w:t>2.质量管理体系与措施：0-2.5分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（1）质量管理的组织机构及职责  0-0.5分；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（2）项目质量目标、制度及保障措施  0-0.5分；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（3）关键分部主体结构、装饰装修等严格按照强制性标准实施  0-0.8分；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（4）建立项目建设过程质量检查制度，制定纠正和预防措施  0-0.7分。</w:t>
      </w:r>
    </w:p>
    <w:p>
      <w:pPr>
        <w:pStyle w:val="16"/>
        <w:widowControl/>
        <w:spacing w:beforeAutospacing="0" w:afterAutospacing="0" w:line="360" w:lineRule="auto"/>
        <w:ind w:firstLine="422" w:firstLineChars="200"/>
        <w:jc w:val="both"/>
        <w:rPr>
          <w:rFonts w:ascii="宋体" w:hAnsi="宋体" w:cs="宋体"/>
          <w:b/>
          <w:bCs/>
          <w:color w:val="auto"/>
          <w:sz w:val="21"/>
          <w:szCs w:val="21"/>
        </w:rPr>
      </w:pPr>
      <w:r>
        <w:rPr>
          <w:rFonts w:hint="eastAsia" w:ascii="宋体" w:hAnsi="宋体" w:cs="宋体"/>
          <w:b/>
          <w:bCs/>
          <w:color w:val="auto"/>
          <w:sz w:val="21"/>
          <w:szCs w:val="21"/>
        </w:rPr>
        <w:t>3.安全管理体系与措施：0-2.5分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（1）安全生产的组织机构及职责  0-0.5分；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（2）安全生产管理目标、制度与措施  0-0.5分；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（3）安全事故应急救援预案  0-0.5分；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（4）重大危险源及危险性较大的分部分项工程的识别、安全控制措施和应急预案  0-1分。</w:t>
      </w:r>
    </w:p>
    <w:p>
      <w:pPr>
        <w:pStyle w:val="16"/>
        <w:widowControl/>
        <w:spacing w:beforeAutospacing="0" w:afterAutospacing="0" w:line="360" w:lineRule="auto"/>
        <w:ind w:firstLine="422" w:firstLineChars="200"/>
        <w:jc w:val="both"/>
        <w:rPr>
          <w:rFonts w:ascii="宋体" w:hAnsi="宋体" w:cs="宋体"/>
          <w:b/>
          <w:bCs/>
          <w:color w:val="auto"/>
          <w:sz w:val="21"/>
          <w:szCs w:val="21"/>
        </w:rPr>
      </w:pPr>
      <w:r>
        <w:rPr>
          <w:rFonts w:hint="eastAsia" w:ascii="宋体" w:hAnsi="宋体" w:cs="宋体"/>
          <w:b/>
          <w:bCs/>
          <w:color w:val="auto"/>
          <w:sz w:val="21"/>
          <w:szCs w:val="21"/>
        </w:rPr>
        <w:t>4.文明施工、环境保护管理体系及施工现场扬尘治理措施： 0-2分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（1）文明施工、环境保护管理组织机构及职责  0-0.5分；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（2）创建安全文明标准化工地目标及计划  0-0.5分；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（3）文明施工管理措施  0-0.5分；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（4）扬尘污染防治方案及建筑垃圾处置方案  0-0.5分。</w:t>
      </w:r>
    </w:p>
    <w:p>
      <w:pPr>
        <w:pStyle w:val="16"/>
        <w:widowControl/>
        <w:spacing w:beforeAutospacing="0" w:afterAutospacing="0" w:line="360" w:lineRule="auto"/>
        <w:ind w:firstLine="422" w:firstLineChars="200"/>
        <w:jc w:val="both"/>
        <w:rPr>
          <w:rFonts w:ascii="宋体" w:hAnsi="宋体" w:cs="宋体"/>
          <w:b/>
          <w:bCs/>
          <w:color w:val="auto"/>
          <w:sz w:val="21"/>
          <w:szCs w:val="21"/>
        </w:rPr>
      </w:pPr>
      <w:r>
        <w:rPr>
          <w:rFonts w:hint="eastAsia" w:ascii="宋体" w:hAnsi="宋体" w:cs="宋体"/>
          <w:b/>
          <w:bCs/>
          <w:color w:val="auto"/>
          <w:sz w:val="21"/>
          <w:szCs w:val="21"/>
        </w:rPr>
        <w:t>5.工期保证措施：0-1分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（1）编制各施工节点，月、旬作业计划，定期落实计划实施  0-0.3分；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（2）交叉、流水施工作业方案  0-0.3分；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（3）合理调配机械、材料、劳动力方案  0-0.2分；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（4）设计、建设、施工、监理紧密配合，及时解决有关问题，有工期目标及奖惩办法  0-0.2分。</w:t>
      </w:r>
    </w:p>
    <w:p>
      <w:pPr>
        <w:pStyle w:val="16"/>
        <w:widowControl/>
        <w:spacing w:beforeAutospacing="0" w:afterAutospacing="0" w:line="360" w:lineRule="auto"/>
        <w:ind w:firstLine="422" w:firstLineChars="200"/>
        <w:jc w:val="both"/>
        <w:rPr>
          <w:rFonts w:ascii="宋体" w:hAnsi="宋体" w:cs="宋体"/>
          <w:b/>
          <w:bCs/>
          <w:color w:val="auto"/>
          <w:sz w:val="21"/>
          <w:szCs w:val="21"/>
        </w:rPr>
      </w:pPr>
      <w:r>
        <w:rPr>
          <w:rFonts w:hint="eastAsia" w:ascii="宋体" w:hAnsi="宋体" w:cs="宋体"/>
          <w:b/>
          <w:bCs/>
          <w:color w:val="auto"/>
          <w:sz w:val="21"/>
          <w:szCs w:val="21"/>
        </w:rPr>
        <w:t>6.拟投入资源配置计划：0-2.5分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（1）机械：设备及施工机具配置计划（含PC构件的运输、安装设备）总量及进退场时间0-0.8分；</w:t>
      </w:r>
    </w:p>
    <w:p>
      <w:pPr>
        <w:pStyle w:val="16"/>
        <w:widowControl/>
        <w:spacing w:beforeAutospacing="0" w:afterAutospacing="0" w:line="360" w:lineRule="auto"/>
        <w:ind w:firstLine="210" w:firstLineChars="100"/>
        <w:jc w:val="both"/>
        <w:rPr>
          <w:rFonts w:ascii="宋体" w:hAnsi="宋体" w:cs="宋体"/>
          <w:color w:val="auto"/>
          <w:sz w:val="21"/>
          <w:szCs w:val="21"/>
        </w:rPr>
      </w:pPr>
      <w:r>
        <w:rPr>
          <w:rFonts w:hint="eastAsia" w:ascii="宋体" w:hAnsi="宋体" w:cs="宋体"/>
          <w:color w:val="auto"/>
          <w:sz w:val="21"/>
          <w:szCs w:val="21"/>
        </w:rPr>
        <w:t>（2）劳动力：确定工程用工量并编制各施工阶段专业工种劳动力配置计划0-0.8分；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3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⑶</w:t>
      </w:r>
      <w:r>
        <w:rPr>
          <w:rFonts w:hint="eastAsia" w:ascii="宋体" w:hAnsi="宋体" w:cs="宋体"/>
          <w:color w:val="auto"/>
          <w:kern w:val="0"/>
          <w:szCs w:val="21"/>
        </w:rPr>
        <w:fldChar w:fldCharType="end"/>
      </w:r>
      <w:r>
        <w:rPr>
          <w:rFonts w:hint="eastAsia" w:ascii="宋体" w:hAnsi="宋体" w:cs="宋体"/>
          <w:color w:val="auto"/>
          <w:kern w:val="0"/>
          <w:szCs w:val="21"/>
        </w:rPr>
        <w:t xml:space="preserve"> 主要物资计划：主要物资（含PC构件的供应）配置计划0-0.9分。</w:t>
      </w:r>
    </w:p>
    <w:p>
      <w:pPr>
        <w:spacing w:line="580" w:lineRule="exact"/>
        <w:ind w:firstLine="422" w:firstLineChars="200"/>
        <w:rPr>
          <w:rFonts w:ascii="宋体" w:hAnsi="宋体" w:cs="宋体"/>
          <w:b/>
          <w:bCs/>
          <w:color w:val="auto"/>
          <w:kern w:val="0"/>
          <w:szCs w:val="21"/>
        </w:rPr>
      </w:pPr>
      <w:r>
        <w:rPr>
          <w:rFonts w:hint="eastAsia" w:ascii="宋体" w:hAnsi="宋体" w:cs="宋体"/>
          <w:b/>
          <w:bCs/>
          <w:color w:val="auto"/>
          <w:kern w:val="0"/>
          <w:szCs w:val="21"/>
        </w:rPr>
        <w:t>7.施工进度表与网络计划图：1分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1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⑴</w:t>
      </w:r>
      <w:r>
        <w:rPr>
          <w:rFonts w:hint="eastAsia" w:ascii="宋体" w:hAnsi="宋体" w:cs="宋体"/>
          <w:color w:val="auto"/>
          <w:kern w:val="0"/>
          <w:szCs w:val="21"/>
        </w:rPr>
        <w:fldChar w:fldCharType="end"/>
      </w:r>
      <w:r>
        <w:rPr>
          <w:rFonts w:hint="eastAsia" w:ascii="宋体" w:hAnsi="宋体" w:cs="宋体"/>
          <w:color w:val="auto"/>
          <w:kern w:val="0"/>
          <w:szCs w:val="21"/>
        </w:rPr>
        <w:t xml:space="preserve"> 关键线路清晰、准确、完整、满足招标文件对工期的要求  0-0.5分；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2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⑵</w:t>
      </w:r>
      <w:r>
        <w:rPr>
          <w:rFonts w:hint="eastAsia" w:ascii="宋体" w:hAnsi="宋体" w:cs="宋体"/>
          <w:color w:val="auto"/>
          <w:kern w:val="0"/>
          <w:szCs w:val="21"/>
        </w:rPr>
        <w:fldChar w:fldCharType="end"/>
      </w:r>
      <w:r>
        <w:rPr>
          <w:rFonts w:hint="eastAsia" w:ascii="宋体" w:hAnsi="宋体" w:cs="宋体"/>
          <w:color w:val="auto"/>
          <w:kern w:val="0"/>
          <w:szCs w:val="21"/>
        </w:rPr>
        <w:t xml:space="preserve"> 计划编制合理、可行，满足招标文件对工期的要求  0-0.5分。</w:t>
      </w:r>
    </w:p>
    <w:p>
      <w:pPr>
        <w:spacing w:line="580" w:lineRule="exact"/>
        <w:ind w:firstLine="422" w:firstLineChars="200"/>
        <w:rPr>
          <w:rFonts w:ascii="宋体" w:hAnsi="宋体" w:cs="宋体"/>
          <w:b/>
          <w:bCs/>
          <w:color w:val="auto"/>
          <w:kern w:val="0"/>
          <w:szCs w:val="21"/>
        </w:rPr>
      </w:pPr>
      <w:r>
        <w:rPr>
          <w:rFonts w:hint="eastAsia" w:ascii="宋体" w:hAnsi="宋体" w:cs="宋体"/>
          <w:b/>
          <w:bCs/>
          <w:color w:val="auto"/>
          <w:kern w:val="0"/>
          <w:szCs w:val="21"/>
        </w:rPr>
        <w:t>8.施工总平面图布置：0.5分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1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⑴</w:t>
      </w:r>
      <w:r>
        <w:rPr>
          <w:rFonts w:hint="eastAsia" w:ascii="宋体" w:hAnsi="宋体" w:cs="宋体"/>
          <w:color w:val="auto"/>
          <w:kern w:val="0"/>
          <w:szCs w:val="21"/>
        </w:rPr>
        <w:fldChar w:fldCharType="end"/>
      </w:r>
      <w:r>
        <w:rPr>
          <w:rFonts w:hint="eastAsia" w:ascii="宋体" w:hAnsi="宋体" w:cs="宋体"/>
          <w:color w:val="auto"/>
          <w:kern w:val="0"/>
          <w:szCs w:val="21"/>
        </w:rPr>
        <w:t xml:space="preserve"> 拟建建筑物和其他基础设施的位置  0-0.2分；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2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⑵</w:t>
      </w:r>
      <w:r>
        <w:rPr>
          <w:rFonts w:hint="eastAsia" w:ascii="宋体" w:hAnsi="宋体" w:cs="宋体"/>
          <w:color w:val="auto"/>
          <w:kern w:val="0"/>
          <w:szCs w:val="21"/>
        </w:rPr>
        <w:fldChar w:fldCharType="end"/>
      </w:r>
      <w:r>
        <w:rPr>
          <w:rFonts w:hint="eastAsia" w:ascii="宋体" w:hAnsi="宋体" w:cs="宋体"/>
          <w:color w:val="auto"/>
          <w:kern w:val="0"/>
          <w:szCs w:val="21"/>
        </w:rPr>
        <w:t xml:space="preserve"> 施工用地范围内的加工设施、垂直运输、供电、供水、排水排污、临时道路和办公生活用房的位置与尺寸，并应有文字说明  0-0.2分；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3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⑶</w:t>
      </w:r>
      <w:r>
        <w:rPr>
          <w:rFonts w:hint="eastAsia" w:ascii="宋体" w:hAnsi="宋体" w:cs="宋体"/>
          <w:color w:val="auto"/>
          <w:kern w:val="0"/>
          <w:szCs w:val="21"/>
        </w:rPr>
        <w:fldChar w:fldCharType="end"/>
      </w:r>
      <w:r>
        <w:rPr>
          <w:rFonts w:hint="eastAsia" w:ascii="宋体" w:hAnsi="宋体" w:cs="宋体"/>
          <w:color w:val="auto"/>
          <w:kern w:val="0"/>
          <w:szCs w:val="21"/>
        </w:rPr>
        <w:t xml:space="preserve"> 施工现场必备的安全、消防、保卫和环境保护等设施0-0.1分。</w:t>
      </w:r>
    </w:p>
    <w:p>
      <w:pPr>
        <w:spacing w:line="580" w:lineRule="exact"/>
        <w:ind w:firstLine="422" w:firstLineChars="200"/>
        <w:rPr>
          <w:rFonts w:ascii="宋体" w:hAnsi="宋体" w:cs="宋体"/>
          <w:b/>
          <w:bCs/>
          <w:color w:val="auto"/>
          <w:kern w:val="0"/>
          <w:szCs w:val="21"/>
        </w:rPr>
      </w:pPr>
      <w:r>
        <w:rPr>
          <w:rFonts w:hint="eastAsia" w:ascii="宋体" w:hAnsi="宋体" w:cs="宋体"/>
          <w:b/>
          <w:bCs/>
          <w:color w:val="auto"/>
          <w:kern w:val="0"/>
          <w:szCs w:val="21"/>
        </w:rPr>
        <w:t>9.技术创新的应用实施措施：1分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1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⑴</w:t>
      </w:r>
      <w:r>
        <w:rPr>
          <w:rFonts w:hint="eastAsia" w:ascii="宋体" w:hAnsi="宋体" w:cs="宋体"/>
          <w:color w:val="auto"/>
          <w:kern w:val="0"/>
          <w:szCs w:val="21"/>
        </w:rPr>
        <w:fldChar w:fldCharType="end"/>
      </w:r>
      <w:r>
        <w:rPr>
          <w:rFonts w:hint="eastAsia" w:ascii="宋体" w:hAnsi="宋体" w:cs="宋体"/>
          <w:color w:val="auto"/>
          <w:kern w:val="0"/>
          <w:szCs w:val="21"/>
        </w:rPr>
        <w:t xml:space="preserve"> 节能减排应用实施措施  0-0.25分；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2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⑵</w:t>
      </w:r>
      <w:r>
        <w:rPr>
          <w:rFonts w:hint="eastAsia" w:ascii="宋体" w:hAnsi="宋体" w:cs="宋体"/>
          <w:color w:val="auto"/>
          <w:kern w:val="0"/>
          <w:szCs w:val="21"/>
        </w:rPr>
        <w:fldChar w:fldCharType="end"/>
      </w:r>
      <w:r>
        <w:rPr>
          <w:rFonts w:hint="eastAsia" w:ascii="宋体" w:hAnsi="宋体" w:cs="宋体"/>
          <w:color w:val="auto"/>
          <w:kern w:val="0"/>
          <w:szCs w:val="21"/>
        </w:rPr>
        <w:t xml:space="preserve"> 绿色施工应用实施措施  0-0.25分；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3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⑶</w:t>
      </w:r>
      <w:r>
        <w:rPr>
          <w:rFonts w:hint="eastAsia" w:ascii="宋体" w:hAnsi="宋体" w:cs="宋体"/>
          <w:color w:val="auto"/>
          <w:kern w:val="0"/>
          <w:szCs w:val="21"/>
        </w:rPr>
        <w:fldChar w:fldCharType="end"/>
      </w:r>
      <w:r>
        <w:rPr>
          <w:rFonts w:hint="eastAsia" w:ascii="宋体" w:hAnsi="宋体" w:cs="宋体"/>
          <w:color w:val="auto"/>
          <w:kern w:val="0"/>
          <w:szCs w:val="21"/>
        </w:rPr>
        <w:t xml:space="preserve"> 工艺创新应用实施措施  0-0.25分 ；</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4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⑷</w:t>
      </w:r>
      <w:r>
        <w:rPr>
          <w:rFonts w:hint="eastAsia" w:ascii="宋体" w:hAnsi="宋体" w:cs="宋体"/>
          <w:color w:val="auto"/>
          <w:kern w:val="0"/>
          <w:szCs w:val="21"/>
        </w:rPr>
        <w:fldChar w:fldCharType="end"/>
      </w:r>
      <w:r>
        <w:rPr>
          <w:rFonts w:hint="eastAsia" w:ascii="宋体" w:hAnsi="宋体" w:cs="宋体"/>
          <w:color w:val="auto"/>
          <w:kern w:val="0"/>
          <w:szCs w:val="21"/>
        </w:rPr>
        <w:t xml:space="preserve"> 装配式建筑应用实施措施 （结合施工图确定） 0-0.25分。</w:t>
      </w:r>
    </w:p>
    <w:p>
      <w:pPr>
        <w:spacing w:line="580" w:lineRule="exact"/>
        <w:ind w:firstLine="316" w:firstLineChars="150"/>
        <w:rPr>
          <w:rFonts w:ascii="宋体" w:hAnsi="宋体" w:cs="宋体"/>
          <w:b/>
          <w:bCs/>
          <w:color w:val="auto"/>
          <w:kern w:val="0"/>
          <w:szCs w:val="21"/>
        </w:rPr>
      </w:pPr>
      <w:r>
        <w:rPr>
          <w:rFonts w:hint="eastAsia" w:ascii="宋体" w:hAnsi="宋体" w:cs="宋体"/>
          <w:b/>
          <w:bCs/>
          <w:color w:val="auto"/>
          <w:kern w:val="0"/>
          <w:szCs w:val="21"/>
        </w:rPr>
        <w:t>10.采用新工艺、新技术、新设备、新材料、BIM技术等的程度：1分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1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⑴</w:t>
      </w:r>
      <w:r>
        <w:rPr>
          <w:rFonts w:hint="eastAsia" w:ascii="宋体" w:hAnsi="宋体" w:cs="宋体"/>
          <w:color w:val="auto"/>
          <w:kern w:val="0"/>
          <w:szCs w:val="21"/>
        </w:rPr>
        <w:fldChar w:fldCharType="end"/>
      </w:r>
      <w:r>
        <w:rPr>
          <w:rFonts w:hint="eastAsia" w:ascii="宋体" w:hAnsi="宋体" w:cs="宋体"/>
          <w:color w:val="auto"/>
          <w:kern w:val="0"/>
          <w:szCs w:val="21"/>
        </w:rPr>
        <w:t xml:space="preserve"> 采用新工艺的程度  0-0.2分；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2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⑵</w:t>
      </w:r>
      <w:r>
        <w:rPr>
          <w:rFonts w:hint="eastAsia" w:ascii="宋体" w:hAnsi="宋体" w:cs="宋体"/>
          <w:color w:val="auto"/>
          <w:kern w:val="0"/>
          <w:szCs w:val="21"/>
        </w:rPr>
        <w:fldChar w:fldCharType="end"/>
      </w:r>
      <w:r>
        <w:rPr>
          <w:rFonts w:hint="eastAsia" w:ascii="宋体" w:hAnsi="宋体" w:cs="宋体"/>
          <w:color w:val="auto"/>
          <w:kern w:val="0"/>
          <w:szCs w:val="21"/>
        </w:rPr>
        <w:t xml:space="preserve"> 采用新技术的程度  0-0.2分；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3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⑶</w:t>
      </w:r>
      <w:r>
        <w:rPr>
          <w:rFonts w:hint="eastAsia" w:ascii="宋体" w:hAnsi="宋体" w:cs="宋体"/>
          <w:color w:val="auto"/>
          <w:kern w:val="0"/>
          <w:szCs w:val="21"/>
        </w:rPr>
        <w:fldChar w:fldCharType="end"/>
      </w:r>
      <w:r>
        <w:rPr>
          <w:rFonts w:hint="eastAsia" w:ascii="宋体" w:hAnsi="宋体" w:cs="宋体"/>
          <w:color w:val="auto"/>
          <w:kern w:val="0"/>
          <w:szCs w:val="21"/>
        </w:rPr>
        <w:t xml:space="preserve"> 采用新设备的程度  0-0.2分；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4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⑷</w:t>
      </w:r>
      <w:r>
        <w:rPr>
          <w:rFonts w:hint="eastAsia" w:ascii="宋体" w:hAnsi="宋体" w:cs="宋体"/>
          <w:color w:val="auto"/>
          <w:kern w:val="0"/>
          <w:szCs w:val="21"/>
        </w:rPr>
        <w:fldChar w:fldCharType="end"/>
      </w:r>
      <w:r>
        <w:rPr>
          <w:rFonts w:hint="eastAsia" w:ascii="宋体" w:hAnsi="宋体" w:cs="宋体"/>
          <w:color w:val="auto"/>
          <w:kern w:val="0"/>
          <w:szCs w:val="21"/>
        </w:rPr>
        <w:t xml:space="preserve"> 采用新材料的程度  0-0.2分；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5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⑸</w:t>
      </w:r>
      <w:r>
        <w:rPr>
          <w:rFonts w:hint="eastAsia" w:ascii="宋体" w:hAnsi="宋体" w:cs="宋体"/>
          <w:color w:val="auto"/>
          <w:kern w:val="0"/>
          <w:szCs w:val="21"/>
        </w:rPr>
        <w:fldChar w:fldCharType="end"/>
      </w:r>
      <w:r>
        <w:rPr>
          <w:rFonts w:hint="eastAsia" w:ascii="宋体" w:hAnsi="宋体" w:cs="宋体"/>
          <w:color w:val="auto"/>
          <w:kern w:val="0"/>
          <w:szCs w:val="21"/>
        </w:rPr>
        <w:t xml:space="preserve"> 采用BIM技术的程度  0-0.2分。</w:t>
      </w:r>
    </w:p>
    <w:p>
      <w:pPr>
        <w:spacing w:line="580" w:lineRule="exact"/>
        <w:ind w:firstLine="422" w:firstLineChars="200"/>
        <w:rPr>
          <w:rFonts w:ascii="宋体" w:hAnsi="宋体" w:cs="宋体"/>
          <w:b/>
          <w:bCs/>
          <w:color w:val="auto"/>
          <w:kern w:val="0"/>
          <w:szCs w:val="21"/>
        </w:rPr>
      </w:pPr>
      <w:r>
        <w:rPr>
          <w:rFonts w:hint="eastAsia" w:ascii="宋体" w:hAnsi="宋体" w:cs="宋体"/>
          <w:b/>
          <w:bCs/>
          <w:color w:val="auto"/>
          <w:kern w:val="0"/>
          <w:szCs w:val="21"/>
        </w:rPr>
        <w:t>11.施工现场实施信息化监控和数据处理：0.5分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1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⑴</w:t>
      </w:r>
      <w:r>
        <w:rPr>
          <w:rFonts w:hint="eastAsia" w:ascii="宋体" w:hAnsi="宋体" w:cs="宋体"/>
          <w:color w:val="auto"/>
          <w:kern w:val="0"/>
          <w:szCs w:val="21"/>
        </w:rPr>
        <w:fldChar w:fldCharType="end"/>
      </w:r>
      <w:r>
        <w:rPr>
          <w:rFonts w:hint="eastAsia" w:ascii="宋体" w:hAnsi="宋体" w:cs="宋体"/>
          <w:color w:val="auto"/>
          <w:kern w:val="0"/>
          <w:szCs w:val="21"/>
        </w:rPr>
        <w:t xml:space="preserve"> 施工现场信息化监控的布置  0-0.25分；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2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⑵</w:t>
      </w:r>
      <w:r>
        <w:rPr>
          <w:rFonts w:hint="eastAsia" w:ascii="宋体" w:hAnsi="宋体" w:cs="宋体"/>
          <w:color w:val="auto"/>
          <w:kern w:val="0"/>
          <w:szCs w:val="21"/>
        </w:rPr>
        <w:fldChar w:fldCharType="end"/>
      </w:r>
      <w:r>
        <w:rPr>
          <w:rFonts w:hint="eastAsia" w:ascii="宋体" w:hAnsi="宋体" w:cs="宋体"/>
          <w:color w:val="auto"/>
          <w:kern w:val="0"/>
          <w:szCs w:val="21"/>
        </w:rPr>
        <w:t xml:space="preserve"> 数据处理系统  0-0.25分。</w:t>
      </w:r>
    </w:p>
    <w:p>
      <w:pPr>
        <w:spacing w:line="580" w:lineRule="exact"/>
        <w:ind w:firstLine="422" w:firstLineChars="200"/>
        <w:rPr>
          <w:rFonts w:ascii="宋体" w:hAnsi="宋体" w:cs="宋体"/>
          <w:b/>
          <w:bCs/>
          <w:color w:val="auto"/>
          <w:kern w:val="0"/>
          <w:szCs w:val="21"/>
        </w:rPr>
      </w:pPr>
      <w:r>
        <w:rPr>
          <w:rFonts w:hint="eastAsia" w:ascii="宋体" w:hAnsi="宋体" w:cs="宋体"/>
          <w:b/>
          <w:bCs/>
          <w:color w:val="auto"/>
          <w:kern w:val="0"/>
          <w:szCs w:val="21"/>
        </w:rPr>
        <w:t>12.风险管理措施：1分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1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⑴</w:t>
      </w:r>
      <w:r>
        <w:rPr>
          <w:rFonts w:hint="eastAsia" w:ascii="宋体" w:hAnsi="宋体" w:cs="宋体"/>
          <w:color w:val="auto"/>
          <w:kern w:val="0"/>
          <w:szCs w:val="21"/>
        </w:rPr>
        <w:fldChar w:fldCharType="end"/>
      </w:r>
      <w:r>
        <w:rPr>
          <w:rFonts w:hint="eastAsia" w:ascii="宋体" w:hAnsi="宋体" w:cs="宋体"/>
          <w:color w:val="auto"/>
          <w:kern w:val="0"/>
          <w:szCs w:val="21"/>
        </w:rPr>
        <w:t xml:space="preserve"> 项目重点难点分析及预防措施  0-0.25分；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2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⑵</w:t>
      </w:r>
      <w:r>
        <w:rPr>
          <w:rFonts w:hint="eastAsia" w:ascii="宋体" w:hAnsi="宋体" w:cs="宋体"/>
          <w:color w:val="auto"/>
          <w:kern w:val="0"/>
          <w:szCs w:val="21"/>
        </w:rPr>
        <w:fldChar w:fldCharType="end"/>
      </w:r>
      <w:r>
        <w:rPr>
          <w:rFonts w:hint="eastAsia" w:ascii="宋体" w:hAnsi="宋体" w:cs="宋体"/>
          <w:color w:val="auto"/>
          <w:kern w:val="0"/>
          <w:szCs w:val="21"/>
        </w:rPr>
        <w:t xml:space="preserve"> 施工质量风险分析及预防措施 0-0.25分；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3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⑶</w:t>
      </w:r>
      <w:r>
        <w:rPr>
          <w:rFonts w:hint="eastAsia" w:ascii="宋体" w:hAnsi="宋体" w:cs="宋体"/>
          <w:color w:val="auto"/>
          <w:kern w:val="0"/>
          <w:szCs w:val="21"/>
        </w:rPr>
        <w:fldChar w:fldCharType="end"/>
      </w:r>
      <w:r>
        <w:rPr>
          <w:rFonts w:hint="eastAsia" w:ascii="宋体" w:hAnsi="宋体" w:cs="宋体"/>
          <w:color w:val="auto"/>
          <w:kern w:val="0"/>
          <w:szCs w:val="21"/>
        </w:rPr>
        <w:t xml:space="preserve"> 安全风险的分析及预防措施  0-0.25分；</w:t>
      </w:r>
    </w:p>
    <w:p>
      <w:pPr>
        <w:spacing w:line="580" w:lineRule="exact"/>
        <w:ind w:firstLine="420" w:firstLineChars="200"/>
        <w:rPr>
          <w:rFonts w:ascii="宋体" w:hAnsi="宋体" w:cs="宋体"/>
          <w:color w:val="auto"/>
          <w:kern w:val="0"/>
          <w:szCs w:val="21"/>
        </w:rPr>
      </w:pPr>
      <w:r>
        <w:rPr>
          <w:rFonts w:hint="eastAsia" w:ascii="宋体" w:hAnsi="宋体" w:cs="宋体"/>
          <w:color w:val="auto"/>
          <w:kern w:val="0"/>
          <w:szCs w:val="21"/>
        </w:rPr>
        <w:fldChar w:fldCharType="begin"/>
      </w:r>
      <w:r>
        <w:rPr>
          <w:rFonts w:hint="eastAsia" w:ascii="宋体" w:hAnsi="宋体" w:cs="宋体"/>
          <w:color w:val="auto"/>
          <w:kern w:val="0"/>
          <w:szCs w:val="21"/>
        </w:rPr>
        <w:instrText xml:space="preserve"> = 4 \* GB2 </w:instrText>
      </w:r>
      <w:r>
        <w:rPr>
          <w:rFonts w:hint="eastAsia" w:ascii="宋体" w:hAnsi="宋体" w:cs="宋体"/>
          <w:color w:val="auto"/>
          <w:kern w:val="0"/>
          <w:szCs w:val="21"/>
        </w:rPr>
        <w:fldChar w:fldCharType="separate"/>
      </w:r>
      <w:r>
        <w:rPr>
          <w:rFonts w:hint="eastAsia" w:ascii="宋体" w:hAnsi="宋体" w:cs="宋体"/>
          <w:color w:val="auto"/>
          <w:kern w:val="0"/>
          <w:szCs w:val="21"/>
        </w:rPr>
        <w:t>⑷</w:t>
      </w:r>
      <w:r>
        <w:rPr>
          <w:rFonts w:hint="eastAsia" w:ascii="宋体" w:hAnsi="宋体" w:cs="宋体"/>
          <w:color w:val="auto"/>
          <w:kern w:val="0"/>
          <w:szCs w:val="21"/>
        </w:rPr>
        <w:fldChar w:fldCharType="end"/>
      </w:r>
      <w:r>
        <w:rPr>
          <w:rFonts w:hint="eastAsia" w:ascii="宋体" w:hAnsi="宋体" w:cs="宋体"/>
          <w:color w:val="auto"/>
          <w:kern w:val="0"/>
          <w:szCs w:val="21"/>
        </w:rPr>
        <w:t xml:space="preserve"> 工程造价风险的分析和预防措施  0-0.25分。</w:t>
      </w:r>
    </w:p>
    <w:p>
      <w:pPr>
        <w:pStyle w:val="16"/>
        <w:widowControl/>
        <w:spacing w:beforeAutospacing="0" w:afterAutospacing="0" w:line="360" w:lineRule="auto"/>
        <w:ind w:firstLine="422" w:firstLineChars="200"/>
        <w:jc w:val="both"/>
        <w:rPr>
          <w:rFonts w:ascii="宋体" w:hAnsi="宋体" w:cs="宋体"/>
          <w:b/>
          <w:bCs/>
          <w:color w:val="auto"/>
          <w:sz w:val="21"/>
          <w:szCs w:val="21"/>
        </w:rPr>
      </w:pPr>
      <w:r>
        <w:rPr>
          <w:rFonts w:hint="eastAsia" w:ascii="宋体" w:hAnsi="宋体" w:cs="宋体"/>
          <w:b/>
          <w:bCs/>
          <w:color w:val="auto"/>
          <w:sz w:val="21"/>
          <w:szCs w:val="21"/>
        </w:rPr>
        <w:t>13.内容完整性和编制水平： 1-2分</w:t>
      </w:r>
    </w:p>
    <w:p>
      <w:pPr>
        <w:pStyle w:val="16"/>
        <w:widowControl/>
        <w:spacing w:beforeAutospacing="0" w:afterAutospacing="0" w:line="360" w:lineRule="auto"/>
        <w:ind w:firstLine="422" w:firstLineChars="200"/>
        <w:jc w:val="both"/>
        <w:rPr>
          <w:rFonts w:ascii="宋体" w:hAnsi="宋体" w:cs="宋体"/>
          <w:b/>
          <w:bCs/>
          <w:color w:val="auto"/>
          <w:sz w:val="21"/>
          <w:szCs w:val="21"/>
        </w:rPr>
      </w:pPr>
      <w:r>
        <w:rPr>
          <w:rFonts w:hint="eastAsia" w:ascii="宋体" w:hAnsi="宋体" w:cs="宋体"/>
          <w:b/>
          <w:bCs/>
          <w:color w:val="auto"/>
          <w:sz w:val="21"/>
          <w:szCs w:val="21"/>
        </w:rPr>
        <w:t>(二)项目经理现场答辩的主要内容及评标分值:0-5分</w:t>
      </w:r>
    </w:p>
    <w:p>
      <w:pPr>
        <w:spacing w:line="580" w:lineRule="exact"/>
        <w:ind w:firstLine="420" w:firstLineChars="200"/>
        <w:rPr>
          <w:color w:val="auto"/>
        </w:rPr>
      </w:pPr>
      <w:r>
        <w:rPr>
          <w:rFonts w:hint="eastAsia"/>
          <w:color w:val="auto"/>
        </w:rPr>
        <w:t xml:space="preserve">（1）现场答辩要求：  </w:t>
      </w:r>
    </w:p>
    <w:p>
      <w:pPr>
        <w:spacing w:line="580" w:lineRule="exact"/>
        <w:ind w:firstLine="420" w:firstLineChars="200"/>
        <w:rPr>
          <w:color w:val="auto"/>
        </w:rPr>
      </w:pPr>
      <w:r>
        <w:rPr>
          <w:rFonts w:hint="eastAsia"/>
          <w:color w:val="auto"/>
        </w:rPr>
        <w:t xml:space="preserve">答辩人：投标人拟派项目经理；  </w:t>
      </w:r>
    </w:p>
    <w:p>
      <w:pPr>
        <w:spacing w:line="580" w:lineRule="exact"/>
        <w:ind w:firstLine="420" w:firstLineChars="200"/>
        <w:rPr>
          <w:color w:val="auto"/>
        </w:rPr>
      </w:pPr>
      <w:r>
        <w:rPr>
          <w:rFonts w:hint="eastAsia"/>
          <w:color w:val="auto"/>
        </w:rPr>
        <w:t xml:space="preserve">时间要求：不超过5分钟；  </w:t>
      </w:r>
    </w:p>
    <w:p>
      <w:pPr>
        <w:spacing w:line="580" w:lineRule="exact"/>
        <w:ind w:firstLine="420" w:firstLineChars="200"/>
        <w:rPr>
          <w:color w:val="auto"/>
        </w:rPr>
      </w:pPr>
      <w:r>
        <w:rPr>
          <w:rFonts w:hint="eastAsia"/>
          <w:color w:val="auto"/>
        </w:rPr>
        <w:t xml:space="preserve">答辩形式：项目经理述标采用不见面远程述标形式，项目经理无需到评标现场述标。  </w:t>
      </w:r>
    </w:p>
    <w:p>
      <w:pPr>
        <w:spacing w:line="580" w:lineRule="exact"/>
        <w:ind w:firstLine="420" w:firstLineChars="200"/>
        <w:rPr>
          <w:color w:val="auto"/>
        </w:rPr>
      </w:pPr>
      <w:r>
        <w:rPr>
          <w:rFonts w:hint="eastAsia"/>
          <w:color w:val="auto"/>
        </w:rPr>
        <w:t>（2）现场答辩内容及评分标准：</w:t>
      </w:r>
    </w:p>
    <w:p>
      <w:pPr>
        <w:spacing w:line="580" w:lineRule="exact"/>
        <w:ind w:firstLine="420" w:firstLineChars="200"/>
        <w:rPr>
          <w:color w:val="auto"/>
        </w:rPr>
      </w:pPr>
      <w:r>
        <w:rPr>
          <w:rFonts w:hint="eastAsia"/>
          <w:color w:val="auto"/>
        </w:rPr>
        <w:t xml:space="preserve">由投标人拟派项目经理对本项目施工工作进行现场答辩，评标委员会根据现场答辩情况合理打分。评 分内容及标准如下：  </w:t>
      </w:r>
    </w:p>
    <w:p>
      <w:pPr>
        <w:spacing w:line="580" w:lineRule="exact"/>
        <w:ind w:firstLine="420" w:firstLineChars="200"/>
        <w:rPr>
          <w:color w:val="auto"/>
        </w:rPr>
      </w:pPr>
      <w:r>
        <w:rPr>
          <w:rFonts w:hint="eastAsia"/>
          <w:color w:val="auto"/>
        </w:rPr>
        <w:t>①本项目施工方案及重点难点控制措施论述：3分。</w:t>
      </w:r>
    </w:p>
    <w:p>
      <w:pPr>
        <w:spacing w:line="580" w:lineRule="exact"/>
        <w:ind w:firstLine="420" w:firstLineChars="200"/>
        <w:rPr>
          <w:color w:val="auto"/>
        </w:rPr>
      </w:pPr>
      <w:r>
        <w:rPr>
          <w:rFonts w:hint="eastAsia"/>
          <w:color w:val="auto"/>
        </w:rPr>
        <w:t xml:space="preserve">对本项目现场情况、施工图纸的理解程度等，对保通措施及本项目重点难点的理解和解决方案以及对本项目的合理化建议的全面性、合理性  0-3分；  </w:t>
      </w:r>
      <w:r>
        <w:rPr>
          <w:rFonts w:hint="eastAsia"/>
          <w:color w:val="auto"/>
        </w:rPr>
        <w:br w:type="textWrapping"/>
      </w:r>
      <w:r>
        <w:rPr>
          <w:rFonts w:hint="eastAsia"/>
          <w:color w:val="auto"/>
          <w:lang w:val="en-US" w:eastAsia="zh-CN"/>
        </w:rPr>
        <w:t xml:space="preserve">    </w:t>
      </w:r>
      <w:r>
        <w:rPr>
          <w:rFonts w:hint="eastAsia"/>
          <w:color w:val="auto"/>
        </w:rPr>
        <w:t xml:space="preserve">②拟任项目经理的综合实力2分。  </w:t>
      </w:r>
    </w:p>
    <w:p>
      <w:pPr>
        <w:spacing w:line="580" w:lineRule="exact"/>
        <w:ind w:firstLine="420" w:firstLineChars="200"/>
        <w:rPr>
          <w:color w:val="auto"/>
        </w:rPr>
      </w:pPr>
      <w:r>
        <w:rPr>
          <w:rFonts w:hint="eastAsia"/>
          <w:color w:val="auto"/>
        </w:rPr>
        <w:t xml:space="preserve">由评标委员会中的招标人代表根据项目特点进行现场提问，拟任项目经理现场对问题进行答辩，根据答辩的合理性、完整性、逻辑性和理解程度  0-2分。  </w:t>
      </w:r>
    </w:p>
    <w:p>
      <w:pPr>
        <w:numPr>
          <w:ilvl w:val="0"/>
          <w:numId w:val="6"/>
        </w:numPr>
        <w:spacing w:line="580" w:lineRule="exact"/>
        <w:ind w:left="420" w:leftChars="200"/>
        <w:rPr>
          <w:color w:val="auto"/>
        </w:rPr>
      </w:pPr>
      <w:r>
        <w:rPr>
          <w:rFonts w:hint="eastAsia"/>
          <w:color w:val="auto"/>
        </w:rPr>
        <w:t>具体操作及要求：</w:t>
      </w:r>
    </w:p>
    <w:p>
      <w:pPr>
        <w:spacing w:line="580" w:lineRule="exact"/>
        <w:ind w:firstLine="420" w:firstLineChars="200"/>
        <w:rPr>
          <w:color w:val="auto"/>
        </w:rPr>
      </w:pPr>
      <w:r>
        <w:rPr>
          <w:rFonts w:hint="eastAsia"/>
          <w:color w:val="auto"/>
        </w:rPr>
        <w:t>本次述标软件为“</w:t>
      </w:r>
      <w:r>
        <w:rPr>
          <w:rFonts w:hint="eastAsia"/>
          <w:color w:val="auto"/>
          <w:lang w:eastAsia="zh-CN"/>
        </w:rPr>
        <w:t>钉钉</w:t>
      </w:r>
      <w:r>
        <w:rPr>
          <w:rFonts w:hint="eastAsia"/>
          <w:color w:val="auto"/>
        </w:rPr>
        <w:t>”软件。投标人须在投标文件中提供法定代表人或委托代理人“手机号”和项目经理本人的“手机号”、“</w:t>
      </w:r>
      <w:r>
        <w:rPr>
          <w:rFonts w:hint="eastAsia"/>
          <w:color w:val="auto"/>
          <w:lang w:eastAsia="zh-CN"/>
        </w:rPr>
        <w:t>钉钉</w:t>
      </w:r>
      <w:r>
        <w:rPr>
          <w:rFonts w:hint="eastAsia"/>
          <w:color w:val="auto"/>
        </w:rPr>
        <w:t>”等相关信息（具体格式详见第八章投 标文件格式），以便接收述标通知及会议要求。</w:t>
      </w:r>
    </w:p>
    <w:p>
      <w:pPr>
        <w:spacing w:line="580" w:lineRule="exact"/>
        <w:ind w:firstLine="420" w:firstLineChars="200"/>
        <w:rPr>
          <w:color w:val="auto"/>
        </w:rPr>
      </w:pPr>
      <w:r>
        <w:rPr>
          <w:rFonts w:hint="eastAsia"/>
          <w:color w:val="auto"/>
        </w:rPr>
        <w:t xml:space="preserve">述标具体操作如下：  </w:t>
      </w:r>
    </w:p>
    <w:p>
      <w:pPr>
        <w:spacing w:line="580" w:lineRule="exact"/>
        <w:ind w:firstLine="420" w:firstLineChars="200"/>
        <w:rPr>
          <w:color w:val="auto"/>
        </w:rPr>
      </w:pPr>
      <w:r>
        <w:rPr>
          <w:rFonts w:hint="eastAsia"/>
          <w:color w:val="auto"/>
        </w:rPr>
        <w:t>①项目经理述标前，代理机构将通过“加好友”方式添加“投标人的项目经理</w:t>
      </w:r>
      <w:r>
        <w:rPr>
          <w:rFonts w:hint="eastAsia"/>
          <w:color w:val="auto"/>
          <w:lang w:eastAsia="zh-CN"/>
        </w:rPr>
        <w:t>钉钉</w:t>
      </w:r>
      <w:r>
        <w:rPr>
          <w:rFonts w:hint="eastAsia"/>
          <w:color w:val="auto"/>
        </w:rPr>
        <w:t>”为好友，验证信息为：“</w:t>
      </w:r>
      <w:r>
        <w:rPr>
          <w:rFonts w:hint="eastAsia"/>
          <w:color w:val="auto"/>
          <w:lang w:eastAsia="zh-CN"/>
        </w:rPr>
        <w:t>洛阳市涧西区豫北二路（中州西路-景华路）提升改造工程</w:t>
      </w:r>
      <w:r>
        <w:rPr>
          <w:rFonts w:hint="eastAsia"/>
          <w:color w:val="auto"/>
        </w:rPr>
        <w:t xml:space="preserve">-述标”。请投标单位安排述标人员在电脑前做好相关准备。  </w:t>
      </w:r>
    </w:p>
    <w:p>
      <w:pPr>
        <w:spacing w:line="580" w:lineRule="exact"/>
        <w:ind w:firstLine="420" w:firstLineChars="200"/>
        <w:rPr>
          <w:color w:val="auto"/>
        </w:rPr>
      </w:pPr>
      <w:r>
        <w:rPr>
          <w:rFonts w:hint="eastAsia"/>
          <w:color w:val="auto"/>
        </w:rPr>
        <w:t>②通过好友后，项目经理</w:t>
      </w:r>
      <w:r>
        <w:rPr>
          <w:rFonts w:hint="eastAsia"/>
          <w:color w:val="auto"/>
          <w:lang w:eastAsia="zh-CN"/>
        </w:rPr>
        <w:t>钉钉</w:t>
      </w:r>
      <w:r>
        <w:rPr>
          <w:rFonts w:hint="eastAsia"/>
          <w:color w:val="auto"/>
        </w:rPr>
        <w:t>应保持在线，随时准备接受述标。各投标人需提前测试好网络及设备（话筒、摄像头等），并熟悉摄像头及话筒的使用，避免述标过程中因操作失误造成不必要的损失。</w:t>
      </w:r>
    </w:p>
    <w:p>
      <w:pPr>
        <w:spacing w:line="580" w:lineRule="exact"/>
        <w:ind w:firstLine="420" w:firstLineChars="200"/>
        <w:rPr>
          <w:color w:val="auto"/>
        </w:rPr>
      </w:pPr>
      <w:r>
        <w:rPr>
          <w:rFonts w:hint="eastAsia"/>
          <w:color w:val="auto"/>
        </w:rPr>
        <w:t xml:space="preserve">③按照现场排序情况，与项目经理本人进行视频通话。若添加好友出现不接受、无响应的情况或接受好友后，发起3次视频通话均无法接通者，按未参加本项目“项目经理述标”认定。  </w:t>
      </w:r>
    </w:p>
    <w:p>
      <w:pPr>
        <w:spacing w:line="580" w:lineRule="exact"/>
        <w:ind w:firstLine="422" w:firstLineChars="200"/>
        <w:rPr>
          <w:b/>
          <w:bCs/>
          <w:color w:val="auto"/>
        </w:rPr>
      </w:pPr>
      <w:r>
        <w:rPr>
          <w:rFonts w:hint="eastAsia"/>
          <w:b/>
          <w:bCs/>
          <w:color w:val="auto"/>
        </w:rPr>
        <w:t>注：拟任项目经理未按上述要求参加述标的，视为放弃投标，按无效投标处理。</w:t>
      </w:r>
    </w:p>
    <w:p>
      <w:pPr>
        <w:spacing w:line="580" w:lineRule="exact"/>
        <w:ind w:firstLine="422" w:firstLineChars="200"/>
        <w:rPr>
          <w:rFonts w:ascii="宋体" w:hAnsi="宋体" w:cs="宋体"/>
          <w:b/>
          <w:bCs/>
          <w:color w:val="auto"/>
          <w:kern w:val="0"/>
          <w:szCs w:val="21"/>
        </w:rPr>
      </w:pPr>
      <w:r>
        <w:rPr>
          <w:rFonts w:hint="eastAsia" w:ascii="宋体" w:hAnsi="宋体" w:cs="宋体"/>
          <w:b/>
          <w:bCs/>
          <w:color w:val="auto"/>
          <w:kern w:val="0"/>
          <w:szCs w:val="21"/>
        </w:rPr>
        <w:t>（三）采用综合评标法评标计分规则</w:t>
      </w:r>
    </w:p>
    <w:p>
      <w:pPr>
        <w:spacing w:line="580" w:lineRule="exact"/>
        <w:ind w:firstLine="420" w:firstLineChars="200"/>
        <w:rPr>
          <w:rFonts w:ascii="宋体" w:hAnsi="宋体" w:cs="宋体"/>
          <w:color w:val="auto"/>
          <w:szCs w:val="21"/>
        </w:rPr>
      </w:pPr>
      <w:r>
        <w:rPr>
          <w:rFonts w:hint="eastAsia" w:ascii="宋体" w:hAnsi="宋体" w:cs="宋体"/>
          <w:color w:val="auto"/>
          <w:szCs w:val="21"/>
        </w:rPr>
        <w:fldChar w:fldCharType="begin"/>
      </w:r>
      <w:r>
        <w:rPr>
          <w:rFonts w:hint="eastAsia" w:ascii="宋体" w:hAnsi="宋体" w:cs="宋体"/>
          <w:color w:val="auto"/>
          <w:szCs w:val="21"/>
        </w:rPr>
        <w:instrText xml:space="preserve"> = 1 \* GB2 </w:instrText>
      </w:r>
      <w:r>
        <w:rPr>
          <w:rFonts w:hint="eastAsia" w:ascii="宋体" w:hAnsi="宋体" w:cs="宋体"/>
          <w:color w:val="auto"/>
          <w:szCs w:val="21"/>
        </w:rPr>
        <w:fldChar w:fldCharType="separate"/>
      </w:r>
      <w:r>
        <w:rPr>
          <w:rFonts w:hint="eastAsia" w:ascii="宋体" w:hAnsi="宋体" w:cs="宋体"/>
          <w:color w:val="auto"/>
          <w:szCs w:val="21"/>
        </w:rPr>
        <w:t>⑴</w:t>
      </w:r>
      <w:r>
        <w:rPr>
          <w:rFonts w:hint="eastAsia" w:ascii="宋体" w:hAnsi="宋体" w:cs="宋体"/>
          <w:color w:val="auto"/>
          <w:szCs w:val="21"/>
        </w:rPr>
        <w:fldChar w:fldCharType="end"/>
      </w:r>
      <w:r>
        <w:rPr>
          <w:rFonts w:hint="eastAsia" w:ascii="宋体" w:hAnsi="宋体" w:cs="宋体"/>
          <w:color w:val="auto"/>
          <w:szCs w:val="21"/>
        </w:rPr>
        <w:t>技术标1—12项内容（包括子项）和项目经理现场答辩可以按照横向比较进行区间打分。技术标第13项内容，由评标专家根据投标人技术标编制的完整性、可行性、以及是否符合招标文件的要求等因素进行综合评标。</w:t>
      </w:r>
    </w:p>
    <w:p>
      <w:pPr>
        <w:spacing w:line="580" w:lineRule="exact"/>
        <w:ind w:firstLine="420" w:firstLineChars="200"/>
        <w:rPr>
          <w:rFonts w:ascii="宋体" w:hAnsi="宋体" w:cs="宋体"/>
          <w:color w:val="auto"/>
          <w:szCs w:val="21"/>
        </w:rPr>
      </w:pPr>
      <w:r>
        <w:rPr>
          <w:rFonts w:hint="eastAsia" w:ascii="宋体" w:hAnsi="宋体" w:cs="宋体"/>
          <w:color w:val="auto"/>
          <w:szCs w:val="21"/>
        </w:rPr>
        <w:fldChar w:fldCharType="begin"/>
      </w:r>
      <w:r>
        <w:rPr>
          <w:rFonts w:hint="eastAsia" w:ascii="宋体" w:hAnsi="宋体" w:cs="宋体"/>
          <w:color w:val="auto"/>
          <w:szCs w:val="21"/>
        </w:rPr>
        <w:instrText xml:space="preserve"> = 2 \* GB2 </w:instrText>
      </w:r>
      <w:r>
        <w:rPr>
          <w:rFonts w:hint="eastAsia" w:ascii="宋体" w:hAnsi="宋体" w:cs="宋体"/>
          <w:color w:val="auto"/>
          <w:szCs w:val="21"/>
        </w:rPr>
        <w:fldChar w:fldCharType="separate"/>
      </w:r>
      <w:r>
        <w:rPr>
          <w:rFonts w:hint="eastAsia" w:ascii="宋体" w:hAnsi="宋体" w:cs="宋体"/>
          <w:color w:val="auto"/>
          <w:szCs w:val="21"/>
        </w:rPr>
        <w:t>⑵</w:t>
      </w:r>
      <w:r>
        <w:rPr>
          <w:rFonts w:hint="eastAsia" w:ascii="宋体" w:hAnsi="宋体" w:cs="宋体"/>
          <w:color w:val="auto"/>
          <w:szCs w:val="21"/>
        </w:rPr>
        <w:fldChar w:fldCharType="end"/>
      </w:r>
      <w:r>
        <w:rPr>
          <w:rFonts w:hint="eastAsia" w:ascii="宋体" w:hAnsi="宋体" w:cs="宋体"/>
          <w:color w:val="auto"/>
          <w:szCs w:val="21"/>
        </w:rPr>
        <w:t>所有评标委员会成员根据本办法独立打分，算术平均后为投标人最终技术标得分。评标委员会成员技术标出现打分分数明显偏高或偏低时，评标委员会负责人应当提醒其进行复检，本人做出说明。</w:t>
      </w:r>
    </w:p>
    <w:p>
      <w:pPr>
        <w:spacing w:line="580" w:lineRule="exact"/>
        <w:ind w:firstLine="420" w:firstLineChars="200"/>
        <w:rPr>
          <w:rFonts w:ascii="宋体" w:hAnsi="宋体" w:cs="宋体"/>
          <w:color w:val="auto"/>
          <w:szCs w:val="21"/>
        </w:rPr>
      </w:pPr>
      <w:r>
        <w:rPr>
          <w:rFonts w:hint="eastAsia" w:ascii="宋体" w:hAnsi="宋体" w:cs="宋体"/>
          <w:color w:val="auto"/>
          <w:szCs w:val="21"/>
        </w:rPr>
        <w:fldChar w:fldCharType="begin"/>
      </w:r>
      <w:r>
        <w:rPr>
          <w:rFonts w:hint="eastAsia" w:ascii="宋体" w:hAnsi="宋体" w:cs="宋体"/>
          <w:color w:val="auto"/>
          <w:szCs w:val="21"/>
        </w:rPr>
        <w:instrText xml:space="preserve"> = 3 \* GB2 </w:instrText>
      </w:r>
      <w:r>
        <w:rPr>
          <w:rFonts w:hint="eastAsia" w:ascii="宋体" w:hAnsi="宋体" w:cs="宋体"/>
          <w:color w:val="auto"/>
          <w:szCs w:val="21"/>
        </w:rPr>
        <w:fldChar w:fldCharType="separate"/>
      </w:r>
      <w:r>
        <w:rPr>
          <w:rFonts w:hint="eastAsia" w:ascii="宋体" w:hAnsi="宋体" w:cs="宋体"/>
          <w:color w:val="auto"/>
          <w:szCs w:val="21"/>
        </w:rPr>
        <w:t>⑶</w:t>
      </w:r>
      <w:r>
        <w:rPr>
          <w:rFonts w:hint="eastAsia" w:ascii="宋体" w:hAnsi="宋体" w:cs="宋体"/>
          <w:color w:val="auto"/>
          <w:szCs w:val="21"/>
        </w:rPr>
        <w:fldChar w:fldCharType="end"/>
      </w:r>
      <w:r>
        <w:rPr>
          <w:rFonts w:hint="eastAsia" w:ascii="宋体" w:hAnsi="宋体" w:cs="宋体"/>
          <w:color w:val="auto"/>
          <w:szCs w:val="21"/>
        </w:rPr>
        <w:t>技术标得分低于15分的，其技术标为不合格，按否决投标处理。项目经理不参加答辩的，视为放弃投标，按无效投标处理。</w:t>
      </w:r>
    </w:p>
    <w:p>
      <w:pPr>
        <w:spacing w:line="580" w:lineRule="exact"/>
        <w:ind w:firstLine="420" w:firstLineChars="200"/>
        <w:rPr>
          <w:rFonts w:ascii="宋体" w:hAnsi="宋体" w:cs="宋体"/>
          <w:color w:val="auto"/>
          <w:kern w:val="0"/>
          <w:szCs w:val="21"/>
        </w:rPr>
      </w:pPr>
      <w:r>
        <w:rPr>
          <w:rFonts w:hint="eastAsia" w:ascii="宋体" w:hAnsi="宋体" w:cs="宋体"/>
          <w:color w:val="auto"/>
          <w:szCs w:val="21"/>
        </w:rPr>
        <w:fldChar w:fldCharType="begin"/>
      </w:r>
      <w:r>
        <w:rPr>
          <w:rFonts w:hint="eastAsia" w:ascii="宋体" w:hAnsi="宋体" w:cs="宋体"/>
          <w:color w:val="auto"/>
          <w:szCs w:val="21"/>
        </w:rPr>
        <w:instrText xml:space="preserve"> = 4 \* GB2 </w:instrText>
      </w:r>
      <w:r>
        <w:rPr>
          <w:rFonts w:hint="eastAsia" w:ascii="宋体" w:hAnsi="宋体" w:cs="宋体"/>
          <w:color w:val="auto"/>
          <w:szCs w:val="21"/>
        </w:rPr>
        <w:fldChar w:fldCharType="separate"/>
      </w:r>
      <w:r>
        <w:rPr>
          <w:rFonts w:hint="eastAsia" w:ascii="宋体" w:hAnsi="宋体" w:cs="宋体"/>
          <w:color w:val="auto"/>
          <w:szCs w:val="21"/>
        </w:rPr>
        <w:t>⑷</w:t>
      </w:r>
      <w:r>
        <w:rPr>
          <w:rFonts w:hint="eastAsia" w:ascii="宋体" w:hAnsi="宋体" w:cs="宋体"/>
          <w:color w:val="auto"/>
          <w:szCs w:val="21"/>
        </w:rPr>
        <w:fldChar w:fldCharType="end"/>
      </w:r>
      <w:r>
        <w:rPr>
          <w:rFonts w:hint="eastAsia" w:ascii="宋体" w:hAnsi="宋体" w:cs="宋体"/>
          <w:color w:val="auto"/>
          <w:szCs w:val="21"/>
        </w:rPr>
        <w:t>市政工程、装饰装修、重要设备附带安装、城市轨道交通等工程可在技术标总分值不变的情况下，结合工程特点，适当对技术标的内容和分值进行调整。</w:t>
      </w:r>
    </w:p>
    <w:p>
      <w:pPr>
        <w:pStyle w:val="16"/>
        <w:widowControl/>
        <w:spacing w:beforeAutospacing="0" w:afterAutospacing="0" w:line="360" w:lineRule="auto"/>
        <w:jc w:val="both"/>
        <w:rPr>
          <w:rFonts w:ascii="宋体" w:hAnsi="宋体" w:cs="宋体"/>
          <w:b/>
          <w:bCs/>
          <w:color w:val="auto"/>
          <w:sz w:val="21"/>
          <w:szCs w:val="21"/>
        </w:rPr>
      </w:pPr>
      <w:r>
        <w:rPr>
          <w:rFonts w:hint="eastAsia" w:ascii="宋体" w:hAnsi="宋体" w:cs="宋体"/>
          <w:b/>
          <w:bCs/>
          <w:color w:val="auto"/>
          <w:sz w:val="21"/>
          <w:szCs w:val="21"/>
        </w:rPr>
        <w:t>二、商务标的主要内容及评标分值：50分</w:t>
      </w:r>
    </w:p>
    <w:p>
      <w:pPr>
        <w:spacing w:line="580" w:lineRule="exact"/>
        <w:ind w:firstLine="422" w:firstLineChars="200"/>
        <w:rPr>
          <w:rFonts w:ascii="宋体" w:hAnsi="宋体" w:cs="宋体"/>
          <w:b/>
          <w:bCs/>
          <w:color w:val="auto"/>
          <w:szCs w:val="21"/>
        </w:rPr>
      </w:pPr>
      <w:r>
        <w:rPr>
          <w:rFonts w:hint="eastAsia" w:ascii="宋体" w:hAnsi="宋体" w:cs="宋体"/>
          <w:b/>
          <w:bCs/>
          <w:color w:val="auto"/>
          <w:szCs w:val="21"/>
        </w:rPr>
        <w:t>（一）综合评标法</w:t>
      </w:r>
    </w:p>
    <w:p>
      <w:pPr>
        <w:spacing w:line="580" w:lineRule="exact"/>
        <w:ind w:firstLine="422" w:firstLineChars="200"/>
        <w:rPr>
          <w:rFonts w:ascii="宋体" w:hAnsi="宋体" w:cs="宋体"/>
          <w:b/>
          <w:bCs/>
          <w:color w:val="auto"/>
          <w:kern w:val="0"/>
          <w:szCs w:val="21"/>
        </w:rPr>
      </w:pPr>
      <w:r>
        <w:rPr>
          <w:rFonts w:hint="eastAsia" w:ascii="宋体" w:hAnsi="宋体" w:cs="宋体"/>
          <w:b/>
          <w:bCs/>
          <w:color w:val="auto"/>
          <w:kern w:val="0"/>
          <w:szCs w:val="21"/>
        </w:rPr>
        <w:t>1.投标报价的评审：30分</w:t>
      </w:r>
    </w:p>
    <w:p>
      <w:pPr>
        <w:spacing w:line="580" w:lineRule="exact"/>
        <w:ind w:firstLine="420" w:firstLineChars="200"/>
        <w:rPr>
          <w:rFonts w:ascii="宋体" w:hAnsi="宋体" w:cs="宋体"/>
          <w:color w:val="auto"/>
          <w:szCs w:val="21"/>
        </w:rPr>
      </w:pPr>
      <w:r>
        <w:rPr>
          <w:rFonts w:hint="eastAsia" w:ascii="宋体" w:hAnsi="宋体" w:cs="宋体"/>
          <w:color w:val="auto"/>
          <w:szCs w:val="21"/>
        </w:rPr>
        <w:t>工程量清单报价评标基准价计算公式为：</w:t>
      </w:r>
    </w:p>
    <w:p>
      <w:pPr>
        <w:spacing w:line="580" w:lineRule="exact"/>
        <w:ind w:firstLine="420" w:firstLineChars="200"/>
        <w:rPr>
          <w:rFonts w:ascii="宋体" w:hAnsi="宋体" w:cs="宋体"/>
          <w:color w:val="auto"/>
          <w:szCs w:val="21"/>
        </w:rPr>
      </w:pPr>
      <w:r>
        <w:rPr>
          <w:rFonts w:hint="eastAsia" w:ascii="宋体" w:hAnsi="宋体" w:cs="宋体"/>
          <w:color w:val="auto"/>
          <w:szCs w:val="21"/>
        </w:rPr>
        <w:t>评标基准价＝最高投标限价×K+投标报价×（1－K）</w:t>
      </w:r>
    </w:p>
    <w:p>
      <w:pPr>
        <w:spacing w:line="580" w:lineRule="exact"/>
        <w:ind w:firstLine="420" w:firstLineChars="200"/>
        <w:rPr>
          <w:rFonts w:ascii="宋体" w:hAnsi="宋体" w:cs="宋体"/>
          <w:color w:val="auto"/>
          <w:szCs w:val="21"/>
        </w:rPr>
      </w:pPr>
      <w:r>
        <w:rPr>
          <w:rFonts w:hint="eastAsia" w:ascii="宋体" w:hAnsi="宋体" w:cs="宋体"/>
          <w:color w:val="auto"/>
          <w:szCs w:val="21"/>
        </w:rPr>
        <w:t>其中：K为最高投标限价权重系数，取值范围为0.1≤K≤0.5，精确到小数点后两位，在开标现场由招标人随机抽取确定。当有效投标人少于5家时（不含5家），以所有有效投标报价的算术平均值作为投标报价；当有效投标人5家及以上时，投标报价为各投标人有效投标报价按大小排列去掉排名靠前的20%和靠后的20%（不为整数时按四舍五入取整）后的算术平均值。上述最高投标限价、投标报价、有效投标报价在参与评标基准价计算时，均</w:t>
      </w:r>
      <w:r>
        <w:rPr>
          <w:rFonts w:hint="eastAsia" w:ascii="宋体" w:hAnsi="宋体" w:cs="宋体"/>
          <w:color w:val="auto"/>
          <w:spacing w:val="-2"/>
          <w:szCs w:val="21"/>
        </w:rPr>
        <w:t>不含规费、安全文明施工措施费、暂列金额与专业暂估价、增值税</w:t>
      </w:r>
      <w:r>
        <w:rPr>
          <w:rFonts w:hint="eastAsia" w:ascii="宋体" w:hAnsi="宋体" w:cs="宋体"/>
          <w:color w:val="auto"/>
          <w:szCs w:val="21"/>
        </w:rPr>
        <w:t>。</w:t>
      </w:r>
    </w:p>
    <w:p>
      <w:pPr>
        <w:spacing w:line="580" w:lineRule="exact"/>
        <w:ind w:firstLine="420" w:firstLineChars="200"/>
        <w:rPr>
          <w:rFonts w:hint="eastAsia" w:ascii="宋体" w:hAnsi="宋体" w:cs="宋体"/>
          <w:color w:val="auto"/>
          <w:szCs w:val="21"/>
        </w:rPr>
      </w:pPr>
      <w:r>
        <w:rPr>
          <w:rFonts w:hint="eastAsia" w:ascii="宋体" w:hAnsi="宋体" w:cs="宋体"/>
          <w:color w:val="auto"/>
          <w:szCs w:val="21"/>
        </w:rPr>
        <w:t>当投标人有效投标报价与评标基准价相等时，得基本分20分。当投标报价低于评标基准价时，每低1%范围内在基本分20分的基础上加2分，最多加10分；当投标人有效投标报价低于评标基准价5%以上（不含5%）时，每再低1%范围内在满分30分的基础上扣3分，扣完为止；当投标人有效投标报价高于评标基准价时，每高1%在基本分20分的基础上扣2分，扣完为止。</w:t>
      </w:r>
    </w:p>
    <w:p>
      <w:pPr>
        <w:spacing w:line="580" w:lineRule="exact"/>
        <w:ind w:firstLine="422" w:firstLineChars="200"/>
        <w:rPr>
          <w:rFonts w:ascii="宋体" w:hAnsi="宋体" w:cs="宋体"/>
          <w:b/>
          <w:bCs/>
          <w:color w:val="auto"/>
          <w:kern w:val="0"/>
          <w:szCs w:val="21"/>
        </w:rPr>
      </w:pPr>
      <w:r>
        <w:rPr>
          <w:rFonts w:hint="eastAsia" w:ascii="宋体" w:hAnsi="宋体" w:cs="宋体"/>
          <w:b/>
          <w:bCs/>
          <w:color w:val="auto"/>
          <w:kern w:val="0"/>
          <w:szCs w:val="21"/>
        </w:rPr>
        <w:t>2.分部分项工程项目清单单价评审：10分</w:t>
      </w:r>
    </w:p>
    <w:p>
      <w:pPr>
        <w:spacing w:line="580" w:lineRule="exact"/>
        <w:ind w:firstLine="420" w:firstLineChars="200"/>
        <w:rPr>
          <w:rFonts w:ascii="宋体" w:hAnsi="宋体" w:cs="宋体"/>
          <w:color w:val="auto"/>
          <w:szCs w:val="21"/>
        </w:rPr>
      </w:pPr>
      <w:r>
        <w:rPr>
          <w:rFonts w:hint="eastAsia" w:ascii="宋体" w:hAnsi="宋体" w:cs="宋体"/>
          <w:color w:val="auto"/>
          <w:szCs w:val="21"/>
        </w:rPr>
        <w:fldChar w:fldCharType="begin"/>
      </w:r>
      <w:r>
        <w:rPr>
          <w:rFonts w:hint="eastAsia" w:ascii="宋体" w:hAnsi="宋体" w:cs="宋体"/>
          <w:color w:val="auto"/>
          <w:szCs w:val="21"/>
        </w:rPr>
        <w:instrText xml:space="preserve"> = 1 \* GB2 </w:instrText>
      </w:r>
      <w:r>
        <w:rPr>
          <w:rFonts w:hint="eastAsia" w:ascii="宋体" w:hAnsi="宋体" w:cs="宋体"/>
          <w:color w:val="auto"/>
          <w:szCs w:val="21"/>
        </w:rPr>
        <w:fldChar w:fldCharType="separate"/>
      </w:r>
      <w:r>
        <w:rPr>
          <w:rFonts w:hint="eastAsia" w:ascii="宋体" w:hAnsi="宋体" w:cs="宋体"/>
          <w:color w:val="auto"/>
          <w:szCs w:val="21"/>
        </w:rPr>
        <w:t>⑴</w:t>
      </w:r>
      <w:r>
        <w:rPr>
          <w:rFonts w:hint="eastAsia" w:ascii="宋体" w:hAnsi="宋体" w:cs="宋体"/>
          <w:color w:val="auto"/>
          <w:szCs w:val="21"/>
        </w:rPr>
        <w:fldChar w:fldCharType="end"/>
      </w:r>
      <w:r>
        <w:rPr>
          <w:rFonts w:hint="eastAsia" w:ascii="宋体" w:hAnsi="宋体" w:cs="宋体"/>
          <w:color w:val="auto"/>
          <w:szCs w:val="21"/>
        </w:rPr>
        <w:t>从最高投标限价中分部分项工程清单合价占全部清单项目报价的权重最大的前30%清单项目（不为整数时按四舍五入取整，下同）中抽取15项，在剩余的分部分项工程项目清单项目中随机抽取5项。若不能以最高投标限价抽项时，则以“最接近评标基准价的负标价”的投标人的报价为准抽项。</w:t>
      </w:r>
    </w:p>
    <w:p>
      <w:pPr>
        <w:spacing w:line="580" w:lineRule="exact"/>
        <w:ind w:firstLine="420" w:firstLineChars="200"/>
        <w:rPr>
          <w:rFonts w:ascii="宋体" w:hAnsi="宋体" w:cs="宋体"/>
          <w:color w:val="auto"/>
          <w:szCs w:val="21"/>
        </w:rPr>
      </w:pPr>
      <w:r>
        <w:rPr>
          <w:rFonts w:hint="eastAsia" w:ascii="宋体" w:hAnsi="宋体" w:cs="宋体"/>
          <w:color w:val="auto"/>
          <w:szCs w:val="21"/>
        </w:rPr>
        <w:t>当权重最大的前30%项等于15项时，全部抽取，在剩余的分部分项工程项目清单项目中随机抽取5项。</w:t>
      </w:r>
    </w:p>
    <w:p>
      <w:pPr>
        <w:spacing w:line="580" w:lineRule="exact"/>
        <w:ind w:firstLine="420" w:firstLineChars="200"/>
        <w:rPr>
          <w:rFonts w:ascii="宋体" w:hAnsi="宋体" w:cs="宋体"/>
          <w:color w:val="auto"/>
          <w:szCs w:val="21"/>
        </w:rPr>
      </w:pPr>
      <w:r>
        <w:rPr>
          <w:rFonts w:hint="eastAsia" w:ascii="宋体" w:hAnsi="宋体" w:cs="宋体"/>
          <w:color w:val="auto"/>
          <w:szCs w:val="21"/>
        </w:rPr>
        <w:t>当权重最大的前30%项小于15项时，从所有的分部分项工程项目清单项目中随机抽取20项。</w:t>
      </w:r>
    </w:p>
    <w:p>
      <w:pPr>
        <w:spacing w:line="580" w:lineRule="exact"/>
        <w:ind w:firstLine="420" w:firstLineChars="200"/>
        <w:rPr>
          <w:rFonts w:ascii="宋体" w:hAnsi="宋体" w:cs="宋体"/>
          <w:color w:val="auto"/>
          <w:szCs w:val="21"/>
        </w:rPr>
      </w:pPr>
      <w:r>
        <w:rPr>
          <w:rFonts w:hint="eastAsia" w:ascii="宋体" w:hAnsi="宋体" w:cs="宋体"/>
          <w:color w:val="auto"/>
          <w:szCs w:val="21"/>
        </w:rPr>
        <w:fldChar w:fldCharType="begin"/>
      </w:r>
      <w:r>
        <w:rPr>
          <w:rFonts w:hint="eastAsia" w:ascii="宋体" w:hAnsi="宋体" w:cs="宋体"/>
          <w:color w:val="auto"/>
          <w:szCs w:val="21"/>
        </w:rPr>
        <w:instrText xml:space="preserve"> = 2 \* GB2 </w:instrText>
      </w:r>
      <w:r>
        <w:rPr>
          <w:rFonts w:hint="eastAsia" w:ascii="宋体" w:hAnsi="宋体" w:cs="宋体"/>
          <w:color w:val="auto"/>
          <w:szCs w:val="21"/>
        </w:rPr>
        <w:fldChar w:fldCharType="separate"/>
      </w:r>
      <w:r>
        <w:rPr>
          <w:rFonts w:hint="eastAsia" w:ascii="宋体" w:hAnsi="宋体" w:cs="宋体"/>
          <w:color w:val="auto"/>
          <w:szCs w:val="21"/>
        </w:rPr>
        <w:t>⑵</w:t>
      </w:r>
      <w:r>
        <w:rPr>
          <w:rFonts w:hint="eastAsia" w:ascii="宋体" w:hAnsi="宋体" w:cs="宋体"/>
          <w:color w:val="auto"/>
          <w:szCs w:val="21"/>
        </w:rPr>
        <w:fldChar w:fldCharType="end"/>
      </w:r>
      <w:r>
        <w:rPr>
          <w:rFonts w:hint="eastAsia" w:ascii="宋体" w:hAnsi="宋体" w:cs="宋体"/>
          <w:color w:val="auto"/>
          <w:szCs w:val="21"/>
        </w:rPr>
        <w:t>综合单价基准值是以各有效投标报价中（当有效投标人5家及以上时，各投标人有效投标报价按大小排列去掉排名靠前20%和靠后20%）对应抽取清单项目综合单价的算术平均值。</w:t>
      </w:r>
    </w:p>
    <w:p>
      <w:pPr>
        <w:spacing w:line="580" w:lineRule="exact"/>
        <w:ind w:firstLine="420" w:firstLineChars="200"/>
        <w:rPr>
          <w:rFonts w:ascii="宋体" w:hAnsi="宋体" w:cs="宋体"/>
          <w:color w:val="auto"/>
          <w:szCs w:val="21"/>
        </w:rPr>
      </w:pPr>
      <w:r>
        <w:rPr>
          <w:rFonts w:hint="eastAsia" w:ascii="宋体" w:hAnsi="宋体" w:cs="宋体"/>
          <w:color w:val="auto"/>
          <w:szCs w:val="21"/>
        </w:rPr>
        <w:fldChar w:fldCharType="begin"/>
      </w:r>
      <w:r>
        <w:rPr>
          <w:rFonts w:hint="eastAsia" w:ascii="宋体" w:hAnsi="宋体" w:cs="宋体"/>
          <w:color w:val="auto"/>
          <w:szCs w:val="21"/>
        </w:rPr>
        <w:instrText xml:space="preserve"> = 3 \* GB2 </w:instrText>
      </w:r>
      <w:r>
        <w:rPr>
          <w:rFonts w:hint="eastAsia" w:ascii="宋体" w:hAnsi="宋体" w:cs="宋体"/>
          <w:color w:val="auto"/>
          <w:szCs w:val="21"/>
        </w:rPr>
        <w:fldChar w:fldCharType="separate"/>
      </w:r>
      <w:r>
        <w:rPr>
          <w:rFonts w:hint="eastAsia" w:ascii="宋体" w:hAnsi="宋体" w:cs="宋体"/>
          <w:color w:val="auto"/>
          <w:szCs w:val="21"/>
        </w:rPr>
        <w:t>⑶</w:t>
      </w:r>
      <w:r>
        <w:rPr>
          <w:rFonts w:hint="eastAsia" w:ascii="宋体" w:hAnsi="宋体" w:cs="宋体"/>
          <w:color w:val="auto"/>
          <w:szCs w:val="21"/>
        </w:rPr>
        <w:fldChar w:fldCharType="end"/>
      </w:r>
      <w:r>
        <w:rPr>
          <w:rFonts w:hint="eastAsia" w:ascii="宋体" w:hAnsi="宋体" w:cs="宋体"/>
          <w:color w:val="auto"/>
          <w:szCs w:val="21"/>
        </w:rPr>
        <w:t>投标人报价在综合单价基准值95%—103%范围内（不含95%和103%）每项得0.5分；在综合单价基准值90%—95%范围内（含90%和95%）每项得0.25分。满分共计10分。超出该范围的不得分。</w:t>
      </w:r>
    </w:p>
    <w:p>
      <w:pPr>
        <w:spacing w:line="580" w:lineRule="exact"/>
        <w:ind w:firstLine="422" w:firstLineChars="200"/>
        <w:rPr>
          <w:rFonts w:ascii="宋体" w:hAnsi="宋体" w:cs="宋体"/>
          <w:b/>
          <w:bCs/>
          <w:color w:val="auto"/>
          <w:kern w:val="0"/>
          <w:szCs w:val="21"/>
        </w:rPr>
      </w:pPr>
      <w:r>
        <w:rPr>
          <w:rFonts w:hint="eastAsia" w:ascii="宋体" w:hAnsi="宋体" w:cs="宋体"/>
          <w:b/>
          <w:bCs/>
          <w:color w:val="auto"/>
          <w:kern w:val="0"/>
          <w:szCs w:val="21"/>
        </w:rPr>
        <w:t>3.措施项目费的评审（不含安全文明措施费）：5分</w:t>
      </w:r>
    </w:p>
    <w:p>
      <w:pPr>
        <w:spacing w:line="580" w:lineRule="exact"/>
        <w:ind w:firstLine="420" w:firstLineChars="200"/>
        <w:rPr>
          <w:rFonts w:ascii="宋体" w:hAnsi="宋体" w:cs="宋体"/>
          <w:color w:val="auto"/>
          <w:szCs w:val="21"/>
        </w:rPr>
      </w:pPr>
      <w:r>
        <w:rPr>
          <w:rFonts w:hint="eastAsia" w:ascii="宋体" w:hAnsi="宋体" w:cs="宋体"/>
          <w:color w:val="auto"/>
          <w:szCs w:val="21"/>
        </w:rPr>
        <w:t>措施项目费基准值是在最高投标限价中措施项目费用80%-110%范围之间（超出范围的不得分）的有效投标人所报措施项目费的算术平均值。投标所报措施费与措施项目基准值相等得基本分3分。当投标报价低于措施项目基准值时，每低1%在基本分3分的基础上加0.1分，最多加至5分为止；当低于措施项目基准值20%（不含）时，每再低于1%时，在满分5分的基础上扣0.4分，扣完为止；当高于措施项目基准值时，每高于1%时，在基本分3分的基础上扣0.2分，扣完为止。</w:t>
      </w:r>
    </w:p>
    <w:p>
      <w:pPr>
        <w:spacing w:line="580" w:lineRule="exact"/>
        <w:ind w:firstLine="422" w:firstLineChars="200"/>
        <w:rPr>
          <w:rFonts w:ascii="宋体" w:hAnsi="宋体" w:cs="宋体"/>
          <w:b/>
          <w:bCs/>
          <w:color w:val="auto"/>
          <w:kern w:val="0"/>
          <w:szCs w:val="21"/>
        </w:rPr>
      </w:pPr>
      <w:r>
        <w:rPr>
          <w:rFonts w:hint="eastAsia" w:ascii="宋体" w:hAnsi="宋体" w:cs="宋体"/>
          <w:b/>
          <w:bCs/>
          <w:color w:val="auto"/>
          <w:kern w:val="0"/>
          <w:szCs w:val="21"/>
        </w:rPr>
        <w:t>4.主要材料单价的评审：5分</w:t>
      </w:r>
    </w:p>
    <w:p>
      <w:pPr>
        <w:spacing w:line="580" w:lineRule="exact"/>
        <w:ind w:firstLine="420" w:firstLineChars="200"/>
        <w:rPr>
          <w:rFonts w:ascii="宋体" w:hAnsi="宋体" w:cs="宋体"/>
          <w:color w:val="auto"/>
          <w:szCs w:val="21"/>
        </w:rPr>
      </w:pPr>
      <w:r>
        <w:rPr>
          <w:rFonts w:hint="eastAsia" w:ascii="宋体" w:hAnsi="宋体" w:cs="宋体"/>
          <w:color w:val="auto"/>
          <w:szCs w:val="21"/>
        </w:rPr>
        <w:fldChar w:fldCharType="begin"/>
      </w:r>
      <w:r>
        <w:rPr>
          <w:rFonts w:hint="eastAsia" w:ascii="宋体" w:hAnsi="宋体" w:cs="宋体"/>
          <w:color w:val="auto"/>
          <w:szCs w:val="21"/>
        </w:rPr>
        <w:instrText xml:space="preserve"> = 1 \* GB2 </w:instrText>
      </w:r>
      <w:r>
        <w:rPr>
          <w:rFonts w:hint="eastAsia" w:ascii="宋体" w:hAnsi="宋体" w:cs="宋体"/>
          <w:color w:val="auto"/>
          <w:szCs w:val="21"/>
        </w:rPr>
        <w:fldChar w:fldCharType="separate"/>
      </w:r>
      <w:r>
        <w:rPr>
          <w:rFonts w:hint="eastAsia" w:ascii="宋体" w:hAnsi="宋体" w:cs="宋体"/>
          <w:color w:val="auto"/>
          <w:szCs w:val="21"/>
        </w:rPr>
        <w:t>⑴</w:t>
      </w:r>
      <w:r>
        <w:rPr>
          <w:rFonts w:hint="eastAsia" w:ascii="宋体" w:hAnsi="宋体" w:cs="宋体"/>
          <w:color w:val="auto"/>
          <w:szCs w:val="21"/>
        </w:rPr>
        <w:fldChar w:fldCharType="end"/>
      </w:r>
      <w:r>
        <w:rPr>
          <w:rFonts w:hint="eastAsia" w:ascii="宋体" w:hAnsi="宋体" w:cs="宋体"/>
          <w:color w:val="auto"/>
          <w:szCs w:val="21"/>
        </w:rPr>
        <w:t>当材料总数大于20项时，从最高投标限价中材料费用合价占总价权重最大的前20项材料中随机抽取6项，在剩余所有材料中随机抽取4项。若最高投标限价材料费中不能抽项时，则按招标人公布的主要材料价格表中的材料，以“最接近评标基准价的负标价”的投标人的报价材料费用合价占总价权重抽项。当材料总数小于等于20项、大于10项时，则从最高投标限价中随机抽取10项。</w:t>
      </w:r>
    </w:p>
    <w:p>
      <w:pPr>
        <w:spacing w:line="580" w:lineRule="exact"/>
        <w:ind w:firstLine="420" w:firstLineChars="200"/>
        <w:rPr>
          <w:rFonts w:ascii="宋体" w:hAnsi="宋体" w:cs="宋体"/>
          <w:color w:val="auto"/>
          <w:szCs w:val="21"/>
        </w:rPr>
      </w:pPr>
      <w:r>
        <w:rPr>
          <w:rFonts w:hint="eastAsia" w:ascii="宋体" w:hAnsi="宋体" w:cs="宋体"/>
          <w:color w:val="auto"/>
          <w:szCs w:val="21"/>
        </w:rPr>
        <w:fldChar w:fldCharType="begin"/>
      </w:r>
      <w:r>
        <w:rPr>
          <w:rFonts w:hint="eastAsia" w:ascii="宋体" w:hAnsi="宋体" w:cs="宋体"/>
          <w:color w:val="auto"/>
          <w:szCs w:val="21"/>
        </w:rPr>
        <w:instrText xml:space="preserve"> = 2 \* GB2 </w:instrText>
      </w:r>
      <w:r>
        <w:rPr>
          <w:rFonts w:hint="eastAsia" w:ascii="宋体" w:hAnsi="宋体" w:cs="宋体"/>
          <w:color w:val="auto"/>
          <w:szCs w:val="21"/>
        </w:rPr>
        <w:fldChar w:fldCharType="separate"/>
      </w:r>
      <w:r>
        <w:rPr>
          <w:rFonts w:hint="eastAsia" w:ascii="宋体" w:hAnsi="宋体" w:cs="宋体"/>
          <w:color w:val="auto"/>
          <w:szCs w:val="21"/>
        </w:rPr>
        <w:t>⑵</w:t>
      </w:r>
      <w:r>
        <w:rPr>
          <w:rFonts w:hint="eastAsia" w:ascii="宋体" w:hAnsi="宋体" w:cs="宋体"/>
          <w:color w:val="auto"/>
          <w:szCs w:val="21"/>
        </w:rPr>
        <w:fldChar w:fldCharType="end"/>
      </w:r>
      <w:r>
        <w:rPr>
          <w:rFonts w:hint="eastAsia" w:ascii="宋体" w:hAnsi="宋体" w:cs="宋体"/>
          <w:color w:val="auto"/>
          <w:szCs w:val="21"/>
        </w:rPr>
        <w:t>主要材料单价基准值是以各有效投标报价中（当有效投标5家及以上时，各投标人有效投标报价中对应抽取材料单价按大小排列去掉排名靠前的20%和靠后的20%）对应抽取材料单价的算术平均值。</w:t>
      </w:r>
    </w:p>
    <w:p>
      <w:pPr>
        <w:spacing w:line="580" w:lineRule="exact"/>
        <w:ind w:firstLine="420" w:firstLineChars="200"/>
        <w:rPr>
          <w:rFonts w:ascii="宋体" w:hAnsi="宋体" w:cs="宋体"/>
          <w:color w:val="auto"/>
          <w:szCs w:val="21"/>
        </w:rPr>
      </w:pPr>
      <w:r>
        <w:rPr>
          <w:rFonts w:hint="eastAsia" w:ascii="宋体" w:hAnsi="宋体" w:cs="宋体"/>
          <w:color w:val="auto"/>
          <w:szCs w:val="21"/>
        </w:rPr>
        <w:fldChar w:fldCharType="begin"/>
      </w:r>
      <w:r>
        <w:rPr>
          <w:rFonts w:hint="eastAsia" w:ascii="宋体" w:hAnsi="宋体" w:cs="宋体"/>
          <w:color w:val="auto"/>
          <w:szCs w:val="21"/>
        </w:rPr>
        <w:instrText xml:space="preserve"> = 3 \* GB2 </w:instrText>
      </w:r>
      <w:r>
        <w:rPr>
          <w:rFonts w:hint="eastAsia" w:ascii="宋体" w:hAnsi="宋体" w:cs="宋体"/>
          <w:color w:val="auto"/>
          <w:szCs w:val="21"/>
        </w:rPr>
        <w:fldChar w:fldCharType="separate"/>
      </w:r>
      <w:r>
        <w:rPr>
          <w:rFonts w:hint="eastAsia" w:ascii="宋体" w:hAnsi="宋体" w:cs="宋体"/>
          <w:color w:val="auto"/>
          <w:szCs w:val="21"/>
        </w:rPr>
        <w:t>⑶</w:t>
      </w:r>
      <w:r>
        <w:rPr>
          <w:rFonts w:hint="eastAsia" w:ascii="宋体" w:hAnsi="宋体" w:cs="宋体"/>
          <w:color w:val="auto"/>
          <w:szCs w:val="21"/>
        </w:rPr>
        <w:fldChar w:fldCharType="end"/>
      </w:r>
      <w:r>
        <w:rPr>
          <w:rFonts w:hint="eastAsia" w:ascii="宋体" w:hAnsi="宋体" w:cs="宋体"/>
          <w:color w:val="auto"/>
          <w:szCs w:val="21"/>
        </w:rPr>
        <w:t>当投标人报价在材料单价基准值95%—103%范围内（不含95%和103%）每项得0.5分，在材料单价基准值90%—95%范围内（含90%和95%）每项得0.25分。超出该范围的不得分。</w:t>
      </w:r>
    </w:p>
    <w:p>
      <w:pPr>
        <w:numPr>
          <w:ilvl w:val="0"/>
          <w:numId w:val="7"/>
        </w:numPr>
        <w:spacing w:line="580" w:lineRule="exact"/>
        <w:ind w:firstLine="420" w:firstLineChars="200"/>
        <w:rPr>
          <w:rFonts w:hint="eastAsia" w:ascii="宋体" w:hAnsi="宋体" w:cs="宋体"/>
          <w:color w:val="auto"/>
          <w:szCs w:val="21"/>
        </w:rPr>
      </w:pPr>
      <w:r>
        <w:rPr>
          <w:rFonts w:hint="eastAsia" w:ascii="宋体" w:hAnsi="宋体" w:cs="宋体"/>
          <w:color w:val="auto"/>
          <w:szCs w:val="21"/>
        </w:rPr>
        <w:t>针对上述2、4款项中部分分部分项工程项目数量较少、施工工艺简单、主材种类较少而不能满足最低抽项要求的，应将所有分部分项工程项目或主要材料项目纳入评审范围。每项得分等于分部分项工程清单的评审分值或主要材料的评审分值除以抽项数量，作相应调整。当投标人报价在基准值95%—103%范围内（不含95%和103%）每项得分等于分部分项工程清单的评审分值或主要材料的评审分值/ m；当投标人报价在基准值90%—95%范围内（含90%和95%）每项得分等于分部分项工程清单的评审分值或主要材料的评审分值/2m。（m：抽项数量）。</w:t>
      </w:r>
    </w:p>
    <w:p>
      <w:pPr>
        <w:spacing w:line="580" w:lineRule="exact"/>
        <w:ind w:firstLine="422" w:firstLineChars="200"/>
        <w:rPr>
          <w:rFonts w:hint="eastAsia" w:ascii="宋体" w:hAnsi="宋体" w:eastAsia="宋体" w:cs="宋体"/>
          <w:b/>
          <w:bCs/>
          <w:color w:val="auto"/>
          <w:szCs w:val="21"/>
        </w:rPr>
      </w:pPr>
      <w:r>
        <w:rPr>
          <w:rFonts w:hint="eastAsia" w:ascii="宋体" w:hAnsi="宋体" w:eastAsia="宋体" w:cs="宋体"/>
          <w:b/>
          <w:bCs/>
          <w:color w:val="auto"/>
          <w:szCs w:val="21"/>
        </w:rPr>
        <w:t>注： 价格加分：</w:t>
      </w:r>
    </w:p>
    <w:p>
      <w:pPr>
        <w:numPr>
          <w:ilvl w:val="0"/>
          <w:numId w:val="8"/>
        </w:numPr>
        <w:spacing w:line="580" w:lineRule="exact"/>
        <w:ind w:firstLine="422" w:firstLineChars="200"/>
        <w:rPr>
          <w:rFonts w:hint="eastAsia" w:ascii="宋体" w:hAnsi="宋体" w:eastAsia="宋体" w:cs="宋体"/>
          <w:b/>
          <w:bCs/>
          <w:color w:val="auto"/>
          <w:szCs w:val="21"/>
        </w:rPr>
      </w:pPr>
      <w:r>
        <w:rPr>
          <w:rFonts w:hint="eastAsia" w:ascii="宋体" w:hAnsi="宋体" w:eastAsia="宋体" w:cs="宋体"/>
          <w:b/>
          <w:bCs/>
          <w:color w:val="auto"/>
          <w:szCs w:val="21"/>
        </w:rPr>
        <w:t xml:space="preserve">根据财政部、工业和信息化部《政府采购促进中小企业发展管理办法》 (财库〔2020〕46 号的规定，应当对符合本办法规定的小微企业报价在采用原报价进行评分的基础上增加其价格得分的 3%作为其政策价格分。 </w:t>
      </w:r>
    </w:p>
    <w:p>
      <w:pPr>
        <w:numPr>
          <w:ilvl w:val="0"/>
          <w:numId w:val="8"/>
        </w:numPr>
        <w:spacing w:line="580" w:lineRule="exact"/>
        <w:ind w:firstLine="422" w:firstLineChars="200"/>
        <w:rPr>
          <w:rFonts w:hint="eastAsia" w:ascii="宋体" w:hAnsi="宋体" w:eastAsia="宋体" w:cs="宋体"/>
          <w:b/>
          <w:bCs/>
          <w:color w:val="auto"/>
          <w:szCs w:val="21"/>
        </w:rPr>
      </w:pPr>
      <w:r>
        <w:rPr>
          <w:rFonts w:hint="eastAsia" w:ascii="宋体" w:hAnsi="宋体" w:eastAsia="宋体" w:cs="宋体"/>
          <w:b/>
          <w:bCs/>
          <w:color w:val="auto"/>
          <w:szCs w:val="21"/>
        </w:rPr>
        <w:t>计算公式：小微企业投标报价得分（政策分）采用原报价评审得分×3%</w:t>
      </w:r>
    </w:p>
    <w:p>
      <w:pPr>
        <w:spacing w:line="580" w:lineRule="exact"/>
        <w:ind w:firstLine="422" w:firstLineChars="200"/>
        <w:rPr>
          <w:rFonts w:hint="eastAsia" w:ascii="宋体" w:hAnsi="宋体" w:eastAsia="宋体" w:cs="宋体"/>
          <w:b/>
          <w:bCs/>
          <w:color w:val="auto"/>
          <w:szCs w:val="21"/>
        </w:rPr>
      </w:pPr>
      <w:r>
        <w:rPr>
          <w:rFonts w:hint="eastAsia" w:ascii="宋体" w:hAnsi="宋体" w:eastAsia="宋体" w:cs="宋体"/>
          <w:b/>
          <w:bCs/>
          <w:color w:val="auto"/>
          <w:szCs w:val="21"/>
        </w:rPr>
        <w:t>（2）根据财政部司法部《关于政府采购支持监狱企业发展有关问题的通知》（财库〔2014〕68 号）规定，监狱企业视同小型、微型企业，享受评审中价格扣除等政府采购促进中小企业发展的政府采购政策。</w:t>
      </w:r>
    </w:p>
    <w:p>
      <w:pPr>
        <w:spacing w:line="580" w:lineRule="exact"/>
        <w:ind w:firstLine="422" w:firstLineChars="200"/>
        <w:rPr>
          <w:rFonts w:hint="eastAsia" w:ascii="宋体" w:hAnsi="宋体" w:eastAsia="宋体" w:cs="宋体"/>
          <w:b/>
          <w:bCs/>
          <w:color w:val="auto"/>
          <w:szCs w:val="21"/>
        </w:rPr>
      </w:pPr>
      <w:r>
        <w:rPr>
          <w:rFonts w:hint="eastAsia" w:ascii="宋体" w:hAnsi="宋体" w:eastAsia="宋体" w:cs="宋体"/>
          <w:b/>
          <w:bCs/>
          <w:color w:val="auto"/>
          <w:szCs w:val="21"/>
        </w:rPr>
        <w:t>（3）根据财政部民政部中国残疾人联合会《关于促进残疾人就业政府采购政策的通知》（财库〔2017〕141 号）规定，残疾人福利性单位视同小型、微型企业，享受评审中价格扣除等政府采购促进中小企业发展的政府采购政策。</w:t>
      </w:r>
    </w:p>
    <w:p>
      <w:pPr>
        <w:spacing w:line="580" w:lineRule="exact"/>
        <w:ind w:firstLine="422" w:firstLineChars="200"/>
        <w:rPr>
          <w:rFonts w:hint="eastAsia" w:ascii="宋体" w:hAnsi="宋体" w:eastAsia="宋体" w:cs="宋体"/>
          <w:b/>
          <w:bCs/>
          <w:color w:val="auto"/>
          <w:szCs w:val="21"/>
        </w:rPr>
      </w:pPr>
      <w:r>
        <w:rPr>
          <w:rFonts w:hint="eastAsia" w:ascii="宋体" w:hAnsi="宋体" w:eastAsia="宋体" w:cs="宋体"/>
          <w:b/>
          <w:bCs/>
          <w:color w:val="auto"/>
          <w:szCs w:val="21"/>
        </w:rPr>
        <w:t>（4）同一供应商（包括联合体），中小微企业产品、监狱企业产品、残疾人福利性单位产品价格扣除优惠只享受一次，不得重复享受。</w:t>
      </w:r>
    </w:p>
    <w:p>
      <w:pPr>
        <w:spacing w:line="580" w:lineRule="exact"/>
        <w:ind w:firstLine="422" w:firstLineChars="200"/>
        <w:rPr>
          <w:rFonts w:hint="eastAsia" w:ascii="宋体" w:hAnsi="宋体" w:eastAsia="宋体" w:cs="宋体"/>
          <w:b/>
          <w:bCs/>
          <w:color w:val="auto"/>
          <w:szCs w:val="21"/>
        </w:rPr>
      </w:pPr>
      <w:r>
        <w:rPr>
          <w:rFonts w:hint="eastAsia" w:ascii="宋体" w:hAnsi="宋体" w:eastAsia="宋体" w:cs="宋体"/>
          <w:b/>
          <w:bCs/>
          <w:color w:val="auto"/>
          <w:szCs w:val="21"/>
        </w:rPr>
        <w:t>（5）中、小、微企业参加政府采购活动，应当如实出具招标文件规定格式的《中小企业声明函》，否则不得享受相关中小企业扶持政策。提供声明函内容不实的，属于弄虚作假骗取中标，依照《中华人民共和国招标投标法》等国家有关规定追究相应责任。）</w:t>
      </w:r>
    </w:p>
    <w:p>
      <w:pPr>
        <w:spacing w:line="580" w:lineRule="exact"/>
        <w:rPr>
          <w:rFonts w:hint="eastAsia" w:ascii="宋体" w:hAnsi="宋体" w:eastAsia="宋体" w:cs="宋体"/>
          <w:b/>
          <w:bCs/>
          <w:color w:val="auto"/>
          <w:szCs w:val="21"/>
        </w:rPr>
      </w:pPr>
      <w:r>
        <w:rPr>
          <w:rFonts w:hint="eastAsia" w:ascii="宋体" w:hAnsi="宋体" w:eastAsia="宋体" w:cs="宋体"/>
          <w:b/>
          <w:bCs/>
          <w:color w:val="auto"/>
          <w:szCs w:val="21"/>
        </w:rPr>
        <w:t>三、综合标的主要内容及评标分值：25分</w:t>
      </w:r>
    </w:p>
    <w:p>
      <w:pPr>
        <w:spacing w:line="580" w:lineRule="exact"/>
        <w:ind w:firstLine="422" w:firstLineChars="200"/>
        <w:rPr>
          <w:rFonts w:hint="eastAsia" w:ascii="宋体" w:hAnsi="宋体" w:eastAsia="宋体" w:cs="宋体"/>
          <w:b/>
          <w:bCs/>
          <w:color w:val="auto"/>
          <w:szCs w:val="21"/>
        </w:rPr>
      </w:pPr>
      <w:r>
        <w:rPr>
          <w:rFonts w:hint="eastAsia" w:ascii="宋体" w:hAnsi="宋体" w:eastAsia="宋体" w:cs="宋体"/>
          <w:b/>
          <w:bCs/>
          <w:color w:val="auto"/>
          <w:szCs w:val="21"/>
        </w:rPr>
        <w:t>（一）企业业绩：6分</w:t>
      </w:r>
    </w:p>
    <w:p>
      <w:pPr>
        <w:spacing w:line="580" w:lineRule="exact"/>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投标人 2019年 1月 1 日以来（以</w:t>
      </w:r>
      <w:r>
        <w:rPr>
          <w:rFonts w:hint="eastAsia" w:ascii="宋体" w:hAnsi="宋体" w:cs="宋体"/>
          <w:color w:val="auto"/>
          <w:kern w:val="0"/>
          <w:sz w:val="21"/>
          <w:szCs w:val="21"/>
          <w:lang w:val="en-US" w:eastAsia="zh-CN" w:bidi="ar-SA"/>
        </w:rPr>
        <w:t>合同签订</w:t>
      </w:r>
      <w:r>
        <w:rPr>
          <w:rFonts w:hint="eastAsia" w:ascii="宋体" w:hAnsi="宋体" w:eastAsia="宋体" w:cs="宋体"/>
          <w:color w:val="auto"/>
          <w:kern w:val="0"/>
          <w:sz w:val="21"/>
          <w:szCs w:val="21"/>
          <w:lang w:val="en-US" w:eastAsia="zh-CN" w:bidi="ar-SA"/>
        </w:rPr>
        <w:t>时间为准）承担过的类似项目业绩的每有一份得 2 分，最多得 6 分，没有不得分。（须在投标文件中同时附中标通知书、施工合同原件的扫描件及法定媒介中标公示或评标结果公示网页截图及查询途径，并加盖投标人公章，否则不得分）。</w:t>
      </w:r>
    </w:p>
    <w:p>
      <w:pPr>
        <w:pStyle w:val="16"/>
        <w:widowControl/>
        <w:spacing w:beforeAutospacing="0" w:afterAutospacing="0" w:line="360" w:lineRule="auto"/>
        <w:ind w:firstLine="422" w:firstLineChars="200"/>
        <w:jc w:val="both"/>
        <w:rPr>
          <w:rFonts w:ascii="宋体" w:hAnsi="宋体" w:cs="宋体"/>
          <w:b/>
          <w:bCs/>
          <w:color w:val="auto"/>
          <w:sz w:val="21"/>
          <w:szCs w:val="21"/>
        </w:rPr>
      </w:pPr>
      <w:r>
        <w:rPr>
          <w:rFonts w:hint="eastAsia" w:ascii="宋体" w:hAnsi="宋体" w:cs="宋体"/>
          <w:b/>
          <w:bCs/>
          <w:color w:val="auto"/>
          <w:sz w:val="21"/>
          <w:szCs w:val="21"/>
        </w:rPr>
        <w:t>（二）项</w:t>
      </w:r>
      <w:r>
        <w:rPr>
          <w:rFonts w:hint="eastAsia" w:ascii="宋体" w:hAnsi="宋体" w:cs="宋体"/>
          <w:b/>
          <w:bCs/>
          <w:color w:val="auto"/>
          <w:sz w:val="21"/>
          <w:szCs w:val="21"/>
        </w:rPr>
        <w:t>目经理业绩：</w:t>
      </w:r>
      <w:r>
        <w:rPr>
          <w:rFonts w:hint="eastAsia" w:ascii="宋体" w:hAnsi="宋体" w:cs="宋体"/>
          <w:b/>
          <w:bCs/>
          <w:color w:val="auto"/>
          <w:sz w:val="21"/>
          <w:szCs w:val="21"/>
          <w:lang w:val="en-US" w:eastAsia="zh-CN"/>
        </w:rPr>
        <w:t>6</w:t>
      </w:r>
      <w:r>
        <w:rPr>
          <w:rFonts w:hint="eastAsia" w:ascii="宋体" w:hAnsi="宋体" w:cs="宋体"/>
          <w:b/>
          <w:bCs/>
          <w:color w:val="auto"/>
          <w:sz w:val="21"/>
          <w:szCs w:val="21"/>
        </w:rPr>
        <w:t>分</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投标人拟派项目经理 201</w:t>
      </w:r>
      <w:r>
        <w:rPr>
          <w:rFonts w:hint="eastAsia" w:ascii="宋体" w:hAnsi="宋体" w:cs="宋体"/>
          <w:color w:val="auto"/>
          <w:sz w:val="21"/>
          <w:szCs w:val="21"/>
          <w:lang w:val="en-US" w:eastAsia="zh-CN"/>
        </w:rPr>
        <w:t>9</w:t>
      </w:r>
      <w:r>
        <w:rPr>
          <w:rFonts w:hint="eastAsia" w:ascii="宋体" w:hAnsi="宋体" w:cs="宋体"/>
          <w:color w:val="auto"/>
          <w:sz w:val="21"/>
          <w:szCs w:val="21"/>
        </w:rPr>
        <w:t xml:space="preserve">年 1月 1 </w:t>
      </w:r>
      <w:r>
        <w:rPr>
          <w:rFonts w:hint="eastAsia" w:ascii="宋体" w:hAnsi="宋体" w:cs="宋体"/>
          <w:color w:val="auto"/>
          <w:sz w:val="21"/>
          <w:szCs w:val="21"/>
        </w:rPr>
        <w:t>日以来（以</w:t>
      </w:r>
      <w:r>
        <w:rPr>
          <w:rFonts w:hint="eastAsia" w:ascii="宋体" w:hAnsi="宋体" w:cs="宋体"/>
          <w:color w:val="auto"/>
          <w:sz w:val="21"/>
          <w:szCs w:val="21"/>
          <w:lang w:eastAsia="zh-CN"/>
        </w:rPr>
        <w:t>合同签订</w:t>
      </w:r>
      <w:r>
        <w:rPr>
          <w:rFonts w:hint="eastAsia" w:ascii="宋体" w:hAnsi="宋体" w:cs="宋体"/>
          <w:color w:val="auto"/>
          <w:sz w:val="21"/>
          <w:szCs w:val="21"/>
        </w:rPr>
        <w:t>时间为准）承担过的类似</w:t>
      </w:r>
      <w:r>
        <w:rPr>
          <w:rFonts w:hint="eastAsia" w:ascii="宋体" w:hAnsi="宋体" w:cs="宋体"/>
          <w:color w:val="auto"/>
          <w:sz w:val="21"/>
          <w:szCs w:val="21"/>
          <w:lang w:eastAsia="zh-CN"/>
        </w:rPr>
        <w:t>项目</w:t>
      </w:r>
      <w:r>
        <w:rPr>
          <w:rFonts w:hint="eastAsia" w:ascii="宋体" w:hAnsi="宋体" w:cs="宋体"/>
          <w:color w:val="auto"/>
          <w:sz w:val="21"/>
          <w:szCs w:val="21"/>
        </w:rPr>
        <w:t xml:space="preserve">业绩的，每有一份得 2 分，最多得 </w:t>
      </w:r>
      <w:r>
        <w:rPr>
          <w:rFonts w:hint="eastAsia" w:ascii="宋体" w:hAnsi="宋体" w:cs="宋体"/>
          <w:color w:val="auto"/>
          <w:sz w:val="21"/>
          <w:szCs w:val="21"/>
          <w:lang w:val="en-US" w:eastAsia="zh-CN"/>
        </w:rPr>
        <w:t>6</w:t>
      </w:r>
      <w:r>
        <w:rPr>
          <w:rFonts w:hint="eastAsia" w:ascii="宋体" w:hAnsi="宋体" w:cs="宋体"/>
          <w:color w:val="auto"/>
          <w:sz w:val="21"/>
          <w:szCs w:val="21"/>
        </w:rPr>
        <w:t xml:space="preserve"> 分，没有不得分。（须在投标文件中同时附中标通知书、施工合同原件的扫描件及法定媒介</w:t>
      </w:r>
      <w:r>
        <w:rPr>
          <w:rFonts w:hint="eastAsia" w:ascii="宋体" w:hAnsi="宋体" w:cs="宋体"/>
          <w:color w:val="auto"/>
          <w:sz w:val="21"/>
          <w:szCs w:val="21"/>
        </w:rPr>
        <w:t>中标公示或评标结果公示网页截图及查询途径，并加盖投标人公章，否则不得分）。</w:t>
      </w:r>
    </w:p>
    <w:p>
      <w:pPr>
        <w:adjustRightInd w:val="0"/>
        <w:snapToGrid w:val="0"/>
        <w:spacing w:line="360" w:lineRule="auto"/>
        <w:ind w:firstLine="422" w:firstLineChars="200"/>
        <w:rPr>
          <w:rFonts w:hint="eastAsia" w:ascii="宋体" w:hAnsi="宋体" w:cs="宋体"/>
          <w:color w:val="auto"/>
          <w:kern w:val="0"/>
          <w:szCs w:val="21"/>
        </w:rPr>
      </w:pPr>
      <w:r>
        <w:rPr>
          <w:rFonts w:hint="eastAsia" w:ascii="宋体" w:hAnsi="宋体" w:cs="宋体"/>
          <w:b/>
          <w:bCs/>
          <w:color w:val="auto"/>
          <w:kern w:val="0"/>
          <w:szCs w:val="21"/>
        </w:rPr>
        <w:t>注</w:t>
      </w:r>
      <w:r>
        <w:rPr>
          <w:rFonts w:hint="eastAsia" w:ascii="宋体" w:hAnsi="宋体" w:cs="宋体"/>
          <w:color w:val="auto"/>
          <w:kern w:val="0"/>
          <w:szCs w:val="21"/>
        </w:rPr>
        <w:t>：</w:t>
      </w:r>
    </w:p>
    <w:p>
      <w:pPr>
        <w:adjustRightInd w:val="0"/>
        <w:snapToGrid w:val="0"/>
        <w:spacing w:line="360" w:lineRule="auto"/>
        <w:ind w:firstLine="422" w:firstLineChars="200"/>
        <w:rPr>
          <w:rFonts w:hint="eastAsia" w:ascii="宋体" w:hAnsi="宋体" w:cs="宋体"/>
          <w:b/>
          <w:bCs/>
          <w:color w:val="auto"/>
          <w:kern w:val="0"/>
          <w:szCs w:val="21"/>
        </w:rPr>
      </w:pPr>
      <w:r>
        <w:rPr>
          <w:rFonts w:hint="eastAsia" w:ascii="宋体" w:hAnsi="宋体" w:cs="宋体"/>
          <w:b/>
          <w:bCs/>
          <w:color w:val="auto"/>
          <w:kern w:val="0"/>
          <w:szCs w:val="21"/>
        </w:rPr>
        <w:t>（1）法定媒介以中国招标投标公共服务平台、项目所在地省、市级电子招标投标公共服务平台、中国采购与招标网、市级及以上政府采购网、县级及以上公共资源交易中心网中标公示或评标结果公示信息为准，并提供可查询的网址或查询方法。</w:t>
      </w:r>
    </w:p>
    <w:p>
      <w:pPr>
        <w:adjustRightInd w:val="0"/>
        <w:snapToGrid w:val="0"/>
        <w:spacing w:line="360" w:lineRule="auto"/>
        <w:ind w:firstLine="422" w:firstLineChars="200"/>
        <w:rPr>
          <w:rFonts w:hint="eastAsia" w:ascii="宋体" w:hAnsi="宋体" w:cs="宋体"/>
          <w:b/>
          <w:bCs/>
          <w:color w:val="auto"/>
          <w:kern w:val="0"/>
          <w:szCs w:val="21"/>
        </w:rPr>
      </w:pPr>
      <w:r>
        <w:rPr>
          <w:rFonts w:hint="eastAsia" w:ascii="宋体" w:hAnsi="宋体" w:cs="宋体"/>
          <w:b/>
          <w:bCs/>
          <w:color w:val="auto"/>
          <w:kern w:val="0"/>
          <w:szCs w:val="21"/>
        </w:rPr>
        <w:t>（2）企业业绩与项目经理业绩不可重复计分。</w:t>
      </w:r>
    </w:p>
    <w:p>
      <w:pPr>
        <w:adjustRightInd w:val="0"/>
        <w:snapToGrid w:val="0"/>
        <w:spacing w:line="360" w:lineRule="auto"/>
        <w:ind w:firstLine="422" w:firstLineChars="200"/>
        <w:rPr>
          <w:rFonts w:hint="eastAsia" w:ascii="宋体" w:hAnsi="宋体" w:eastAsia="宋体" w:cs="宋体"/>
          <w:b/>
          <w:bCs/>
          <w:color w:val="auto"/>
          <w:kern w:val="0"/>
          <w:szCs w:val="21"/>
          <w:lang w:eastAsia="zh-CN"/>
        </w:rPr>
      </w:pPr>
      <w:r>
        <w:rPr>
          <w:rFonts w:hint="eastAsia" w:ascii="宋体" w:hAnsi="宋体" w:cs="宋体"/>
          <w:b/>
          <w:bCs/>
          <w:color w:val="auto"/>
          <w:kern w:val="0"/>
          <w:szCs w:val="21"/>
          <w:lang w:eastAsia="zh-CN"/>
        </w:rPr>
        <w:t>（</w:t>
      </w:r>
      <w:r>
        <w:rPr>
          <w:rFonts w:hint="eastAsia" w:ascii="宋体" w:hAnsi="宋体" w:cs="宋体"/>
          <w:b/>
          <w:bCs/>
          <w:color w:val="auto"/>
          <w:kern w:val="0"/>
          <w:szCs w:val="21"/>
          <w:lang w:val="en-US" w:eastAsia="zh-CN"/>
        </w:rPr>
        <w:t>3</w:t>
      </w:r>
      <w:r>
        <w:rPr>
          <w:rFonts w:hint="eastAsia" w:ascii="宋体" w:hAnsi="宋体" w:cs="宋体"/>
          <w:b/>
          <w:bCs/>
          <w:color w:val="auto"/>
          <w:kern w:val="0"/>
          <w:szCs w:val="21"/>
          <w:lang w:eastAsia="zh-CN"/>
        </w:rPr>
        <w:t>）</w:t>
      </w:r>
      <w:r>
        <w:rPr>
          <w:rFonts w:hint="eastAsia" w:ascii="宋体" w:hAnsi="宋体" w:cs="宋体"/>
          <w:b/>
          <w:bCs/>
          <w:color w:val="auto"/>
          <w:sz w:val="21"/>
          <w:szCs w:val="21"/>
        </w:rPr>
        <w:t>类似</w:t>
      </w:r>
      <w:r>
        <w:rPr>
          <w:rFonts w:hint="eastAsia" w:ascii="宋体" w:hAnsi="宋体" w:cs="宋体"/>
          <w:b/>
          <w:bCs/>
          <w:color w:val="auto"/>
          <w:sz w:val="21"/>
          <w:szCs w:val="21"/>
          <w:lang w:eastAsia="zh-CN"/>
        </w:rPr>
        <w:t>项目</w:t>
      </w:r>
      <w:r>
        <w:rPr>
          <w:rFonts w:hint="eastAsia" w:ascii="宋体" w:hAnsi="宋体" w:cs="宋体"/>
          <w:b/>
          <w:bCs/>
          <w:color w:val="auto"/>
          <w:sz w:val="21"/>
          <w:szCs w:val="21"/>
        </w:rPr>
        <w:t>业绩</w:t>
      </w:r>
      <w:r>
        <w:rPr>
          <w:rFonts w:hint="eastAsia" w:ascii="宋体" w:hAnsi="宋体" w:cs="宋体"/>
          <w:b/>
          <w:bCs/>
          <w:color w:val="auto"/>
          <w:sz w:val="21"/>
          <w:szCs w:val="21"/>
          <w:lang w:eastAsia="zh-CN"/>
        </w:rPr>
        <w:t>是指：道路类相关工程。</w:t>
      </w:r>
    </w:p>
    <w:p>
      <w:pPr>
        <w:pStyle w:val="16"/>
        <w:widowControl/>
        <w:spacing w:beforeAutospacing="0" w:afterAutospacing="0" w:line="360" w:lineRule="auto"/>
        <w:jc w:val="both"/>
        <w:rPr>
          <w:rFonts w:ascii="宋体" w:hAnsi="宋体" w:cs="宋体"/>
          <w:b/>
          <w:bCs/>
          <w:color w:val="auto"/>
          <w:sz w:val="21"/>
          <w:szCs w:val="21"/>
        </w:rPr>
      </w:pPr>
      <w:r>
        <w:rPr>
          <w:rFonts w:hint="eastAsia" w:ascii="宋体" w:hAnsi="宋体" w:cs="宋体"/>
          <w:b/>
          <w:bCs/>
          <w:color w:val="auto"/>
          <w:sz w:val="21"/>
          <w:szCs w:val="21"/>
        </w:rPr>
        <w:t>（三）优惠承诺（变更签证优惠率）：2分</w:t>
      </w:r>
    </w:p>
    <w:p>
      <w:pPr>
        <w:pStyle w:val="16"/>
        <w:widowControl/>
        <w:spacing w:beforeAutospacing="0" w:afterAutospacing="0" w:line="360" w:lineRule="auto"/>
        <w:ind w:firstLine="420" w:firstLineChars="200"/>
        <w:jc w:val="both"/>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①投标人所报变更签证优惠率高于或等于其本身投标报价优惠率及评标基准变更签证优惠率，得2分。</w:t>
      </w:r>
    </w:p>
    <w:p>
      <w:pPr>
        <w:pStyle w:val="16"/>
        <w:widowControl/>
        <w:spacing w:beforeAutospacing="0" w:afterAutospacing="0" w:line="360" w:lineRule="auto"/>
        <w:ind w:firstLine="420" w:firstLineChars="200"/>
        <w:jc w:val="both"/>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②投标人所报变更签证优惠率高于或等于其本身投标报价优惠率但低于评标基准变更签证优惠率，得1分。</w:t>
      </w:r>
    </w:p>
    <w:p>
      <w:pPr>
        <w:pStyle w:val="16"/>
        <w:widowControl/>
        <w:spacing w:beforeAutospacing="0" w:afterAutospacing="0" w:line="360" w:lineRule="auto"/>
        <w:ind w:firstLine="420" w:firstLineChars="200"/>
        <w:jc w:val="both"/>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③投标报价优惠率=（最高投标限价-投标报价）/最高投标限价*100%。</w:t>
      </w:r>
    </w:p>
    <w:p>
      <w:pPr>
        <w:pStyle w:val="16"/>
        <w:widowControl/>
        <w:spacing w:beforeAutospacing="0" w:afterAutospacing="0" w:line="360" w:lineRule="auto"/>
        <w:ind w:firstLine="420" w:firstLineChars="200"/>
        <w:jc w:val="both"/>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④评标基准变更签证优惠率为所有有效投标人的变更签证优惠率（当有效投标人5家及以上时，按大小排列分别去掉排名靠前的20%和靠后20%）的算术平均值，不为整数时按四舍五入取整。</w:t>
      </w:r>
    </w:p>
    <w:p>
      <w:pPr>
        <w:pStyle w:val="16"/>
        <w:widowControl/>
        <w:spacing w:beforeAutospacing="0" w:afterAutospacing="0" w:line="360" w:lineRule="auto"/>
        <w:jc w:val="both"/>
        <w:rPr>
          <w:rFonts w:ascii="宋体" w:hAnsi="宋体" w:cs="宋体"/>
          <w:b/>
          <w:bCs/>
          <w:color w:val="auto"/>
          <w:sz w:val="21"/>
          <w:szCs w:val="21"/>
        </w:rPr>
      </w:pPr>
      <w:r>
        <w:rPr>
          <w:rFonts w:hint="eastAsia" w:ascii="宋体" w:hAnsi="宋体" w:cs="宋体"/>
          <w:b/>
          <w:bCs/>
          <w:color w:val="auto"/>
          <w:sz w:val="21"/>
          <w:szCs w:val="21"/>
        </w:rPr>
        <w:t>（四）企业信用：</w:t>
      </w:r>
      <w:r>
        <w:rPr>
          <w:rFonts w:hint="eastAsia" w:ascii="宋体" w:hAnsi="宋体" w:cs="宋体"/>
          <w:b/>
          <w:bCs/>
          <w:color w:val="auto"/>
          <w:sz w:val="21"/>
          <w:szCs w:val="21"/>
          <w:lang w:val="en-US" w:eastAsia="zh-CN"/>
        </w:rPr>
        <w:t>7</w:t>
      </w:r>
      <w:r>
        <w:rPr>
          <w:rFonts w:hint="eastAsia" w:ascii="宋体" w:hAnsi="宋体" w:cs="宋体"/>
          <w:b/>
          <w:bCs/>
          <w:color w:val="auto"/>
          <w:sz w:val="21"/>
          <w:szCs w:val="21"/>
        </w:rPr>
        <w:t>分</w:t>
      </w:r>
    </w:p>
    <w:p>
      <w:pPr>
        <w:pStyle w:val="16"/>
        <w:widowControl/>
        <w:spacing w:beforeAutospacing="0" w:afterAutospacing="0" w:line="360" w:lineRule="auto"/>
        <w:ind w:firstLine="420" w:firstLineChars="200"/>
        <w:jc w:val="both"/>
        <w:rPr>
          <w:rFonts w:hint="eastAsia" w:ascii="宋体" w:hAnsi="宋体" w:cs="宋体"/>
          <w:color w:val="auto"/>
          <w:sz w:val="21"/>
          <w:szCs w:val="21"/>
          <w:lang w:val="en-US" w:eastAsia="zh-CN"/>
        </w:rPr>
      </w:pPr>
      <w:r>
        <w:rPr>
          <w:rFonts w:hint="eastAsia" w:ascii="宋体" w:hAnsi="宋体" w:cs="宋体"/>
          <w:color w:val="auto"/>
          <w:sz w:val="21"/>
          <w:szCs w:val="21"/>
        </w:rPr>
        <w:t>1.</w:t>
      </w:r>
      <w:r>
        <w:rPr>
          <w:rFonts w:hint="eastAsia" w:ascii="宋体" w:hAnsi="宋体" w:cs="宋体"/>
          <w:color w:val="auto"/>
          <w:sz w:val="21"/>
          <w:szCs w:val="21"/>
          <w:lang w:val="en-US" w:eastAsia="zh-CN"/>
        </w:rPr>
        <w:t>体系认证：3分</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lang w:val="en-US" w:eastAsia="zh-CN"/>
        </w:rPr>
        <w:t>投标人具有有效的质量、环境、职业健康安全管理体系认证证书有一项得1分，共3分</w:t>
      </w:r>
      <w:r>
        <w:rPr>
          <w:rFonts w:hint="eastAsia" w:ascii="宋体" w:hAnsi="宋体" w:cs="宋体"/>
          <w:color w:val="auto"/>
          <w:sz w:val="21"/>
          <w:szCs w:val="21"/>
        </w:rPr>
        <w:t>（投标文件中须附以上证件原件及相配套的文件原件的扫描件，并加盖单位公章，否则不得分）。</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2.企业信用评价：3分</w:t>
      </w:r>
    </w:p>
    <w:p>
      <w:pPr>
        <w:pStyle w:val="16"/>
        <w:widowControl/>
        <w:spacing w:beforeAutospacing="0" w:afterAutospacing="0" w:line="360" w:lineRule="auto"/>
        <w:ind w:firstLine="420" w:firstLineChars="200"/>
        <w:jc w:val="both"/>
        <w:rPr>
          <w:rFonts w:hint="eastAsia" w:ascii="宋体" w:hAnsi="宋体" w:cs="宋体"/>
          <w:color w:val="auto"/>
          <w:sz w:val="21"/>
          <w:szCs w:val="21"/>
        </w:rPr>
      </w:pPr>
      <w:r>
        <w:rPr>
          <w:rFonts w:hint="eastAsia" w:ascii="宋体" w:hAnsi="宋体" w:cs="宋体"/>
          <w:color w:val="auto"/>
          <w:sz w:val="21"/>
          <w:szCs w:val="21"/>
          <w:lang w:val="en-US" w:eastAsia="zh-CN"/>
        </w:rPr>
        <w:t>投标企业获得AAA级信用等级的得3分，AA级信用等级的得2分，A级信用等级的得1分，其余不得分</w:t>
      </w:r>
      <w:r>
        <w:rPr>
          <w:rFonts w:hint="eastAsia" w:ascii="宋体" w:hAnsi="宋体" w:cs="宋体"/>
          <w:color w:val="auto"/>
          <w:sz w:val="21"/>
          <w:szCs w:val="21"/>
        </w:rPr>
        <w:t>。（投标文件中须附以上证件原件扫描件，并加盖单位公章， 否则不得分。）</w:t>
      </w:r>
    </w:p>
    <w:p>
      <w:pPr>
        <w:pStyle w:val="16"/>
        <w:widowControl/>
        <w:spacing w:beforeAutospacing="0" w:afterAutospacing="0" w:line="360" w:lineRule="auto"/>
        <w:ind w:firstLine="420" w:firstLineChars="200"/>
        <w:jc w:val="both"/>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 xml:space="preserve">3.红名单企业：1分  </w:t>
      </w:r>
    </w:p>
    <w:p>
      <w:pPr>
        <w:pStyle w:val="16"/>
        <w:widowControl/>
        <w:spacing w:beforeAutospacing="0" w:afterAutospacing="0" w:line="360" w:lineRule="auto"/>
        <w:ind w:firstLine="420" w:firstLineChars="200"/>
        <w:jc w:val="both"/>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被列为工程建设领域“红榜”或“红名单”企业得1分。</w:t>
      </w:r>
    </w:p>
    <w:p>
      <w:pPr>
        <w:pStyle w:val="16"/>
        <w:widowControl/>
        <w:numPr>
          <w:ilvl w:val="0"/>
          <w:numId w:val="9"/>
        </w:numPr>
        <w:spacing w:beforeAutospacing="0" w:afterAutospacing="0" w:line="360" w:lineRule="auto"/>
        <w:jc w:val="both"/>
        <w:rPr>
          <w:rFonts w:ascii="宋体" w:hAnsi="宋体" w:cs="宋体"/>
          <w:b/>
          <w:bCs/>
          <w:color w:val="auto"/>
          <w:sz w:val="21"/>
          <w:szCs w:val="21"/>
        </w:rPr>
      </w:pPr>
      <w:r>
        <w:rPr>
          <w:rFonts w:hint="eastAsia" w:ascii="宋体" w:hAnsi="宋体" w:cs="宋体"/>
          <w:b/>
          <w:bCs/>
          <w:color w:val="auto"/>
          <w:sz w:val="21"/>
          <w:szCs w:val="21"/>
        </w:rPr>
        <w:t>项目经理信用：</w:t>
      </w:r>
      <w:r>
        <w:rPr>
          <w:rFonts w:hint="eastAsia" w:ascii="宋体" w:hAnsi="宋体" w:cs="宋体"/>
          <w:b/>
          <w:bCs/>
          <w:color w:val="auto"/>
          <w:sz w:val="21"/>
          <w:szCs w:val="21"/>
          <w:lang w:val="en-US" w:eastAsia="zh-CN"/>
        </w:rPr>
        <w:t>1</w:t>
      </w:r>
      <w:r>
        <w:rPr>
          <w:rFonts w:hint="eastAsia" w:ascii="宋体" w:hAnsi="宋体" w:cs="宋体"/>
          <w:b/>
          <w:bCs/>
          <w:color w:val="auto"/>
          <w:sz w:val="21"/>
          <w:szCs w:val="21"/>
        </w:rPr>
        <w:t>分</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获得省级及以上工程质量奖、安全文明工地奖、科技创新、优秀项目经理、诚信项目经理之一的得</w:t>
      </w:r>
      <w:r>
        <w:rPr>
          <w:rFonts w:hint="eastAsia" w:ascii="宋体" w:hAnsi="宋体" w:cs="宋体"/>
          <w:color w:val="auto"/>
          <w:sz w:val="21"/>
          <w:szCs w:val="21"/>
          <w:lang w:val="en-US" w:eastAsia="zh-CN"/>
        </w:rPr>
        <w:t>1</w:t>
      </w:r>
      <w:r>
        <w:rPr>
          <w:rFonts w:hint="eastAsia" w:ascii="宋体" w:hAnsi="宋体" w:cs="宋体"/>
          <w:color w:val="auto"/>
          <w:sz w:val="21"/>
          <w:szCs w:val="21"/>
        </w:rPr>
        <w:t>分；获得地市级工程质量奖、安全文明工地奖、优秀项目经理之一的得</w:t>
      </w:r>
      <w:r>
        <w:rPr>
          <w:rFonts w:hint="eastAsia" w:ascii="宋体" w:hAnsi="宋体" w:cs="宋体"/>
          <w:color w:val="auto"/>
          <w:sz w:val="21"/>
          <w:szCs w:val="21"/>
          <w:lang w:val="en-US" w:eastAsia="zh-CN"/>
        </w:rPr>
        <w:t>0.5</w:t>
      </w:r>
      <w:r>
        <w:rPr>
          <w:rFonts w:hint="eastAsia" w:ascii="宋体" w:hAnsi="宋体" w:cs="宋体"/>
          <w:color w:val="auto"/>
          <w:sz w:val="21"/>
          <w:szCs w:val="21"/>
        </w:rPr>
        <w:t>分。</w:t>
      </w:r>
    </w:p>
    <w:p>
      <w:pPr>
        <w:pStyle w:val="16"/>
        <w:widowControl/>
        <w:numPr>
          <w:ilvl w:val="0"/>
          <w:numId w:val="9"/>
        </w:numPr>
        <w:spacing w:beforeAutospacing="0" w:afterAutospacing="0" w:line="360" w:lineRule="auto"/>
        <w:jc w:val="both"/>
        <w:rPr>
          <w:rFonts w:ascii="宋体" w:hAnsi="宋体" w:cs="宋体"/>
          <w:b/>
          <w:bCs/>
          <w:color w:val="auto"/>
          <w:sz w:val="21"/>
          <w:szCs w:val="21"/>
        </w:rPr>
      </w:pPr>
      <w:r>
        <w:rPr>
          <w:rFonts w:hint="eastAsia" w:ascii="宋体" w:hAnsi="宋体" w:cs="宋体"/>
          <w:b/>
          <w:bCs/>
          <w:color w:val="auto"/>
          <w:sz w:val="21"/>
          <w:szCs w:val="21"/>
        </w:rPr>
        <w:t>不良信用扣分：</w:t>
      </w:r>
    </w:p>
    <w:p>
      <w:pPr>
        <w:pStyle w:val="16"/>
        <w:widowControl/>
        <w:numPr>
          <w:ilvl w:val="0"/>
          <w:numId w:val="0"/>
        </w:numPr>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lang w:val="en-US" w:eastAsia="zh-CN"/>
        </w:rPr>
        <w:t>1.</w:t>
      </w:r>
      <w:r>
        <w:rPr>
          <w:rFonts w:hint="eastAsia" w:ascii="宋体" w:hAnsi="宋体" w:cs="宋体"/>
          <w:color w:val="auto"/>
          <w:sz w:val="21"/>
          <w:szCs w:val="21"/>
        </w:rPr>
        <w:t>企业每有一项不良信用记录或一般性通报批评（或处罚）扣1分，至企业信用得分扣完为止。</w:t>
      </w:r>
    </w:p>
    <w:p>
      <w:pPr>
        <w:pStyle w:val="16"/>
        <w:widowControl/>
        <w:spacing w:beforeAutospacing="0" w:afterAutospacing="0" w:line="360" w:lineRule="auto"/>
        <w:ind w:left="420" w:leftChars="200"/>
        <w:jc w:val="both"/>
        <w:rPr>
          <w:rFonts w:ascii="宋体" w:hAnsi="宋体" w:cs="宋体"/>
          <w:b/>
          <w:bCs/>
          <w:color w:val="auto"/>
          <w:sz w:val="21"/>
          <w:szCs w:val="21"/>
        </w:rPr>
      </w:pPr>
      <w:r>
        <w:rPr>
          <w:rFonts w:hint="eastAsia" w:ascii="宋体" w:hAnsi="宋体" w:cs="宋体"/>
          <w:color w:val="auto"/>
          <w:sz w:val="21"/>
          <w:szCs w:val="21"/>
        </w:rPr>
        <w:t>2.项目经理每有一项不良信用记录或一般性通报批评（或处罚）扣1分，至项目经理信用得分扣完为止。</w:t>
      </w:r>
    </w:p>
    <w:p>
      <w:pPr>
        <w:pStyle w:val="16"/>
        <w:widowControl/>
        <w:spacing w:beforeAutospacing="0" w:afterAutospacing="0" w:line="360" w:lineRule="auto"/>
        <w:jc w:val="both"/>
        <w:rPr>
          <w:rFonts w:ascii="宋体" w:hAnsi="宋体" w:cs="宋体"/>
          <w:b/>
          <w:bCs/>
          <w:color w:val="auto"/>
          <w:sz w:val="21"/>
          <w:szCs w:val="21"/>
        </w:rPr>
      </w:pPr>
      <w:r>
        <w:rPr>
          <w:rFonts w:hint="eastAsia" w:ascii="宋体" w:hAnsi="宋体" w:cs="宋体"/>
          <w:b/>
          <w:bCs/>
          <w:color w:val="auto"/>
          <w:sz w:val="21"/>
          <w:szCs w:val="21"/>
        </w:rPr>
        <w:t>（七）招标人意见：3分</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招标人根据投标人投标文件编制的详实、合理、认真程度等综合印象进行打分。招标人意见可由评标委员会中的招标人代表负责赋予。</w:t>
      </w:r>
    </w:p>
    <w:p>
      <w:pPr>
        <w:pStyle w:val="16"/>
        <w:widowControl/>
        <w:spacing w:beforeAutospacing="0" w:afterAutospacing="0" w:line="360" w:lineRule="auto"/>
        <w:jc w:val="both"/>
        <w:rPr>
          <w:rFonts w:ascii="宋体" w:hAnsi="宋体" w:cs="宋体"/>
          <w:b/>
          <w:bCs/>
          <w:color w:val="auto"/>
          <w:sz w:val="21"/>
          <w:szCs w:val="21"/>
        </w:rPr>
      </w:pPr>
      <w:r>
        <w:rPr>
          <w:rFonts w:hint="eastAsia" w:ascii="宋体" w:hAnsi="宋体" w:cs="宋体"/>
          <w:b/>
          <w:bCs/>
          <w:color w:val="auto"/>
          <w:sz w:val="21"/>
          <w:szCs w:val="21"/>
        </w:rPr>
        <w:t>（八）说明事项</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1.除国家级、省级科研平台或企业技术中心证书使用周期为一年外，其他良好信用使用周期为三年。</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2.证书不累计，不重复计分，以最高证书加分为准。</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3.所有证书必须提供证书和发证机关下发的文件，20</w:t>
      </w:r>
      <w:r>
        <w:rPr>
          <w:rFonts w:hint="eastAsia" w:ascii="宋体" w:hAnsi="宋体" w:cs="宋体"/>
          <w:color w:val="auto"/>
          <w:sz w:val="21"/>
          <w:szCs w:val="21"/>
          <w:lang w:val="en-US" w:eastAsia="zh-CN"/>
        </w:rPr>
        <w:t>20</w:t>
      </w:r>
      <w:r>
        <w:rPr>
          <w:rFonts w:hint="eastAsia" w:ascii="宋体" w:hAnsi="宋体" w:cs="宋体"/>
          <w:color w:val="auto"/>
          <w:sz w:val="21"/>
          <w:szCs w:val="21"/>
        </w:rPr>
        <w:t>年度</w:t>
      </w:r>
      <w:r>
        <w:rPr>
          <w:rFonts w:hint="eastAsia" w:ascii="宋体" w:hAnsi="宋体" w:cs="宋体"/>
          <w:color w:val="auto"/>
          <w:sz w:val="21"/>
          <w:szCs w:val="21"/>
          <w:lang w:eastAsia="zh-CN"/>
        </w:rPr>
        <w:t>及</w:t>
      </w:r>
      <w:r>
        <w:rPr>
          <w:rFonts w:hint="eastAsia" w:ascii="宋体" w:hAnsi="宋体" w:cs="宋体"/>
          <w:color w:val="auto"/>
          <w:sz w:val="21"/>
          <w:szCs w:val="21"/>
          <w:lang w:val="en-US" w:eastAsia="zh-CN"/>
        </w:rPr>
        <w:t>2021年度</w:t>
      </w:r>
      <w:r>
        <w:rPr>
          <w:rFonts w:hint="eastAsia" w:ascii="宋体" w:hAnsi="宋体" w:cs="宋体"/>
          <w:color w:val="auto"/>
          <w:sz w:val="21"/>
          <w:szCs w:val="21"/>
        </w:rPr>
        <w:t>企业或项目经理获得的荣誉，如证书还未颁发，可提供发证机关下发的文件，同样给予认可。</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4.政府及住房和城乡建设主管部门一般性通报表彰是指与城乡建设管理工作相关的质量、安全、扬尘管控等表彰。</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5.所有证书均指由住房和城乡建设部、省级人民政府、省级住房和城乡建设厅、市级人民政府、市级住房和城乡建设行政主管部门或相关行业协会所颁发证书。</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6.企业及项目经理良好信用信息采集项见附件2和附件3。</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7.企业信用等级、红名单企业和不良信用信息采集以信用中国、信用（洛阳）、信用洛阳等信用网站公布信息为准，投标文件中需提供符合规定的信用报告和信用等级证书。红榜企业信息以上信用网站公布的当年度的企业信息为准。</w:t>
      </w:r>
    </w:p>
    <w:p>
      <w:pPr>
        <w:pStyle w:val="16"/>
        <w:widowControl/>
        <w:spacing w:beforeAutospacing="0" w:afterAutospacing="0" w:line="360" w:lineRule="auto"/>
        <w:ind w:firstLine="420" w:firstLineChars="200"/>
        <w:jc w:val="both"/>
        <w:rPr>
          <w:rFonts w:ascii="宋体" w:hAnsi="宋体" w:cs="宋体"/>
          <w:color w:val="auto"/>
          <w:sz w:val="21"/>
          <w:szCs w:val="21"/>
        </w:rPr>
      </w:pPr>
      <w:r>
        <w:rPr>
          <w:rFonts w:hint="eastAsia" w:ascii="宋体" w:hAnsi="宋体" w:cs="宋体"/>
          <w:color w:val="auto"/>
          <w:sz w:val="21"/>
          <w:szCs w:val="21"/>
        </w:rPr>
        <w:t>8.招标人应依据招标项目的技术特点，在招标文件中对投标人和拟任项目经理的类似工程业绩、业绩数量、分值以及需要提供的相关证明材料等要求进行细化。</w:t>
      </w:r>
    </w:p>
    <w:p>
      <w:pPr>
        <w:pStyle w:val="16"/>
        <w:widowControl/>
        <w:spacing w:beforeAutospacing="0" w:afterAutospacing="0" w:line="360" w:lineRule="auto"/>
        <w:jc w:val="both"/>
        <w:rPr>
          <w:rFonts w:ascii="宋体" w:hAnsi="宋体" w:cs="宋体"/>
          <w:b/>
          <w:bCs/>
          <w:color w:val="auto"/>
          <w:sz w:val="21"/>
          <w:szCs w:val="21"/>
        </w:rPr>
      </w:pPr>
      <w:r>
        <w:rPr>
          <w:rFonts w:hint="eastAsia" w:ascii="宋体" w:hAnsi="宋体" w:cs="宋体"/>
          <w:b/>
          <w:bCs/>
          <w:color w:val="auto"/>
          <w:sz w:val="21"/>
          <w:szCs w:val="21"/>
        </w:rPr>
        <w:t>四、投标人综合得分的计算</w:t>
      </w:r>
    </w:p>
    <w:p>
      <w:pPr>
        <w:pStyle w:val="16"/>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firstLineChars="200"/>
        <w:jc w:val="both"/>
        <w:textAlignment w:val="auto"/>
        <w:rPr>
          <w:rFonts w:ascii="宋体" w:hAnsi="宋体" w:cs="宋体"/>
          <w:color w:val="auto"/>
          <w:sz w:val="21"/>
          <w:szCs w:val="21"/>
        </w:rPr>
      </w:pPr>
      <w:r>
        <w:rPr>
          <w:rFonts w:hint="eastAsia" w:ascii="宋体" w:hAnsi="宋体" w:cs="宋体"/>
          <w:color w:val="auto"/>
          <w:sz w:val="21"/>
          <w:szCs w:val="21"/>
        </w:rPr>
        <w:t>评标委员会应按下列公式计算得分，分值均保留两位小数。</w:t>
      </w:r>
    </w:p>
    <w:p>
      <w:pPr>
        <w:pStyle w:val="16"/>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firstLineChars="200"/>
        <w:jc w:val="both"/>
        <w:textAlignment w:val="auto"/>
        <w:rPr>
          <w:rFonts w:ascii="宋体" w:hAnsi="宋体" w:cs="宋体"/>
          <w:color w:val="auto"/>
          <w:sz w:val="21"/>
          <w:szCs w:val="21"/>
        </w:rPr>
      </w:pPr>
      <w:r>
        <w:rPr>
          <w:rFonts w:hint="eastAsia" w:ascii="宋体" w:hAnsi="宋体" w:cs="宋体"/>
          <w:color w:val="auto"/>
          <w:sz w:val="21"/>
          <w:szCs w:val="21"/>
        </w:rPr>
        <w:t>投标人综合得分＝技术标得分＋商务标得分＋综合标得分。</w:t>
      </w:r>
    </w:p>
    <w:p>
      <w:pPr>
        <w:pStyle w:val="16"/>
        <w:keepNext w:val="0"/>
        <w:keepLines w:val="0"/>
        <w:pageBreakBefore w:val="0"/>
        <w:widowControl/>
        <w:kinsoku/>
        <w:wordWrap/>
        <w:overflowPunct/>
        <w:topLinePunct w:val="0"/>
        <w:autoSpaceDE/>
        <w:autoSpaceDN/>
        <w:bidi w:val="0"/>
        <w:adjustRightInd/>
        <w:snapToGrid/>
        <w:spacing w:beforeAutospacing="0" w:afterAutospacing="0" w:line="360" w:lineRule="auto"/>
        <w:ind w:firstLine="420" w:firstLineChars="200"/>
        <w:jc w:val="both"/>
        <w:textAlignment w:val="auto"/>
        <w:rPr>
          <w:rFonts w:ascii="宋体" w:hAnsi="宋体" w:cs="宋体"/>
          <w:color w:val="auto"/>
          <w:sz w:val="21"/>
          <w:szCs w:val="21"/>
        </w:rPr>
      </w:pPr>
      <w:r>
        <w:rPr>
          <w:rFonts w:hint="eastAsia" w:ascii="宋体" w:hAnsi="宋体" w:cs="宋体"/>
          <w:color w:val="auto"/>
          <w:sz w:val="21"/>
          <w:szCs w:val="21"/>
        </w:rPr>
        <w:t>评标计分汇总工作由评委会指定不少于2名评委，在评标委员会监督下进行，各投标人每项得分（包括技术标各项得分）之和为总计得分，排出得分名次，并按顺序推荐中标候选人（中标候选人应当不超过3个）。当合计得分最高的出现相等时，按投标总报价由低到高的顺序排列；如总得分和投标总报价也相同时,按技术标得分由高到低的顺序排列；技术标得分相同时，企业信用报告评定等级较高的投标企业优先考虑。评标委员会成员应在《评标计分汇总表》上签署意见，向所有投标人公开评标结果。</w:t>
      </w:r>
    </w:p>
    <w:p>
      <w:pPr>
        <w:pStyle w:val="16"/>
        <w:widowControl/>
        <w:spacing w:beforeAutospacing="0" w:afterAutospacing="0" w:line="360" w:lineRule="auto"/>
        <w:ind w:firstLine="640"/>
        <w:jc w:val="both"/>
        <w:rPr>
          <w:rFonts w:ascii="宋体" w:hAnsi="宋体" w:cs="宋体"/>
          <w:color w:val="auto"/>
          <w:sz w:val="21"/>
          <w:szCs w:val="21"/>
        </w:rPr>
      </w:pPr>
    </w:p>
    <w:p>
      <w:pPr>
        <w:rPr>
          <w:rFonts w:asciiTheme="minorEastAsia" w:hAnsiTheme="minorEastAsia" w:eastAsiaTheme="minorEastAsia" w:cstheme="minorEastAsia"/>
          <w:b/>
          <w:bCs/>
          <w:color w:val="auto"/>
          <w:spacing w:val="-6"/>
          <w:kern w:val="0"/>
          <w:szCs w:val="21"/>
        </w:rPr>
      </w:pPr>
      <w:r>
        <w:rPr>
          <w:rFonts w:hint="eastAsia" w:asciiTheme="minorEastAsia" w:hAnsiTheme="minorEastAsia" w:eastAsiaTheme="minorEastAsia" w:cstheme="minorEastAsia"/>
          <w:b/>
          <w:bCs/>
          <w:color w:val="auto"/>
          <w:spacing w:val="-6"/>
          <w:kern w:val="0"/>
          <w:szCs w:val="21"/>
        </w:rPr>
        <w:br w:type="page"/>
      </w:r>
    </w:p>
    <w:p>
      <w:pPr>
        <w:rPr>
          <w:rFonts w:asciiTheme="minorEastAsia" w:hAnsiTheme="minorEastAsia" w:eastAsiaTheme="minorEastAsia" w:cstheme="minorEastAsia"/>
          <w:b/>
          <w:bCs/>
          <w:color w:val="auto"/>
          <w:spacing w:val="-6"/>
          <w:kern w:val="0"/>
          <w:szCs w:val="21"/>
        </w:rPr>
      </w:pPr>
      <w:r>
        <w:rPr>
          <w:rFonts w:hint="eastAsia" w:asciiTheme="minorEastAsia" w:hAnsiTheme="minorEastAsia" w:eastAsiaTheme="minorEastAsia" w:cstheme="minorEastAsia"/>
          <w:b/>
          <w:bCs/>
          <w:color w:val="auto"/>
          <w:spacing w:val="-6"/>
          <w:kern w:val="0"/>
          <w:szCs w:val="21"/>
        </w:rPr>
        <w:t>附件1：商务标清标内容</w:t>
      </w:r>
    </w:p>
    <w:tbl>
      <w:tblPr>
        <w:tblStyle w:val="17"/>
        <w:tblW w:w="4999" w:type="pct"/>
        <w:jc w:val="center"/>
        <w:tblLayout w:type="autofit"/>
        <w:tblCellMar>
          <w:top w:w="0" w:type="dxa"/>
          <w:left w:w="0" w:type="dxa"/>
          <w:bottom w:w="0" w:type="dxa"/>
          <w:right w:w="0" w:type="dxa"/>
        </w:tblCellMar>
      </w:tblPr>
      <w:tblGrid>
        <w:gridCol w:w="362"/>
        <w:gridCol w:w="531"/>
        <w:gridCol w:w="3100"/>
        <w:gridCol w:w="4059"/>
        <w:gridCol w:w="496"/>
        <w:gridCol w:w="486"/>
      </w:tblGrid>
      <w:tr>
        <w:tblPrEx>
          <w:tblCellMar>
            <w:top w:w="0" w:type="dxa"/>
            <w:left w:w="0" w:type="dxa"/>
            <w:bottom w:w="0" w:type="dxa"/>
            <w:right w:w="0" w:type="dxa"/>
          </w:tblCellMar>
        </w:tblPrEx>
        <w:trPr>
          <w:trHeight w:val="282" w:hRule="atLeast"/>
          <w:jc w:val="center"/>
        </w:trPr>
        <w:tc>
          <w:tcPr>
            <w:tcW w:w="480" w:type="pct"/>
            <w:gridSpan w:val="2"/>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300" w:lineRule="atLeast"/>
              <w:jc w:val="center"/>
              <w:rPr>
                <w:rFonts w:ascii="宋体" w:hAnsi="宋体" w:cs="宋体"/>
                <w:color w:val="auto"/>
                <w:sz w:val="21"/>
                <w:szCs w:val="21"/>
              </w:rPr>
            </w:pPr>
            <w:r>
              <w:rPr>
                <w:rFonts w:hint="eastAsia" w:ascii="宋体" w:hAnsi="宋体" w:cs="宋体"/>
                <w:b/>
                <w:color w:val="auto"/>
                <w:sz w:val="21"/>
                <w:szCs w:val="21"/>
              </w:rPr>
              <w:t>序号</w:t>
            </w:r>
          </w:p>
        </w:tc>
        <w:tc>
          <w:tcPr>
            <w:tcW w:w="1719" w:type="pct"/>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300" w:lineRule="atLeast"/>
              <w:jc w:val="center"/>
              <w:rPr>
                <w:rFonts w:ascii="宋体" w:hAnsi="宋体" w:cs="宋体"/>
                <w:color w:val="auto"/>
                <w:sz w:val="21"/>
                <w:szCs w:val="21"/>
              </w:rPr>
            </w:pPr>
            <w:r>
              <w:rPr>
                <w:rFonts w:hint="eastAsia" w:ascii="宋体" w:hAnsi="宋体" w:cs="宋体"/>
                <w:b/>
                <w:color w:val="auto"/>
                <w:sz w:val="21"/>
                <w:szCs w:val="21"/>
              </w:rPr>
              <w:t>清标项目</w:t>
            </w:r>
          </w:p>
        </w:tc>
        <w:tc>
          <w:tcPr>
            <w:tcW w:w="2249" w:type="pct"/>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300" w:lineRule="atLeast"/>
              <w:jc w:val="center"/>
              <w:rPr>
                <w:rFonts w:ascii="宋体" w:hAnsi="宋体" w:cs="宋体"/>
                <w:color w:val="auto"/>
                <w:sz w:val="21"/>
                <w:szCs w:val="21"/>
              </w:rPr>
            </w:pPr>
            <w:r>
              <w:rPr>
                <w:rFonts w:hint="eastAsia" w:ascii="宋体" w:hAnsi="宋体" w:cs="宋体"/>
                <w:b/>
                <w:color w:val="auto"/>
                <w:sz w:val="21"/>
                <w:szCs w:val="21"/>
              </w:rPr>
              <w:t>清标内容</w:t>
            </w:r>
          </w:p>
        </w:tc>
        <w:tc>
          <w:tcPr>
            <w:tcW w:w="550" w:type="pct"/>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300" w:lineRule="atLeast"/>
              <w:jc w:val="center"/>
              <w:rPr>
                <w:rFonts w:ascii="宋体" w:hAnsi="宋体" w:cs="宋体"/>
                <w:color w:val="auto"/>
                <w:sz w:val="21"/>
                <w:szCs w:val="21"/>
              </w:rPr>
            </w:pPr>
            <w:r>
              <w:rPr>
                <w:rFonts w:hint="eastAsia" w:ascii="宋体" w:hAnsi="宋体" w:cs="宋体"/>
                <w:b/>
                <w:color w:val="auto"/>
                <w:sz w:val="21"/>
                <w:szCs w:val="21"/>
              </w:rPr>
              <w:t>清标结果</w:t>
            </w:r>
          </w:p>
        </w:tc>
      </w:tr>
      <w:tr>
        <w:tblPrEx>
          <w:tblCellMar>
            <w:top w:w="0" w:type="dxa"/>
            <w:left w:w="0" w:type="dxa"/>
            <w:bottom w:w="0" w:type="dxa"/>
            <w:right w:w="0" w:type="dxa"/>
          </w:tblCellMar>
        </w:tblPrEx>
        <w:trPr>
          <w:trHeight w:val="204" w:hRule="atLeast"/>
          <w:jc w:val="center"/>
        </w:trPr>
        <w:tc>
          <w:tcPr>
            <w:tcW w:w="480" w:type="pct"/>
            <w:gridSpan w:val="2"/>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1719" w:type="pct"/>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249" w:type="pct"/>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b/>
                <w:color w:val="auto"/>
                <w:sz w:val="21"/>
                <w:szCs w:val="21"/>
              </w:rPr>
              <w:t>是</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b/>
                <w:color w:val="auto"/>
                <w:sz w:val="21"/>
                <w:szCs w:val="21"/>
              </w:rPr>
              <w:t>否</w:t>
            </w:r>
          </w:p>
        </w:tc>
      </w:tr>
      <w:tr>
        <w:tblPrEx>
          <w:tblCellMar>
            <w:top w:w="0" w:type="dxa"/>
            <w:left w:w="0" w:type="dxa"/>
            <w:bottom w:w="0" w:type="dxa"/>
            <w:right w:w="0" w:type="dxa"/>
          </w:tblCellMar>
        </w:tblPrEx>
        <w:trPr>
          <w:trHeight w:val="539" w:hRule="atLeast"/>
          <w:jc w:val="center"/>
        </w:trPr>
        <w:tc>
          <w:tcPr>
            <w:tcW w:w="204" w:type="pct"/>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1</w:t>
            </w: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1.1</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项目总报价</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是否等于各单项工程造价之和</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539"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1.2</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单项工程费</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是否等于各单位工程造价之和</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539"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1.3</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单位工程费</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是否等于分部分项工程费+措施项目费+其它项目费+规费+税金之和</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539" w:hRule="atLeast"/>
          <w:jc w:val="center"/>
        </w:trPr>
        <w:tc>
          <w:tcPr>
            <w:tcW w:w="204" w:type="pct"/>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2</w:t>
            </w: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2.1</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分部分项工程费及单价措施费</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ind w:left="186" w:hanging="186"/>
              <w:jc w:val="both"/>
              <w:rPr>
                <w:rFonts w:ascii="宋体" w:hAnsi="宋体" w:cs="宋体"/>
                <w:color w:val="auto"/>
                <w:sz w:val="21"/>
                <w:szCs w:val="21"/>
              </w:rPr>
            </w:pPr>
            <w:r>
              <w:rPr>
                <w:rFonts w:hint="eastAsia" w:ascii="宋体" w:hAnsi="宋体" w:cs="宋体"/>
                <w:color w:val="auto"/>
                <w:spacing w:val="-12"/>
                <w:sz w:val="21"/>
                <w:szCs w:val="21"/>
              </w:rPr>
              <w:t>是否等于各分部分项清单（含单价措施项目）费之和</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2.2</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分部分项及单价措施项目编码</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不得修改招标人清单</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2.3</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分部分项及单价措施项目名称</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不得修改招标人清单</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2.4</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分部分项及单价措施项目特征</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不得修改招标人清单</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2.5</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分部分项及单价措施项目计量单位</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不得修改招标人清单</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2.6</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分部分项及单价措施项目工程量</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不得修改招标人清单</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539"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2.7</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pacing w:val="-4"/>
                <w:sz w:val="21"/>
                <w:szCs w:val="21"/>
              </w:rPr>
              <w:t>分部分项工程费及单价措施费清单综合单价</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综合单价＝人工费+材料费+机械费+管理费+利润之和</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90"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2.8</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材料单价</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pacing w:val="-12"/>
                <w:sz w:val="21"/>
                <w:szCs w:val="21"/>
              </w:rPr>
              <w:t>主要材料价格表中的单价与组成清单单价中的综合单价必须一致</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539" w:hRule="atLeast"/>
          <w:jc w:val="center"/>
        </w:trPr>
        <w:tc>
          <w:tcPr>
            <w:tcW w:w="204" w:type="pct"/>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3</w:t>
            </w: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3.1</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安全文明施工费</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根据河南省计价依据规定计算</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539"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3.2</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其他措施费（费率类）项目</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根据招标文件要求自主报价</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539" w:hRule="atLeast"/>
          <w:jc w:val="center"/>
        </w:trPr>
        <w:tc>
          <w:tcPr>
            <w:tcW w:w="204" w:type="pct"/>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4</w:t>
            </w: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4.1</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其它项目费</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各组成部分之和（暂列金额+专业暂估价+计日工费+总承包服务费）</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4.2</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暂列金额</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应与招标人价格一致</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4.3</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专业工程暂估价</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应与招标人价格一致</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4.4</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计日工</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应与招标人数量一致</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宋体" w:hAnsi="宋体" w:cs="宋体"/>
                <w:color w:val="auto"/>
                <w:szCs w:val="21"/>
              </w:rPr>
            </w:pP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4.5</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总承包服务费</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是否按招标文件要求计算</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5</w:t>
            </w: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规费</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根据河南省计价依据规定计算</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54" w:hRule="atLeast"/>
          <w:jc w:val="center"/>
        </w:trPr>
        <w:tc>
          <w:tcPr>
            <w:tcW w:w="204"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6</w:t>
            </w: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171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增值税</w:t>
            </w:r>
          </w:p>
        </w:tc>
        <w:tc>
          <w:tcPr>
            <w:tcW w:w="2249"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根据河南省计价依据规定计算</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r>
        <w:tblPrEx>
          <w:tblCellMar>
            <w:top w:w="0" w:type="dxa"/>
            <w:left w:w="0" w:type="dxa"/>
            <w:bottom w:w="0" w:type="dxa"/>
            <w:right w:w="0" w:type="dxa"/>
          </w:tblCellMar>
        </w:tblPrEx>
        <w:trPr>
          <w:trHeight w:val="471" w:hRule="atLeast"/>
          <w:jc w:val="center"/>
        </w:trPr>
        <w:tc>
          <w:tcPr>
            <w:tcW w:w="204" w:type="pc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7</w:t>
            </w:r>
          </w:p>
        </w:tc>
        <w:tc>
          <w:tcPr>
            <w:tcW w:w="276"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3969" w:type="pct"/>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rPr>
                <w:rFonts w:ascii="宋体" w:hAnsi="宋体" w:cs="宋体"/>
                <w:color w:val="auto"/>
                <w:sz w:val="21"/>
                <w:szCs w:val="21"/>
              </w:rPr>
            </w:pPr>
            <w:r>
              <w:rPr>
                <w:rFonts w:hint="eastAsia" w:ascii="宋体" w:hAnsi="宋体" w:cs="宋体"/>
                <w:color w:val="auto"/>
                <w:sz w:val="21"/>
                <w:szCs w:val="21"/>
              </w:rPr>
              <w:t>不违反法律、法规、规章、规范性文件规定的其它情况</w:t>
            </w:r>
          </w:p>
        </w:tc>
        <w:tc>
          <w:tcPr>
            <w:tcW w:w="278"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c>
          <w:tcPr>
            <w:tcW w:w="271" w:type="pct"/>
            <w:tcBorders>
              <w:top w:val="nil"/>
              <w:left w:val="nil"/>
              <w:bottom w:val="single" w:color="auto" w:sz="8" w:space="0"/>
              <w:right w:val="single" w:color="auto" w:sz="8" w:space="0"/>
            </w:tcBorders>
            <w:shd w:val="clear" w:color="auto" w:fill="auto"/>
            <w:tcMar>
              <w:left w:w="108" w:type="dxa"/>
              <w:right w:w="108" w:type="dxa"/>
            </w:tcMar>
            <w:vAlign w:val="center"/>
          </w:tcPr>
          <w:p>
            <w:pPr>
              <w:pStyle w:val="16"/>
              <w:widowControl/>
              <w:spacing w:beforeAutospacing="0" w:afterAutospacing="0" w:line="240" w:lineRule="atLeast"/>
              <w:jc w:val="center"/>
              <w:rPr>
                <w:rFonts w:ascii="宋体" w:hAnsi="宋体" w:cs="宋体"/>
                <w:color w:val="auto"/>
                <w:sz w:val="21"/>
                <w:szCs w:val="21"/>
              </w:rPr>
            </w:pPr>
            <w:r>
              <w:rPr>
                <w:rFonts w:hint="eastAsia" w:ascii="宋体" w:hAnsi="宋体" w:cs="宋体"/>
                <w:color w:val="auto"/>
                <w:sz w:val="21"/>
                <w:szCs w:val="21"/>
              </w:rPr>
              <w:t> </w:t>
            </w:r>
          </w:p>
        </w:tc>
      </w:tr>
    </w:tbl>
    <w:p>
      <w:pPr>
        <w:rPr>
          <w:rFonts w:asciiTheme="minorEastAsia" w:hAnsiTheme="minorEastAsia" w:eastAsiaTheme="minorEastAsia" w:cstheme="minorEastAsia"/>
          <w:b/>
          <w:bCs/>
          <w:color w:val="auto"/>
          <w:spacing w:val="-6"/>
          <w:kern w:val="0"/>
          <w:szCs w:val="21"/>
        </w:rPr>
      </w:pPr>
    </w:p>
    <w:p>
      <w:pPr>
        <w:spacing w:before="41"/>
        <w:jc w:val="left"/>
        <w:rPr>
          <w:color w:val="auto"/>
        </w:rPr>
      </w:pPr>
      <w:r>
        <w:rPr>
          <w:color w:val="auto"/>
        </w:rPr>
        <w:t>注：不在上述范围内且不具有实质性影响的内容，均不能作为清标的依据或理由。</w:t>
      </w:r>
    </w:p>
    <w:p>
      <w:pPr>
        <w:spacing w:afterLines="50"/>
        <w:jc w:val="left"/>
        <w:rPr>
          <w:rFonts w:asciiTheme="minorEastAsia" w:hAnsiTheme="minorEastAsia" w:eastAsiaTheme="minorEastAsia" w:cstheme="minorEastAsia"/>
          <w:b/>
          <w:bCs/>
          <w:color w:val="auto"/>
          <w:spacing w:val="-6"/>
          <w:kern w:val="0"/>
          <w:szCs w:val="21"/>
        </w:rPr>
      </w:pPr>
    </w:p>
    <w:p>
      <w:pPr>
        <w:spacing w:afterLines="50"/>
        <w:jc w:val="left"/>
        <w:rPr>
          <w:rFonts w:asciiTheme="minorEastAsia" w:hAnsiTheme="minorEastAsia" w:eastAsiaTheme="minorEastAsia" w:cstheme="minorEastAsia"/>
          <w:b/>
          <w:bCs/>
          <w:color w:val="auto"/>
          <w:kern w:val="0"/>
          <w:szCs w:val="21"/>
        </w:rPr>
      </w:pPr>
      <w:r>
        <w:rPr>
          <w:rFonts w:hint="eastAsia" w:asciiTheme="minorEastAsia" w:hAnsiTheme="minorEastAsia" w:eastAsiaTheme="minorEastAsia" w:cstheme="minorEastAsia"/>
          <w:b/>
          <w:bCs/>
          <w:color w:val="auto"/>
          <w:spacing w:val="-6"/>
          <w:kern w:val="0"/>
          <w:szCs w:val="21"/>
        </w:rPr>
        <w:t>附件2：投标企业良好信用信息采集项</w:t>
      </w:r>
    </w:p>
    <w:tbl>
      <w:tblPr>
        <w:tblStyle w:val="17"/>
        <w:tblW w:w="0" w:type="auto"/>
        <w:jc w:val="center"/>
        <w:tblLayout w:type="fixed"/>
        <w:tblCellMar>
          <w:top w:w="0" w:type="dxa"/>
          <w:left w:w="108" w:type="dxa"/>
          <w:bottom w:w="0" w:type="dxa"/>
          <w:right w:w="108" w:type="dxa"/>
        </w:tblCellMar>
      </w:tblPr>
      <w:tblGrid>
        <w:gridCol w:w="1841"/>
        <w:gridCol w:w="5186"/>
        <w:gridCol w:w="2008"/>
      </w:tblGrid>
      <w:tr>
        <w:tblPrEx>
          <w:tblCellMar>
            <w:top w:w="0" w:type="dxa"/>
            <w:left w:w="108" w:type="dxa"/>
            <w:bottom w:w="0" w:type="dxa"/>
            <w:right w:w="108" w:type="dxa"/>
          </w:tblCellMar>
        </w:tblPrEx>
        <w:trPr>
          <w:trHeight w:val="680" w:hRule="atLeast"/>
          <w:jc w:val="center"/>
        </w:trPr>
        <w:tc>
          <w:tcPr>
            <w:tcW w:w="184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b/>
                <w:bCs/>
                <w:color w:val="auto"/>
                <w:kern w:val="0"/>
                <w:szCs w:val="21"/>
              </w:rPr>
            </w:pPr>
            <w:r>
              <w:rPr>
                <w:rFonts w:hint="eastAsia" w:asciiTheme="minorEastAsia" w:hAnsiTheme="minorEastAsia" w:eastAsiaTheme="minorEastAsia" w:cstheme="minorEastAsia"/>
                <w:b/>
                <w:bCs/>
                <w:color w:val="auto"/>
                <w:szCs w:val="21"/>
              </w:rPr>
              <w:t>信用</w:t>
            </w:r>
            <w:r>
              <w:rPr>
                <w:rFonts w:hint="eastAsia" w:asciiTheme="minorEastAsia" w:hAnsiTheme="minorEastAsia" w:eastAsiaTheme="minorEastAsia" w:cstheme="minorEastAsia"/>
                <w:b/>
                <w:bCs/>
                <w:color w:val="auto"/>
                <w:kern w:val="0"/>
                <w:szCs w:val="21"/>
              </w:rPr>
              <w:t>类别</w:t>
            </w:r>
          </w:p>
        </w:tc>
        <w:tc>
          <w:tcPr>
            <w:tcW w:w="5186"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b/>
                <w:bCs/>
                <w:color w:val="auto"/>
                <w:kern w:val="0"/>
                <w:szCs w:val="21"/>
              </w:rPr>
            </w:pPr>
            <w:r>
              <w:rPr>
                <w:rFonts w:hint="eastAsia" w:asciiTheme="minorEastAsia" w:hAnsiTheme="minorEastAsia" w:eastAsiaTheme="minorEastAsia" w:cstheme="minorEastAsia"/>
                <w:b/>
                <w:bCs/>
                <w:color w:val="auto"/>
                <w:kern w:val="0"/>
                <w:szCs w:val="21"/>
              </w:rPr>
              <w:t>良好</w:t>
            </w:r>
            <w:r>
              <w:rPr>
                <w:rFonts w:hint="eastAsia" w:asciiTheme="minorEastAsia" w:hAnsiTheme="minorEastAsia" w:eastAsiaTheme="minorEastAsia" w:cstheme="minorEastAsia"/>
                <w:b/>
                <w:bCs/>
                <w:color w:val="auto"/>
                <w:szCs w:val="21"/>
              </w:rPr>
              <w:t>信用</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b/>
                <w:bCs/>
                <w:color w:val="auto"/>
                <w:kern w:val="0"/>
                <w:szCs w:val="21"/>
              </w:rPr>
            </w:pPr>
            <w:r>
              <w:rPr>
                <w:rFonts w:hint="eastAsia" w:asciiTheme="minorEastAsia" w:hAnsiTheme="minorEastAsia" w:eastAsiaTheme="minorEastAsia" w:cstheme="minorEastAsia"/>
                <w:b/>
                <w:bCs/>
                <w:color w:val="auto"/>
                <w:kern w:val="0"/>
                <w:szCs w:val="21"/>
              </w:rPr>
              <w:t>有效期</w:t>
            </w:r>
          </w:p>
        </w:tc>
      </w:tr>
      <w:tr>
        <w:tblPrEx>
          <w:tblCellMar>
            <w:top w:w="0" w:type="dxa"/>
            <w:left w:w="108" w:type="dxa"/>
            <w:bottom w:w="0" w:type="dxa"/>
            <w:right w:w="108" w:type="dxa"/>
          </w:tblCellMar>
        </w:tblPrEx>
        <w:trPr>
          <w:trHeight w:val="737" w:hRule="atLeast"/>
          <w:jc w:val="center"/>
        </w:trPr>
        <w:tc>
          <w:tcPr>
            <w:tcW w:w="1841"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工程质量获奖</w:t>
            </w:r>
          </w:p>
        </w:tc>
        <w:tc>
          <w:tcPr>
            <w:tcW w:w="5186" w:type="dxa"/>
            <w:tcBorders>
              <w:top w:val="single" w:color="auto" w:sz="4" w:space="0"/>
              <w:left w:val="nil"/>
              <w:bottom w:val="single" w:color="auto" w:sz="4" w:space="0"/>
              <w:right w:val="single" w:color="auto" w:sz="4" w:space="0"/>
            </w:tcBorders>
            <w:vAlign w:val="center"/>
          </w:tcPr>
          <w:p>
            <w:pPr>
              <w:spacing w:line="26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中国建设工程鲁班奖（国家优质工程）、中国钢结构金奖、中国土木工程詹天佑奖、全国市政金杯示范工程</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continue"/>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186" w:type="dxa"/>
            <w:tcBorders>
              <w:top w:val="single" w:color="auto" w:sz="4" w:space="0"/>
              <w:left w:val="nil"/>
              <w:bottom w:val="single" w:color="auto" w:sz="4" w:space="0"/>
              <w:right w:val="single" w:color="auto" w:sz="4" w:space="0"/>
            </w:tcBorders>
            <w:vAlign w:val="center"/>
          </w:tcPr>
          <w:p>
            <w:pPr>
              <w:spacing w:line="26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中国建筑工程装饰奖（公共建筑装饰、建筑幕墙、公共建筑装饰设计）、</w:t>
            </w:r>
            <w:r>
              <w:rPr>
                <w:rFonts w:hint="eastAsia" w:asciiTheme="minorEastAsia" w:hAnsiTheme="minorEastAsia" w:eastAsiaTheme="minorEastAsia" w:cstheme="minorEastAsia"/>
                <w:color w:val="auto"/>
                <w:szCs w:val="21"/>
              </w:rPr>
              <w:t>中国安装工程优质奖（</w:t>
            </w:r>
            <w:r>
              <w:rPr>
                <w:rFonts w:hint="eastAsia" w:asciiTheme="minorEastAsia" w:hAnsiTheme="minorEastAsia" w:eastAsiaTheme="minorEastAsia" w:cstheme="minorEastAsia"/>
                <w:color w:val="auto"/>
                <w:kern w:val="0"/>
                <w:szCs w:val="21"/>
              </w:rPr>
              <w:t>安装之星）</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continue"/>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186" w:type="dxa"/>
            <w:tcBorders>
              <w:top w:val="single" w:color="auto" w:sz="4" w:space="0"/>
              <w:left w:val="nil"/>
              <w:bottom w:val="single" w:color="auto" w:sz="4" w:space="0"/>
              <w:right w:val="single" w:color="auto" w:sz="4" w:space="0"/>
            </w:tcBorders>
            <w:vAlign w:val="center"/>
          </w:tcPr>
          <w:p>
            <w:pPr>
              <w:spacing w:line="26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省长质量奖</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continue"/>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186" w:type="dxa"/>
            <w:tcBorders>
              <w:top w:val="single" w:color="auto" w:sz="4" w:space="0"/>
              <w:left w:val="nil"/>
              <w:bottom w:val="single" w:color="auto" w:sz="4" w:space="0"/>
              <w:right w:val="single" w:color="auto" w:sz="4" w:space="0"/>
            </w:tcBorders>
            <w:vAlign w:val="center"/>
          </w:tcPr>
          <w:p>
            <w:pPr>
              <w:spacing w:line="26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省级建设主管部门颁发的工程质量奖</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一般性通报表彰</w:t>
            </w:r>
          </w:p>
        </w:tc>
        <w:tc>
          <w:tcPr>
            <w:tcW w:w="5186" w:type="dxa"/>
            <w:tcBorders>
              <w:top w:val="single" w:color="auto" w:sz="4" w:space="0"/>
              <w:left w:val="nil"/>
              <w:bottom w:val="single" w:color="auto" w:sz="4" w:space="0"/>
              <w:right w:val="single" w:color="auto" w:sz="4" w:space="0"/>
            </w:tcBorders>
            <w:vAlign w:val="center"/>
          </w:tcPr>
          <w:p>
            <w:pPr>
              <w:spacing w:line="26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住房和城乡建设部、省级人民政府的表彰</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continue"/>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186" w:type="dxa"/>
            <w:tcBorders>
              <w:top w:val="single" w:color="auto" w:sz="4" w:space="0"/>
              <w:left w:val="nil"/>
              <w:bottom w:val="single" w:color="auto" w:sz="4" w:space="0"/>
              <w:right w:val="single" w:color="auto" w:sz="4" w:space="0"/>
            </w:tcBorders>
            <w:vAlign w:val="center"/>
          </w:tcPr>
          <w:p>
            <w:pPr>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县级以上人民政府或</w:t>
            </w:r>
            <w:r>
              <w:rPr>
                <w:rFonts w:hint="eastAsia" w:asciiTheme="minorEastAsia" w:hAnsiTheme="minorEastAsia" w:eastAsiaTheme="minorEastAsia" w:cstheme="minorEastAsia"/>
                <w:color w:val="auto"/>
                <w:szCs w:val="21"/>
              </w:rPr>
              <w:t>住房城乡</w:t>
            </w:r>
            <w:r>
              <w:rPr>
                <w:rFonts w:hint="eastAsia" w:asciiTheme="minorEastAsia" w:hAnsiTheme="minorEastAsia" w:eastAsiaTheme="minorEastAsia" w:cstheme="minorEastAsia"/>
                <w:color w:val="auto"/>
                <w:kern w:val="0"/>
                <w:szCs w:val="21"/>
              </w:rPr>
              <w:t>建设主管部门的表彰</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restart"/>
            <w:tcBorders>
              <w:top w:val="nil"/>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科技创新</w:t>
            </w:r>
          </w:p>
          <w:p>
            <w:pPr>
              <w:spacing w:line="240" w:lineRule="exact"/>
              <w:jc w:val="center"/>
              <w:rPr>
                <w:rFonts w:asciiTheme="minorEastAsia" w:hAnsiTheme="minorEastAsia" w:eastAsiaTheme="minorEastAsia" w:cstheme="minorEastAsia"/>
                <w:color w:val="auto"/>
                <w:kern w:val="0"/>
                <w:szCs w:val="21"/>
              </w:rPr>
            </w:pPr>
          </w:p>
        </w:tc>
        <w:tc>
          <w:tcPr>
            <w:tcW w:w="5186" w:type="dxa"/>
            <w:tcBorders>
              <w:top w:val="single" w:color="auto" w:sz="4" w:space="0"/>
              <w:left w:val="nil"/>
              <w:bottom w:val="single" w:color="auto" w:sz="4" w:space="0"/>
              <w:right w:val="single" w:color="auto" w:sz="4" w:space="0"/>
            </w:tcBorders>
            <w:vAlign w:val="center"/>
          </w:tcPr>
          <w:p>
            <w:pPr>
              <w:spacing w:line="24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企业参与标准、定额、工法编制：（1）国家级；（2）省级。</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continue"/>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186" w:type="dxa"/>
            <w:tcBorders>
              <w:top w:val="single" w:color="auto" w:sz="4" w:space="0"/>
              <w:left w:val="nil"/>
              <w:bottom w:val="single" w:color="auto" w:sz="4" w:space="0"/>
              <w:right w:val="single" w:color="auto" w:sz="4" w:space="0"/>
            </w:tcBorders>
            <w:vAlign w:val="center"/>
          </w:tcPr>
          <w:p>
            <w:pPr>
              <w:spacing w:line="24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科技示范工程：（1）住房城乡建设部；（2）省级。</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continue"/>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186" w:type="dxa"/>
            <w:tcBorders>
              <w:top w:val="single" w:color="auto" w:sz="4" w:space="0"/>
              <w:left w:val="nil"/>
              <w:bottom w:val="single" w:color="auto" w:sz="4" w:space="0"/>
              <w:right w:val="single" w:color="auto" w:sz="4" w:space="0"/>
            </w:tcBorders>
            <w:vAlign w:val="center"/>
          </w:tcPr>
          <w:p>
            <w:pPr>
              <w:spacing w:line="24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企业专利：（1）发明专利；（2）实用新型专利。</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continue"/>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186" w:type="dxa"/>
            <w:tcBorders>
              <w:top w:val="single" w:color="auto" w:sz="4" w:space="0"/>
              <w:left w:val="nil"/>
              <w:bottom w:val="single" w:color="auto" w:sz="4" w:space="0"/>
              <w:right w:val="single" w:color="auto" w:sz="4" w:space="0"/>
            </w:tcBorders>
            <w:vAlign w:val="center"/>
          </w:tcPr>
          <w:p>
            <w:pPr>
              <w:spacing w:line="24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企业科技开发或科技进步奖：（1）国家级；（2）省级科技成果或科技进步奖。</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continue"/>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186" w:type="dxa"/>
            <w:tcBorders>
              <w:top w:val="single" w:color="auto" w:sz="4" w:space="0"/>
              <w:left w:val="nil"/>
              <w:bottom w:val="single" w:color="auto" w:sz="4" w:space="0"/>
              <w:right w:val="single" w:color="auto" w:sz="4" w:space="0"/>
            </w:tcBorders>
            <w:vAlign w:val="center"/>
          </w:tcPr>
          <w:p>
            <w:pPr>
              <w:spacing w:line="24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企业科技项目：（1）国家级；（2）省级。</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r>
        <w:tblPrEx>
          <w:tblCellMar>
            <w:top w:w="0" w:type="dxa"/>
            <w:left w:w="108" w:type="dxa"/>
            <w:bottom w:w="0" w:type="dxa"/>
            <w:right w:w="108" w:type="dxa"/>
          </w:tblCellMar>
        </w:tblPrEx>
        <w:trPr>
          <w:trHeight w:val="737" w:hRule="atLeast"/>
          <w:jc w:val="center"/>
        </w:trPr>
        <w:tc>
          <w:tcPr>
            <w:tcW w:w="1841" w:type="dxa"/>
            <w:vMerge w:val="continue"/>
            <w:tcBorders>
              <w:top w:val="nil"/>
              <w:left w:val="single" w:color="auto"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186" w:type="dxa"/>
            <w:tcBorders>
              <w:top w:val="single" w:color="auto" w:sz="4" w:space="0"/>
              <w:left w:val="nil"/>
              <w:bottom w:val="single" w:color="auto" w:sz="4" w:space="0"/>
              <w:right w:val="single" w:color="auto" w:sz="4" w:space="0"/>
            </w:tcBorders>
            <w:vAlign w:val="center"/>
          </w:tcPr>
          <w:p>
            <w:pPr>
              <w:spacing w:line="24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科研平台或企业技术中心：（1）国家级；（2）省级。</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1年</w:t>
            </w:r>
          </w:p>
        </w:tc>
      </w:tr>
      <w:tr>
        <w:tblPrEx>
          <w:tblCellMar>
            <w:top w:w="0" w:type="dxa"/>
            <w:left w:w="108" w:type="dxa"/>
            <w:bottom w:w="0" w:type="dxa"/>
            <w:right w:w="108" w:type="dxa"/>
          </w:tblCellMar>
        </w:tblPrEx>
        <w:trPr>
          <w:trHeight w:val="737" w:hRule="atLeast"/>
          <w:jc w:val="center"/>
        </w:trPr>
        <w:tc>
          <w:tcPr>
            <w:tcW w:w="184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安全文明工地</w:t>
            </w:r>
          </w:p>
        </w:tc>
        <w:tc>
          <w:tcPr>
            <w:tcW w:w="5186" w:type="dxa"/>
            <w:tcBorders>
              <w:top w:val="single" w:color="auto" w:sz="4" w:space="0"/>
              <w:left w:val="nil"/>
              <w:bottom w:val="single" w:color="auto" w:sz="4" w:space="0"/>
              <w:right w:val="single" w:color="auto" w:sz="4" w:space="0"/>
            </w:tcBorders>
            <w:vAlign w:val="center"/>
          </w:tcPr>
          <w:p>
            <w:pPr>
              <w:spacing w:line="240" w:lineRule="exact"/>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（1）国家AAA级安全文明标准化工地；（2）省级安全文明工地；（3）市级安全文明工地</w:t>
            </w:r>
          </w:p>
        </w:tc>
        <w:tc>
          <w:tcPr>
            <w:tcW w:w="2008"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t>3年</w:t>
            </w:r>
          </w:p>
        </w:tc>
      </w:tr>
    </w:tbl>
    <w:p>
      <w:pPr>
        <w:rPr>
          <w:rFonts w:asciiTheme="minorEastAsia" w:hAnsiTheme="minorEastAsia" w:eastAsiaTheme="minorEastAsia" w:cstheme="minorEastAsia"/>
          <w:color w:val="auto"/>
          <w:kern w:val="0"/>
          <w:szCs w:val="21"/>
        </w:rPr>
      </w:pPr>
    </w:p>
    <w:p>
      <w:pPr>
        <w:widowControl/>
        <w:jc w:val="left"/>
        <w:rPr>
          <w:rFonts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szCs w:val="21"/>
        </w:rPr>
        <w:br w:type="page"/>
      </w:r>
    </w:p>
    <w:p>
      <w:pPr>
        <w:rPr>
          <w:rFonts w:asciiTheme="minorEastAsia" w:hAnsiTheme="minorEastAsia" w:eastAsiaTheme="minorEastAsia" w:cstheme="minorEastAsia"/>
          <w:b/>
          <w:bCs/>
          <w:color w:val="auto"/>
          <w:kern w:val="0"/>
          <w:szCs w:val="21"/>
          <w:highlight w:val="yellow"/>
        </w:rPr>
      </w:pPr>
      <w:r>
        <w:rPr>
          <w:rFonts w:hint="eastAsia" w:asciiTheme="minorEastAsia" w:hAnsiTheme="minorEastAsia" w:eastAsiaTheme="minorEastAsia" w:cstheme="minorEastAsia"/>
          <w:b/>
          <w:bCs/>
          <w:color w:val="auto"/>
          <w:kern w:val="0"/>
          <w:szCs w:val="21"/>
        </w:rPr>
        <w:t>附件3：项目经理良好信用信息采集项</w:t>
      </w:r>
    </w:p>
    <w:p>
      <w:pPr>
        <w:spacing w:line="520" w:lineRule="exact"/>
        <w:jc w:val="center"/>
        <w:rPr>
          <w:rFonts w:asciiTheme="minorEastAsia" w:hAnsiTheme="minorEastAsia" w:eastAsiaTheme="minorEastAsia" w:cstheme="minorEastAsia"/>
          <w:color w:val="auto"/>
          <w:kern w:val="0"/>
          <w:szCs w:val="21"/>
        </w:rPr>
      </w:pPr>
    </w:p>
    <w:tbl>
      <w:tblPr>
        <w:tblStyle w:val="17"/>
        <w:tblW w:w="0" w:type="auto"/>
        <w:jc w:val="center"/>
        <w:tblLayout w:type="fixed"/>
        <w:tblCellMar>
          <w:top w:w="0" w:type="dxa"/>
          <w:left w:w="108" w:type="dxa"/>
          <w:bottom w:w="0" w:type="dxa"/>
          <w:right w:w="108" w:type="dxa"/>
        </w:tblCellMar>
      </w:tblPr>
      <w:tblGrid>
        <w:gridCol w:w="1236"/>
        <w:gridCol w:w="5641"/>
        <w:gridCol w:w="1692"/>
      </w:tblGrid>
      <w:tr>
        <w:tblPrEx>
          <w:tblCellMar>
            <w:top w:w="0" w:type="dxa"/>
            <w:left w:w="108" w:type="dxa"/>
            <w:bottom w:w="0" w:type="dxa"/>
            <w:right w:w="108" w:type="dxa"/>
          </w:tblCellMar>
        </w:tblPrEx>
        <w:trPr>
          <w:trHeight w:val="1021" w:hRule="atLeast"/>
          <w:jc w:val="center"/>
        </w:trPr>
        <w:tc>
          <w:tcPr>
            <w:tcW w:w="123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b/>
                <w:bCs/>
                <w:color w:val="auto"/>
                <w:szCs w:val="21"/>
              </w:rPr>
            </w:pPr>
            <w:r>
              <w:rPr>
                <w:rFonts w:hint="eastAsia" w:asciiTheme="minorEastAsia" w:hAnsiTheme="minorEastAsia" w:eastAsiaTheme="minorEastAsia" w:cstheme="minorEastAsia"/>
                <w:b/>
                <w:bCs/>
                <w:color w:val="auto"/>
                <w:szCs w:val="21"/>
              </w:rPr>
              <w:t>信用类别</w:t>
            </w:r>
          </w:p>
        </w:tc>
        <w:tc>
          <w:tcPr>
            <w:tcW w:w="5641"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b/>
                <w:bCs/>
                <w:color w:val="auto"/>
                <w:szCs w:val="21"/>
              </w:rPr>
            </w:pPr>
            <w:r>
              <w:rPr>
                <w:rFonts w:hint="eastAsia" w:asciiTheme="minorEastAsia" w:hAnsiTheme="minorEastAsia" w:eastAsiaTheme="minorEastAsia" w:cstheme="minorEastAsia"/>
                <w:b/>
                <w:bCs/>
                <w:color w:val="auto"/>
                <w:szCs w:val="21"/>
              </w:rPr>
              <w:t>良好信用</w:t>
            </w:r>
          </w:p>
        </w:tc>
        <w:tc>
          <w:tcPr>
            <w:tcW w:w="1692" w:type="dxa"/>
            <w:tcBorders>
              <w:top w:val="single" w:color="auto" w:sz="4" w:space="0"/>
              <w:left w:val="nil"/>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b/>
                <w:bCs/>
                <w:color w:val="auto"/>
                <w:szCs w:val="21"/>
              </w:rPr>
            </w:pPr>
            <w:r>
              <w:rPr>
                <w:rFonts w:hint="eastAsia" w:asciiTheme="minorEastAsia" w:hAnsiTheme="minorEastAsia" w:eastAsiaTheme="minorEastAsia" w:cstheme="minorEastAsia"/>
                <w:b/>
                <w:bCs/>
                <w:color w:val="auto"/>
                <w:szCs w:val="21"/>
              </w:rPr>
              <w:t>有效期</w:t>
            </w:r>
          </w:p>
        </w:tc>
      </w:tr>
      <w:tr>
        <w:tblPrEx>
          <w:tblCellMar>
            <w:top w:w="0" w:type="dxa"/>
            <w:left w:w="108" w:type="dxa"/>
            <w:bottom w:w="0" w:type="dxa"/>
            <w:right w:w="108" w:type="dxa"/>
          </w:tblCellMar>
        </w:tblPrEx>
        <w:trPr>
          <w:trHeight w:val="1668" w:hRule="atLeast"/>
          <w:jc w:val="center"/>
        </w:trPr>
        <w:tc>
          <w:tcPr>
            <w:tcW w:w="1236" w:type="dxa"/>
            <w:vMerge w:val="restart"/>
            <w:tcBorders>
              <w:top w:val="nil"/>
              <w:left w:val="single" w:color="000000" w:sz="4" w:space="0"/>
              <w:bottom w:val="single" w:color="000000" w:sz="4" w:space="0"/>
              <w:right w:val="single" w:color="auto" w:sz="4" w:space="0"/>
            </w:tcBorders>
            <w:vAlign w:val="center"/>
          </w:tcPr>
          <w:p>
            <w:pPr>
              <w:spacing w:line="240" w:lineRule="exact"/>
              <w:jc w:val="center"/>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奖励荣誉</w:t>
            </w:r>
          </w:p>
        </w:tc>
        <w:tc>
          <w:tcPr>
            <w:tcW w:w="5641" w:type="dxa"/>
            <w:tcBorders>
              <w:top w:val="single" w:color="000000" w:sz="4" w:space="0"/>
              <w:left w:val="nil"/>
              <w:bottom w:val="single" w:color="000000" w:sz="4" w:space="0"/>
              <w:right w:val="single" w:color="000000" w:sz="4" w:space="0"/>
            </w:tcBorders>
            <w:vAlign w:val="center"/>
          </w:tcPr>
          <w:p>
            <w:pPr>
              <w:spacing w:line="240" w:lineRule="exac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国家级奖项/荣誉（包括鲁班奖、詹天佑奖、梁思成奖、华夏建设科学技术奖、绿色建筑创新奖、全国建筑工程装饰奖、中国安装工程优质奖“安装之星”、中国建筑工程“钢结构金奖”、工程项目管理优秀奖、工程总承包奖等）、国家AAA级安全文明工地奖。</w:t>
            </w:r>
          </w:p>
        </w:tc>
        <w:tc>
          <w:tcPr>
            <w:tcW w:w="1692" w:type="dxa"/>
            <w:tcBorders>
              <w:top w:val="single" w:color="000000" w:sz="4" w:space="0"/>
              <w:left w:val="nil"/>
              <w:bottom w:val="single" w:color="000000" w:sz="4" w:space="0"/>
              <w:right w:val="single" w:color="000000" w:sz="4" w:space="0"/>
            </w:tcBorders>
            <w:vAlign w:val="center"/>
          </w:tcPr>
          <w:p>
            <w:pPr>
              <w:spacing w:line="240" w:lineRule="exact"/>
              <w:jc w:val="center"/>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3年</w:t>
            </w:r>
          </w:p>
        </w:tc>
      </w:tr>
      <w:tr>
        <w:tblPrEx>
          <w:tblCellMar>
            <w:top w:w="0" w:type="dxa"/>
            <w:left w:w="108" w:type="dxa"/>
            <w:bottom w:w="0" w:type="dxa"/>
            <w:right w:w="108" w:type="dxa"/>
          </w:tblCellMar>
        </w:tblPrEx>
        <w:trPr>
          <w:trHeight w:val="1242" w:hRule="exact"/>
          <w:jc w:val="center"/>
        </w:trPr>
        <w:tc>
          <w:tcPr>
            <w:tcW w:w="1236" w:type="dxa"/>
            <w:vMerge w:val="continue"/>
            <w:tcBorders>
              <w:top w:val="nil"/>
              <w:left w:val="single" w:color="000000" w:sz="4" w:space="0"/>
              <w:bottom w:val="single" w:color="000000" w:sz="4" w:space="0"/>
              <w:right w:val="single" w:color="auto" w:sz="4" w:space="0"/>
            </w:tcBorders>
            <w:vAlign w:val="center"/>
          </w:tcPr>
          <w:p>
            <w:pPr>
              <w:rPr>
                <w:rFonts w:asciiTheme="minorEastAsia" w:hAnsiTheme="minorEastAsia" w:eastAsiaTheme="minorEastAsia" w:cstheme="minorEastAsia"/>
                <w:color w:val="auto"/>
                <w:szCs w:val="21"/>
              </w:rPr>
            </w:pPr>
          </w:p>
        </w:tc>
        <w:tc>
          <w:tcPr>
            <w:tcW w:w="5641" w:type="dxa"/>
            <w:tcBorders>
              <w:top w:val="nil"/>
              <w:left w:val="nil"/>
              <w:bottom w:val="single" w:color="000000" w:sz="4" w:space="0"/>
              <w:right w:val="single" w:color="000000" w:sz="4" w:space="0"/>
            </w:tcBorders>
            <w:vAlign w:val="center"/>
          </w:tcPr>
          <w:p>
            <w:pPr>
              <w:spacing w:line="240" w:lineRule="exac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省部级奖项/荣誉（中州杯等）、省安全文明标准化工地奖、优秀项目经理奖。</w:t>
            </w:r>
          </w:p>
        </w:tc>
        <w:tc>
          <w:tcPr>
            <w:tcW w:w="1692" w:type="dxa"/>
            <w:tcBorders>
              <w:top w:val="nil"/>
              <w:left w:val="nil"/>
              <w:bottom w:val="single" w:color="000000" w:sz="4" w:space="0"/>
              <w:right w:val="single" w:color="000000" w:sz="4" w:space="0"/>
            </w:tcBorders>
            <w:vAlign w:val="center"/>
          </w:tcPr>
          <w:p>
            <w:pPr>
              <w:spacing w:line="240" w:lineRule="exact"/>
              <w:jc w:val="center"/>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3年</w:t>
            </w:r>
          </w:p>
        </w:tc>
      </w:tr>
      <w:tr>
        <w:tblPrEx>
          <w:tblCellMar>
            <w:top w:w="0" w:type="dxa"/>
            <w:left w:w="108" w:type="dxa"/>
            <w:bottom w:w="0" w:type="dxa"/>
            <w:right w:w="108" w:type="dxa"/>
          </w:tblCellMar>
        </w:tblPrEx>
        <w:trPr>
          <w:trHeight w:val="885" w:hRule="exact"/>
          <w:jc w:val="center"/>
        </w:trPr>
        <w:tc>
          <w:tcPr>
            <w:tcW w:w="1236" w:type="dxa"/>
            <w:vMerge w:val="continue"/>
            <w:tcBorders>
              <w:top w:val="nil"/>
              <w:left w:val="single" w:color="000000" w:sz="4" w:space="0"/>
              <w:bottom w:val="single" w:color="000000" w:sz="4" w:space="0"/>
              <w:right w:val="single" w:color="auto" w:sz="4" w:space="0"/>
            </w:tcBorders>
            <w:vAlign w:val="center"/>
          </w:tcPr>
          <w:p>
            <w:pPr>
              <w:rPr>
                <w:rFonts w:asciiTheme="minorEastAsia" w:hAnsiTheme="minorEastAsia" w:eastAsiaTheme="minorEastAsia" w:cstheme="minorEastAsia"/>
                <w:color w:val="auto"/>
                <w:szCs w:val="21"/>
              </w:rPr>
            </w:pPr>
          </w:p>
        </w:tc>
        <w:tc>
          <w:tcPr>
            <w:tcW w:w="5641" w:type="dxa"/>
            <w:tcBorders>
              <w:top w:val="nil"/>
              <w:left w:val="nil"/>
              <w:bottom w:val="single" w:color="000000" w:sz="4" w:space="0"/>
              <w:right w:val="single" w:color="000000" w:sz="4" w:space="0"/>
            </w:tcBorders>
            <w:vAlign w:val="center"/>
          </w:tcPr>
          <w:p>
            <w:pPr>
              <w:spacing w:line="240" w:lineRule="exac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市级奖项/荣誉、安全文明标准化工地奖、优秀项目经理奖。</w:t>
            </w:r>
          </w:p>
        </w:tc>
        <w:tc>
          <w:tcPr>
            <w:tcW w:w="1692" w:type="dxa"/>
            <w:tcBorders>
              <w:top w:val="nil"/>
              <w:left w:val="nil"/>
              <w:bottom w:val="single" w:color="000000" w:sz="4" w:space="0"/>
              <w:right w:val="single" w:color="000000" w:sz="4" w:space="0"/>
            </w:tcBorders>
            <w:vAlign w:val="center"/>
          </w:tcPr>
          <w:p>
            <w:pPr>
              <w:spacing w:line="240" w:lineRule="exact"/>
              <w:jc w:val="center"/>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3年</w:t>
            </w:r>
          </w:p>
        </w:tc>
      </w:tr>
      <w:tr>
        <w:tblPrEx>
          <w:tblCellMar>
            <w:top w:w="0" w:type="dxa"/>
            <w:left w:w="108" w:type="dxa"/>
            <w:bottom w:w="0" w:type="dxa"/>
            <w:right w:w="108" w:type="dxa"/>
          </w:tblCellMar>
        </w:tblPrEx>
        <w:trPr>
          <w:trHeight w:val="855" w:hRule="exact"/>
          <w:jc w:val="center"/>
        </w:trPr>
        <w:tc>
          <w:tcPr>
            <w:tcW w:w="1236" w:type="dxa"/>
            <w:vMerge w:val="restart"/>
            <w:tcBorders>
              <w:top w:val="nil"/>
              <w:left w:val="single" w:color="000000"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科技创新</w:t>
            </w:r>
          </w:p>
          <w:p>
            <w:pPr>
              <w:spacing w:line="240" w:lineRule="exact"/>
              <w:jc w:val="center"/>
              <w:rPr>
                <w:rFonts w:asciiTheme="minorEastAsia" w:hAnsiTheme="minorEastAsia" w:eastAsiaTheme="minorEastAsia" w:cstheme="minorEastAsia"/>
                <w:color w:val="auto"/>
                <w:szCs w:val="21"/>
              </w:rPr>
            </w:pPr>
          </w:p>
        </w:tc>
        <w:tc>
          <w:tcPr>
            <w:tcW w:w="5641" w:type="dxa"/>
            <w:tcBorders>
              <w:top w:val="nil"/>
              <w:left w:val="nil"/>
              <w:bottom w:val="single" w:color="000000" w:sz="4" w:space="0"/>
              <w:right w:val="single" w:color="000000" w:sz="4" w:space="0"/>
            </w:tcBorders>
            <w:vAlign w:val="center"/>
          </w:tcPr>
          <w:p>
            <w:pPr>
              <w:spacing w:line="240" w:lineRule="exac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发明专利，包括发明型专利、实用新型专利</w:t>
            </w:r>
          </w:p>
        </w:tc>
        <w:tc>
          <w:tcPr>
            <w:tcW w:w="1692" w:type="dxa"/>
            <w:tcBorders>
              <w:top w:val="nil"/>
              <w:left w:val="nil"/>
              <w:bottom w:val="single" w:color="000000" w:sz="4" w:space="0"/>
              <w:right w:val="single" w:color="000000" w:sz="4" w:space="0"/>
            </w:tcBorders>
            <w:vAlign w:val="center"/>
          </w:tcPr>
          <w:p>
            <w:pPr>
              <w:spacing w:line="240" w:lineRule="exact"/>
              <w:jc w:val="center"/>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3年</w:t>
            </w:r>
          </w:p>
        </w:tc>
      </w:tr>
      <w:tr>
        <w:tblPrEx>
          <w:tblCellMar>
            <w:top w:w="0" w:type="dxa"/>
            <w:left w:w="108" w:type="dxa"/>
            <w:bottom w:w="0" w:type="dxa"/>
            <w:right w:w="108" w:type="dxa"/>
          </w:tblCellMar>
        </w:tblPrEx>
        <w:trPr>
          <w:trHeight w:val="981" w:hRule="exact"/>
          <w:jc w:val="center"/>
        </w:trPr>
        <w:tc>
          <w:tcPr>
            <w:tcW w:w="1236" w:type="dxa"/>
            <w:vMerge w:val="continue"/>
            <w:tcBorders>
              <w:top w:val="nil"/>
              <w:left w:val="single" w:color="000000"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641" w:type="dxa"/>
            <w:tcBorders>
              <w:top w:val="nil"/>
              <w:left w:val="nil"/>
              <w:bottom w:val="single" w:color="000000" w:sz="4" w:space="0"/>
              <w:right w:val="single" w:color="000000" w:sz="4" w:space="0"/>
            </w:tcBorders>
            <w:vAlign w:val="center"/>
          </w:tcPr>
          <w:p>
            <w:pPr>
              <w:spacing w:line="240" w:lineRule="exac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参与工法编制，包括国家级和省部级。</w:t>
            </w:r>
          </w:p>
        </w:tc>
        <w:tc>
          <w:tcPr>
            <w:tcW w:w="1692" w:type="dxa"/>
            <w:tcBorders>
              <w:top w:val="nil"/>
              <w:left w:val="nil"/>
              <w:bottom w:val="single" w:color="000000" w:sz="4" w:space="0"/>
              <w:right w:val="single" w:color="000000" w:sz="4" w:space="0"/>
            </w:tcBorders>
            <w:vAlign w:val="center"/>
          </w:tcPr>
          <w:p>
            <w:pPr>
              <w:spacing w:line="240" w:lineRule="exact"/>
              <w:jc w:val="center"/>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3年</w:t>
            </w:r>
          </w:p>
        </w:tc>
      </w:tr>
      <w:tr>
        <w:tblPrEx>
          <w:tblCellMar>
            <w:top w:w="0" w:type="dxa"/>
            <w:left w:w="108" w:type="dxa"/>
            <w:bottom w:w="0" w:type="dxa"/>
            <w:right w:w="108" w:type="dxa"/>
          </w:tblCellMar>
        </w:tblPrEx>
        <w:trPr>
          <w:trHeight w:val="948" w:hRule="exact"/>
          <w:jc w:val="center"/>
        </w:trPr>
        <w:tc>
          <w:tcPr>
            <w:tcW w:w="1236" w:type="dxa"/>
            <w:vMerge w:val="continue"/>
            <w:tcBorders>
              <w:top w:val="nil"/>
              <w:left w:val="single" w:color="000000"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641" w:type="dxa"/>
            <w:tcBorders>
              <w:top w:val="nil"/>
              <w:left w:val="nil"/>
              <w:bottom w:val="single" w:color="000000" w:sz="4" w:space="0"/>
              <w:right w:val="single" w:color="000000" w:sz="4" w:space="0"/>
            </w:tcBorders>
            <w:vAlign w:val="center"/>
          </w:tcPr>
          <w:p>
            <w:pPr>
              <w:spacing w:line="240" w:lineRule="exac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参与工程建设标准、定额制定，包括国家或行业标准、定额、地方（省级）标准、定额。</w:t>
            </w:r>
          </w:p>
        </w:tc>
        <w:tc>
          <w:tcPr>
            <w:tcW w:w="1692" w:type="dxa"/>
            <w:tcBorders>
              <w:top w:val="nil"/>
              <w:left w:val="nil"/>
              <w:bottom w:val="single" w:color="000000" w:sz="4" w:space="0"/>
              <w:right w:val="single" w:color="000000" w:sz="4" w:space="0"/>
            </w:tcBorders>
            <w:vAlign w:val="center"/>
          </w:tcPr>
          <w:p>
            <w:pPr>
              <w:spacing w:line="240" w:lineRule="exact"/>
              <w:jc w:val="center"/>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3年</w:t>
            </w:r>
          </w:p>
        </w:tc>
      </w:tr>
      <w:tr>
        <w:tblPrEx>
          <w:tblCellMar>
            <w:top w:w="0" w:type="dxa"/>
            <w:left w:w="108" w:type="dxa"/>
            <w:bottom w:w="0" w:type="dxa"/>
            <w:right w:w="108" w:type="dxa"/>
          </w:tblCellMar>
        </w:tblPrEx>
        <w:trPr>
          <w:trHeight w:val="1361" w:hRule="exact"/>
          <w:jc w:val="center"/>
        </w:trPr>
        <w:tc>
          <w:tcPr>
            <w:tcW w:w="1236" w:type="dxa"/>
            <w:vMerge w:val="continue"/>
            <w:tcBorders>
              <w:top w:val="nil"/>
              <w:left w:val="single" w:color="000000" w:sz="4" w:space="0"/>
              <w:bottom w:val="single" w:color="auto" w:sz="4" w:space="0"/>
              <w:right w:val="single" w:color="auto" w:sz="4" w:space="0"/>
            </w:tcBorders>
            <w:vAlign w:val="center"/>
          </w:tcPr>
          <w:p>
            <w:pPr>
              <w:rPr>
                <w:rFonts w:asciiTheme="minorEastAsia" w:hAnsiTheme="minorEastAsia" w:eastAsiaTheme="minorEastAsia" w:cstheme="minorEastAsia"/>
                <w:color w:val="auto"/>
                <w:szCs w:val="21"/>
              </w:rPr>
            </w:pPr>
          </w:p>
        </w:tc>
        <w:tc>
          <w:tcPr>
            <w:tcW w:w="5641" w:type="dxa"/>
            <w:tcBorders>
              <w:top w:val="single" w:color="000000" w:sz="4" w:space="0"/>
              <w:left w:val="nil"/>
              <w:bottom w:val="single" w:color="auto" w:sz="4" w:space="0"/>
              <w:right w:val="single" w:color="000000" w:sz="4" w:space="0"/>
            </w:tcBorders>
            <w:vAlign w:val="center"/>
          </w:tcPr>
          <w:p>
            <w:pPr>
              <w:spacing w:line="240" w:lineRule="exac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个人获得科技进步奖，包括国家级科技进步奖一等奖、二等奖，省级科技进步奖一等奖、二等奖、厅级科技进步奖等。</w:t>
            </w:r>
          </w:p>
        </w:tc>
        <w:tc>
          <w:tcPr>
            <w:tcW w:w="1692" w:type="dxa"/>
            <w:tcBorders>
              <w:top w:val="single" w:color="000000" w:sz="4" w:space="0"/>
              <w:left w:val="nil"/>
              <w:bottom w:val="single" w:color="auto" w:sz="4" w:space="0"/>
              <w:right w:val="single" w:color="000000" w:sz="4" w:space="0"/>
            </w:tcBorders>
            <w:vAlign w:val="center"/>
          </w:tcPr>
          <w:p>
            <w:pPr>
              <w:spacing w:line="240" w:lineRule="exact"/>
              <w:jc w:val="center"/>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3年</w:t>
            </w:r>
          </w:p>
        </w:tc>
      </w:tr>
    </w:tbl>
    <w:p>
      <w:pPr>
        <w:pStyle w:val="16"/>
        <w:widowControl/>
        <w:spacing w:beforeAutospacing="0" w:afterAutospacing="0" w:line="360" w:lineRule="auto"/>
        <w:jc w:val="both"/>
        <w:rPr>
          <w:rFonts w:ascii="宋体" w:hAnsi="宋体" w:cs="宋体"/>
          <w:color w:val="auto"/>
          <w:sz w:val="21"/>
          <w:szCs w:val="21"/>
        </w:rPr>
      </w:pPr>
    </w:p>
    <w:p>
      <w:pP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br w:type="page"/>
      </w:r>
    </w:p>
    <w:p>
      <w:pPr>
        <w:rPr>
          <w:rFonts w:hint="eastAsia" w:asciiTheme="minorEastAsia" w:hAnsiTheme="minorEastAsia" w:eastAsiaTheme="minorEastAsia" w:cstheme="minorEastAsia"/>
          <w:b/>
          <w:bCs/>
          <w:color w:val="auto"/>
          <w:kern w:val="0"/>
          <w:szCs w:val="21"/>
          <w:lang w:val="en-US" w:eastAsia="zh-CN"/>
        </w:rPr>
      </w:pPr>
      <w:r>
        <w:rPr>
          <w:rFonts w:hint="eastAsia" w:asciiTheme="minorEastAsia" w:hAnsiTheme="minorEastAsia" w:eastAsiaTheme="minorEastAsia" w:cstheme="minorEastAsia"/>
          <w:b/>
          <w:bCs/>
          <w:color w:val="auto"/>
          <w:kern w:val="0"/>
          <w:szCs w:val="21"/>
          <w:lang w:val="en-US" w:eastAsia="zh-CN"/>
        </w:rPr>
        <w:t>附件4：建设工程危险性较大的分部分项工程清单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一、基坑支护降水工程和土方开挖</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（一）普通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开挖深度超过3米（含3米）或虽未超过3米但地质条件和周围环境复杂的基坑（槽）支护、降水工程。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（二）超过一定规模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开挖深度超过5米（含5米）或虽未超过5米但地质条件和周围环境复杂的基坑（槽）支护、降水工程。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二、模板工程及支撑体系</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（一）普通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1、工具式模板工程（大模板）。</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2、搭设高度5米及以上，跨度10米及以上，施工总荷载10KN/㎡及以上，集中线荷载15KN/㎡及</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以上，高度大于支撑水平投影宽度且相对独立无联系构件的混凝土模板支撑工程。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3、用于钢结构安装等满堂支撑体系。</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（二）超过一定规模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1、工具式模板工程（滑模、爬模、飞模等）；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 xml:space="preserve">2、搭设高度8米及以上，跨度18米及以上，施工总荷载15KN/㎡及以上，集中线荷载20KN/㎡及以上。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3、用于钢结构安装等满堂支撑体系，承受单点集中荷载700KG以上。</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三、起重吊装及安装拆卸工程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（一）普通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1、采用非常规起重设备、方法，且单件起吊重量在10KN及以上的起重吊装工程。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2、采用起重机械进行安装的工程。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3、起重机械设备自身的安装、拆卸。</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（二）超过一定规模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1、采用非常规起重设备、方法，且单件起吊重量在100KN及以上的起重吊装工程。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2、起重量300KN及以上的起重设备安装工程。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3、高度200M及以上内爬起重设备的拆除工程。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四、脚手架工程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（一）普通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1、搭设高度24M及以上的落地式钢管脚手架工程。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2、附着式整体和分片提升脚手架工程。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3、悬挑式脚手架工程。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4、吊篮脚手架工程。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5、自制卸料平台、移动操作平台工程。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6、新型及异型脚手架工程。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（二）超过一定规模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1、搭设高度50M及以上的落地式钢管脚手架工程。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2、提升高度150M及以上附着式整体和分片提升脚手架工程。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3、架体高度20M及以上悬挑式脚手架工程。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五、拆除、爆破工程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（一）普通建筑物、构筑物拆除工程。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（二）超过一定规模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1、拆用爆破拆除的工程。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2、码头、桥梁、高架、烟囱、水塔或拆除中容易引起有毒有害气（液）体或粉尘扩散、易燃易爆事故发生的特殊建、构筑物的拆除工程。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3、可能影响行人、交通、电力设施、通讯设施或其他建、构筑物安全的拆除工程。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4、文物保护建筑、优秀历史建筑或历史文化风貌区控制范围的拆除工程。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六、其他</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（一）普通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1、建筑幕墙安装工程。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2、钢结构、网架安装工程。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3、人工挖孔桩工程。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4、预应力工程。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5、采用新技术、新工艺、新材料、新设备及尚无相关技术标准的危险性较大的分部分项工程。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（二）超过一定规模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1、施工高度50M及以上的建筑幕墙安装工程。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2、跨度大于36M及以上的钢结构安装工程；跨度大于60M及以上的网架和索膜结构安装工程。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3、开挖深度超过16M的人工挖孔桩工程。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4、地下暗挖工程、顶管工程、水下作业工程。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包括但不限于以上内容，请根据本项目实际情况及相关法律法规自行判定填报</w:t>
      </w:r>
      <w:r>
        <w:rPr>
          <w:rFonts w:hint="eastAsia" w:ascii="宋体" w:hAnsi="宋体" w:cs="宋体"/>
          <w:color w:val="auto"/>
          <w:kern w:val="0"/>
          <w:sz w:val="21"/>
          <w:szCs w:val="21"/>
          <w:lang w:val="en-US" w:eastAsia="zh-CN" w:bidi="ar-SA"/>
        </w:rPr>
        <w:t>。</w:t>
      </w:r>
    </w:p>
    <w:p>
      <w:pPr>
        <w:rPr>
          <w:rFonts w:ascii="宋体" w:cs="宋体"/>
          <w:b/>
          <w:bCs/>
          <w:color w:val="auto"/>
          <w:sz w:val="40"/>
          <w:szCs w:val="40"/>
        </w:rPr>
      </w:pPr>
      <w:r>
        <w:rPr>
          <w:rFonts w:hint="eastAsia" w:ascii="宋体" w:cs="宋体"/>
          <w:b/>
          <w:bCs/>
          <w:color w:val="auto"/>
          <w:sz w:val="40"/>
          <w:szCs w:val="40"/>
        </w:rPr>
        <w:br w:type="page"/>
      </w:r>
    </w:p>
    <w:p>
      <w:pPr>
        <w:spacing w:line="360" w:lineRule="auto"/>
        <w:jc w:val="center"/>
        <w:outlineLvl w:val="0"/>
        <w:rPr>
          <w:rFonts w:ascii="宋体" w:cs="宋体"/>
          <w:b/>
          <w:bCs/>
          <w:color w:val="auto"/>
          <w:sz w:val="40"/>
          <w:szCs w:val="40"/>
        </w:rPr>
      </w:pPr>
      <w:r>
        <w:rPr>
          <w:rFonts w:hint="eastAsia" w:ascii="宋体" w:cs="宋体"/>
          <w:b/>
          <w:bCs/>
          <w:color w:val="auto"/>
          <w:sz w:val="40"/>
          <w:szCs w:val="40"/>
        </w:rPr>
        <w:t>第四章  合同条款及格式</w:t>
      </w:r>
      <w:bookmarkEnd w:id="420"/>
      <w:bookmarkEnd w:id="421"/>
      <w:bookmarkEnd w:id="422"/>
      <w:bookmarkEnd w:id="423"/>
      <w:bookmarkEnd w:id="424"/>
      <w:bookmarkEnd w:id="425"/>
      <w:bookmarkEnd w:id="426"/>
      <w:bookmarkEnd w:id="427"/>
      <w:bookmarkEnd w:id="428"/>
      <w:bookmarkEnd w:id="429"/>
    </w:p>
    <w:p>
      <w:pPr>
        <w:rPr>
          <w:rFonts w:ascii="宋体" w:cs="宋体"/>
          <w:b/>
          <w:bCs/>
          <w:color w:val="auto"/>
          <w:sz w:val="40"/>
          <w:szCs w:val="40"/>
        </w:rPr>
      </w:pPr>
      <w:r>
        <w:rPr>
          <w:rFonts w:hint="eastAsia" w:ascii="宋体" w:cs="宋体"/>
          <w:b/>
          <w:bCs/>
          <w:color w:val="auto"/>
          <w:sz w:val="40"/>
          <w:szCs w:val="40"/>
        </w:rPr>
        <w:br w:type="page"/>
      </w:r>
    </w:p>
    <w:p>
      <w:pPr>
        <w:jc w:val="left"/>
        <w:rPr>
          <w:rFonts w:ascii="宋体" w:hAnsi="宋体" w:cs="宋体"/>
          <w:bCs/>
          <w:color w:val="auto"/>
          <w:sz w:val="32"/>
          <w:szCs w:val="32"/>
        </w:rPr>
      </w:pPr>
      <w:r>
        <w:rPr>
          <w:rFonts w:hint="eastAsia" w:ascii="宋体" w:hAnsi="宋体" w:cs="宋体"/>
          <w:bCs/>
          <w:color w:val="auto"/>
          <w:sz w:val="32"/>
          <w:szCs w:val="32"/>
        </w:rPr>
        <w:t>（GF—2017—0201）</w:t>
      </w:r>
    </w:p>
    <w:p>
      <w:pPr>
        <w:jc w:val="center"/>
        <w:rPr>
          <w:rFonts w:ascii="宋体" w:hAnsi="宋体" w:cs="宋体"/>
          <w:b/>
          <w:color w:val="auto"/>
          <w:sz w:val="52"/>
          <w:szCs w:val="52"/>
        </w:rPr>
      </w:pPr>
    </w:p>
    <w:p>
      <w:pPr>
        <w:jc w:val="center"/>
        <w:rPr>
          <w:rFonts w:ascii="宋体" w:hAnsi="宋体" w:cs="宋体"/>
          <w:b/>
          <w:color w:val="auto"/>
          <w:sz w:val="52"/>
          <w:szCs w:val="52"/>
        </w:rPr>
      </w:pPr>
    </w:p>
    <w:p>
      <w:pPr>
        <w:jc w:val="center"/>
        <w:rPr>
          <w:rFonts w:ascii="宋体" w:hAnsi="宋体" w:cs="宋体"/>
          <w:b/>
          <w:color w:val="auto"/>
          <w:sz w:val="52"/>
          <w:szCs w:val="52"/>
        </w:rPr>
      </w:pPr>
      <w:r>
        <w:rPr>
          <w:rFonts w:hint="eastAsia" w:ascii="宋体" w:hAnsi="宋体" w:cs="宋体"/>
          <w:b/>
          <w:color w:val="auto"/>
          <w:sz w:val="52"/>
          <w:szCs w:val="52"/>
          <w:lang w:eastAsia="zh-CN"/>
        </w:rPr>
        <w:t>洛阳市涧西区豫北二路（中州西路-景华路）提升改造工程</w:t>
      </w:r>
      <w:r>
        <w:rPr>
          <w:rFonts w:hint="eastAsia" w:ascii="宋体" w:hAnsi="宋体" w:cs="宋体"/>
          <w:b/>
          <w:color w:val="auto"/>
          <w:sz w:val="52"/>
          <w:szCs w:val="52"/>
        </w:rPr>
        <w:br w:type="textWrapping"/>
      </w:r>
    </w:p>
    <w:p>
      <w:pPr>
        <w:jc w:val="center"/>
        <w:rPr>
          <w:rFonts w:ascii="宋体" w:hAnsi="宋体" w:cs="宋体"/>
          <w:b/>
          <w:color w:val="auto"/>
          <w:sz w:val="72"/>
          <w:szCs w:val="72"/>
        </w:rPr>
      </w:pPr>
    </w:p>
    <w:p>
      <w:pPr>
        <w:jc w:val="center"/>
        <w:rPr>
          <w:rFonts w:ascii="宋体" w:hAnsi="宋体" w:cs="宋体"/>
          <w:b/>
          <w:color w:val="auto"/>
          <w:sz w:val="72"/>
          <w:szCs w:val="72"/>
        </w:rPr>
      </w:pPr>
    </w:p>
    <w:p>
      <w:pPr>
        <w:jc w:val="center"/>
        <w:rPr>
          <w:rFonts w:ascii="宋体" w:hAnsi="宋体" w:cs="宋体"/>
          <w:b/>
          <w:color w:val="auto"/>
          <w:sz w:val="52"/>
          <w:szCs w:val="52"/>
        </w:rPr>
      </w:pPr>
    </w:p>
    <w:p>
      <w:pPr>
        <w:rPr>
          <w:rFonts w:ascii="宋体" w:hAnsi="宋体" w:cs="宋体"/>
          <w:b/>
          <w:color w:val="auto"/>
          <w:sz w:val="28"/>
          <w:szCs w:val="28"/>
        </w:rPr>
      </w:pPr>
    </w:p>
    <w:p>
      <w:pPr>
        <w:rPr>
          <w:rFonts w:ascii="宋体" w:hAnsi="宋体" w:cs="宋体"/>
          <w:b/>
          <w:color w:val="auto"/>
          <w:sz w:val="28"/>
          <w:szCs w:val="28"/>
        </w:rPr>
      </w:pPr>
    </w:p>
    <w:p>
      <w:pPr>
        <w:pStyle w:val="3"/>
        <w:rPr>
          <w:color w:val="auto"/>
        </w:rPr>
      </w:pPr>
    </w:p>
    <w:p>
      <w:pPr>
        <w:ind w:right="2719" w:rightChars="1295" w:firstLine="2738" w:firstLineChars="1304"/>
        <w:jc w:val="distribute"/>
        <w:rPr>
          <w:rFonts w:ascii="宋体" w:hAnsi="宋体" w:cs="宋体"/>
          <w:b/>
          <w:color w:val="auto"/>
          <w:sz w:val="32"/>
          <w:szCs w:val="28"/>
        </w:rPr>
      </w:pPr>
      <w:r>
        <w:rPr>
          <w:rFonts w:ascii="宋体" w:hAnsi="宋体" w:cs="宋体"/>
          <w:color w:val="auto"/>
        </w:rPr>
        <w:pict>
          <v:shape id="_x0000_s1026" o:spid="_x0000_s1026" o:spt="202" type="#_x0000_t202" style="position:absolute;left:0pt;margin-left:312.6pt;margin-top:9.45pt;height:36pt;width:57pt;z-index:251661312;mso-width-relative:page;mso-height-relative:page;" filled="f" stroked="t" coordsize="21600,21600" o:gfxdata="UEsDBAoAAAAAAIdO4kAAAAAAAAAAAAAAAAAEAAAAZHJzL1BLAwQUAAAACACHTuJAQc0tcdgAAAAJ&#10;AQAADwAAAGRycy9kb3ducmV2LnhtbE2PQU7DMBBF90jcwRokNhW1GyBNQpwukFiwKKWlB3BjNw7E&#10;4yh2knJ7hhUsZ/7Tnzfl5uI6NpkhtB4lrJYCmMHa6xYbCcePl7sMWIgKteo8GgnfJsCmur4qVaH9&#10;jHszHWLDqARDoSTYGPuC81Bb41RY+t4gZWc/OBVpHBquBzVTuet4IkTKnWqRLljVm2dr6q/D6CTs&#10;X+37Ah+2207zKf08vo27OVtIeXuzEk/AornEPxh+9UkdKnI6+RF1YJ2ENHlMCKUgy4ERsL7PaXGS&#10;kIsceFXy/x9UP1BLAwQUAAAACACHTuJAfkID3/ABAADMAwAADgAAAGRycy9lMm9Eb2MueG1srVNL&#10;jhMxEN0jcQfLe9KZkDBMK52RIIQNAqSBA1Rsd7cl/+TypDsXgBuwYsOec+UclJ1MmBk2CNELd9n1&#10;/KrqVXl5PVrDdiqi9q7hF5MpZ8oJL7XrGv750+bZS84wgZNgvFMN3yvk16unT5ZDqNXM995IFRmR&#10;OKyH0PA+pVBXFYpeWcCJD8qRs/XRQqJt7CoZYSB2a6rZdPqiGnyUIXqhEOl0fXTyVeFvWyXSh7ZF&#10;lZhpOOWWyhrLus1rtVpC3UUIvRanNOAfsrCgHQU9U60hAbuN+g8qq0X06Ns0Ed5Wvm21UKUGquZi&#10;+qiamx6CKrWQOBjOMuH/oxXvdx8j07Lhc84cWGrR4dvXw/efhx9f2DzLMwSsCXUTCJfGV36kNt+d&#10;Ix3mqsc22vynehj5Sej9WVw1Jibo8HL2/GpKHkGu+eKSmpdZqt+XQ8T0VnnLstHwSL0rksLuHaYj&#10;9A6SYzm/0caU/hnHhoZfLWYLogeaotZAItMGqgtdV2jQGy3zlXwZY7d9bSLbAc3FpnynbB7Acrw1&#10;YH/EFVeGQW11UrFYvQL5xkmW9oG0czTkPCdjleTMKHoT2SrIBNr8DZIkMS4HUWV+T8XnNhzlzlYa&#10;tyORZnPr5Z5acxui7nrSrTSnyh4amSLwabzzTN7fk33/Ea5+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HNLXHYAAAACQEAAA8AAAAAAAAAAQAgAAAAIgAAAGRycy9kb3ducmV2LnhtbFBLAQIUABQA&#10;AAAIAIdO4kB+QgPf8AEAAMwDAAAOAAAAAAAAAAEAIAAAACcBAABkcnMvZTJvRG9jLnhtbFBLBQYA&#10;AAAABgAGAFkBAACJBQAAAAA=&#10;">
            <v:path/>
            <v:fill on="f" focussize="0,0"/>
            <v:stroke color="#FFFFFF" joinstyle="miter"/>
            <v:imagedata o:title=""/>
            <o:lock v:ext="edit"/>
            <v:textbox>
              <w:txbxContent>
                <w:p>
                  <w:pPr>
                    <w:rPr>
                      <w:b/>
                      <w:bCs/>
                      <w:sz w:val="32"/>
                    </w:rPr>
                  </w:pPr>
                  <w:r>
                    <w:rPr>
                      <w:rFonts w:hint="eastAsia"/>
                      <w:b/>
                      <w:bCs/>
                      <w:sz w:val="32"/>
                    </w:rPr>
                    <w:t>制定</w:t>
                  </w:r>
                </w:p>
              </w:txbxContent>
            </v:textbox>
          </v:shape>
        </w:pict>
      </w:r>
      <w:r>
        <w:rPr>
          <w:rFonts w:hint="eastAsia" w:ascii="宋体" w:hAnsi="宋体" w:cs="宋体"/>
          <w:b/>
          <w:color w:val="auto"/>
          <w:sz w:val="32"/>
          <w:szCs w:val="28"/>
        </w:rPr>
        <w:t>住房城乡建设部</w:t>
      </w:r>
    </w:p>
    <w:p>
      <w:pPr>
        <w:ind w:right="2719" w:rightChars="1295" w:firstLine="2750" w:firstLineChars="856"/>
        <w:jc w:val="distribute"/>
        <w:rPr>
          <w:rFonts w:ascii="宋体" w:hAnsi="宋体" w:cs="宋体"/>
          <w:b/>
          <w:color w:val="auto"/>
          <w:sz w:val="32"/>
          <w:szCs w:val="28"/>
        </w:rPr>
      </w:pPr>
      <w:r>
        <w:rPr>
          <w:rFonts w:hint="eastAsia" w:ascii="宋体" w:hAnsi="宋体" w:cs="宋体"/>
          <w:b/>
          <w:color w:val="auto"/>
          <w:sz w:val="32"/>
          <w:szCs w:val="28"/>
        </w:rPr>
        <w:t>国家工商行政管理总局</w:t>
      </w:r>
    </w:p>
    <w:p>
      <w:pPr>
        <w:rPr>
          <w:b/>
          <w:color w:val="auto"/>
        </w:rPr>
      </w:pPr>
    </w:p>
    <w:p>
      <w:pPr>
        <w:pStyle w:val="7"/>
        <w:rPr>
          <w:rFonts w:eastAsia="仿宋_GB2312"/>
          <w:color w:val="auto"/>
          <w:sz w:val="28"/>
          <w:szCs w:val="28"/>
        </w:rPr>
        <w:sectPr>
          <w:pgSz w:w="11906" w:h="16838"/>
          <w:pgMar w:top="1418" w:right="1555" w:bottom="1418" w:left="1531" w:header="851" w:footer="992" w:gutter="0"/>
          <w:cols w:space="720" w:num="1"/>
          <w:titlePg/>
          <w:docGrid w:type="lines" w:linePitch="312" w:charSpace="0"/>
        </w:sectPr>
      </w:pPr>
      <w:bookmarkStart w:id="430" w:name="_Toc296890982"/>
      <w:bookmarkStart w:id="431" w:name="_Toc296503025"/>
      <w:bookmarkStart w:id="432" w:name="_Toc351203480"/>
    </w:p>
    <w:p>
      <w:pPr>
        <w:pStyle w:val="7"/>
        <w:jc w:val="center"/>
        <w:rPr>
          <w:rFonts w:eastAsia="华文中宋"/>
          <w:b w:val="0"/>
          <w:color w:val="auto"/>
          <w:sz w:val="24"/>
          <w:szCs w:val="24"/>
        </w:rPr>
      </w:pPr>
      <w:r>
        <w:rPr>
          <w:rFonts w:ascii="华文中宋" w:hAnsi="华文中宋" w:eastAsia="华文中宋"/>
          <w:color w:val="auto"/>
          <w:sz w:val="24"/>
          <w:szCs w:val="24"/>
        </w:rPr>
        <w:t>第一部分 合同协议书</w:t>
      </w:r>
      <w:bookmarkEnd w:id="430"/>
      <w:bookmarkEnd w:id="431"/>
      <w:bookmarkEnd w:id="432"/>
    </w:p>
    <w:p>
      <w:pPr>
        <w:spacing w:line="360" w:lineRule="auto"/>
        <w:rPr>
          <w:rFonts w:asciiTheme="minorEastAsia" w:hAnsiTheme="minorEastAsia" w:eastAsiaTheme="minorEastAsia" w:cstheme="minorEastAsia"/>
          <w:b/>
          <w:color w:val="auto"/>
          <w:szCs w:val="21"/>
          <w:u w:val="single"/>
        </w:rPr>
      </w:pPr>
      <w:r>
        <w:rPr>
          <w:rFonts w:hint="eastAsia" w:asciiTheme="minorEastAsia" w:hAnsiTheme="minorEastAsia" w:eastAsiaTheme="minorEastAsia" w:cstheme="minorEastAsia"/>
          <w:b/>
          <w:color w:val="auto"/>
          <w:szCs w:val="21"/>
        </w:rPr>
        <w:t>发包人（全称）：</w:t>
      </w:r>
      <w:r>
        <w:rPr>
          <w:rFonts w:hint="eastAsia" w:asciiTheme="minorEastAsia" w:hAnsiTheme="minorEastAsia" w:eastAsiaTheme="minorEastAsia" w:cstheme="minorEastAsia"/>
          <w:b/>
          <w:color w:val="auto"/>
          <w:szCs w:val="21"/>
          <w:u w:val="single"/>
        </w:rPr>
        <w:t></w:t>
      </w:r>
      <w:r>
        <w:rPr>
          <w:rFonts w:hint="eastAsia" w:asciiTheme="minorEastAsia" w:hAnsiTheme="minorEastAsia" w:eastAsiaTheme="minorEastAsia" w:cstheme="minorEastAsia"/>
          <w:b/>
          <w:color w:val="auto"/>
          <w:szCs w:val="21"/>
          <w:u w:val="single"/>
          <w:lang w:eastAsia="zh-CN"/>
        </w:rPr>
        <w:t>洛阳市涧西区住房和城乡建设局</w:t>
      </w:r>
      <w:r>
        <w:rPr>
          <w:rFonts w:hint="eastAsia" w:asciiTheme="minorEastAsia" w:hAnsiTheme="minorEastAsia" w:eastAsiaTheme="minorEastAsia" w:cstheme="minorEastAsia"/>
          <w:b/>
          <w:color w:val="auto"/>
          <w:szCs w:val="21"/>
          <w:u w:val="single"/>
        </w:rPr>
        <w:t></w:t>
      </w:r>
    </w:p>
    <w:p>
      <w:pPr>
        <w:spacing w:line="360" w:lineRule="auto"/>
        <w:rPr>
          <w:rFonts w:asciiTheme="minorEastAsia" w:hAnsiTheme="minorEastAsia" w:eastAsiaTheme="minorEastAsia" w:cstheme="minorEastAsia"/>
          <w:b/>
          <w:color w:val="auto"/>
          <w:szCs w:val="21"/>
          <w:u w:val="single"/>
        </w:rPr>
      </w:pPr>
      <w:r>
        <w:rPr>
          <w:rFonts w:hint="eastAsia" w:asciiTheme="minorEastAsia" w:hAnsiTheme="minorEastAsia" w:eastAsiaTheme="minorEastAsia" w:cstheme="minorEastAsia"/>
          <w:b/>
          <w:color w:val="auto"/>
          <w:szCs w:val="21"/>
        </w:rPr>
        <w:t>承包人（全称）：</w:t>
      </w:r>
      <w:r>
        <w:rPr>
          <w:rFonts w:hint="eastAsia" w:asciiTheme="minorEastAsia" w:hAnsiTheme="minorEastAsia" w:eastAsiaTheme="minorEastAsia" w:cstheme="minorEastAsia"/>
          <w:b/>
          <w:color w:val="auto"/>
          <w:szCs w:val="21"/>
          <w:u w:val="single"/>
        </w:rPr>
        <w:t xml:space="preserve">                          </w:t>
      </w:r>
    </w:p>
    <w:p>
      <w:pPr>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根据《中华人民共和国合同法》、《中华人民共和国建筑法》及有关法律规定，遵循平等、自愿、公平和诚实信用的原则，双方就</w:t>
      </w:r>
      <w:r>
        <w:rPr>
          <w:rFonts w:hint="eastAsia" w:asciiTheme="minorEastAsia" w:hAnsiTheme="minorEastAsia" w:eastAsiaTheme="minorEastAsia" w:cstheme="minorEastAsia"/>
          <w:color w:val="auto"/>
          <w:szCs w:val="21"/>
          <w:u w:val="single"/>
          <w:lang w:eastAsia="zh-CN"/>
        </w:rPr>
        <w:t>洛阳市涧西区豫北二路（中州西路-景华路）提升改造工程</w:t>
      </w:r>
      <w:r>
        <w:rPr>
          <w:rFonts w:hint="eastAsia" w:asciiTheme="minorEastAsia" w:hAnsiTheme="minorEastAsia" w:eastAsiaTheme="minorEastAsia" w:cstheme="minorEastAsia"/>
          <w:color w:val="auto"/>
          <w:szCs w:val="21"/>
        </w:rPr>
        <w:t>施工及有关事项协商一致，共同达成如下协议：</w:t>
      </w:r>
    </w:p>
    <w:p>
      <w:pPr>
        <w:pStyle w:val="8"/>
        <w:spacing w:before="120" w:after="120" w:line="360" w:lineRule="auto"/>
        <w:rPr>
          <w:rFonts w:asciiTheme="minorEastAsia" w:hAnsiTheme="minorEastAsia" w:eastAsiaTheme="minorEastAsia" w:cstheme="minorEastAsia"/>
          <w:bCs w:val="0"/>
          <w:color w:val="auto"/>
          <w:sz w:val="21"/>
          <w:szCs w:val="21"/>
        </w:rPr>
      </w:pPr>
      <w:bookmarkStart w:id="433" w:name="_Toc351203481"/>
      <w:r>
        <w:rPr>
          <w:rFonts w:hint="eastAsia" w:asciiTheme="minorEastAsia" w:hAnsiTheme="minorEastAsia" w:eastAsiaTheme="minorEastAsia" w:cstheme="minorEastAsia"/>
          <w:b w:val="0"/>
          <w:color w:val="auto"/>
          <w:sz w:val="21"/>
          <w:szCs w:val="21"/>
        </w:rPr>
        <w:t>一、工程概况</w:t>
      </w:r>
      <w:bookmarkEnd w:id="433"/>
    </w:p>
    <w:p>
      <w:pPr>
        <w:spacing w:line="360" w:lineRule="auto"/>
        <w:ind w:firstLine="411" w:firstLineChars="196"/>
        <w:rPr>
          <w:rFonts w:asciiTheme="minorEastAsia" w:hAnsiTheme="minorEastAsia" w:eastAsiaTheme="minorEastAsia" w:cstheme="minorEastAsia"/>
          <w:color w:val="auto"/>
          <w:szCs w:val="21"/>
          <w:u w:val="single"/>
        </w:rPr>
      </w:pPr>
      <w:r>
        <w:rPr>
          <w:rFonts w:hint="eastAsia" w:asciiTheme="minorEastAsia" w:hAnsiTheme="minorEastAsia" w:eastAsiaTheme="minorEastAsia" w:cstheme="minorEastAsia"/>
          <w:bCs/>
          <w:color w:val="auto"/>
          <w:szCs w:val="21"/>
        </w:rPr>
        <w:t>1.工程名称</w:t>
      </w:r>
      <w:r>
        <w:rPr>
          <w:rFonts w:hint="eastAsia" w:asciiTheme="minorEastAsia" w:hAnsiTheme="minorEastAsia" w:eastAsiaTheme="minorEastAsia" w:cstheme="minorEastAsia"/>
          <w:color w:val="auto"/>
          <w:szCs w:val="21"/>
        </w:rPr>
        <w:t>：</w:t>
      </w:r>
      <w:r>
        <w:rPr>
          <w:rFonts w:hint="eastAsia" w:asciiTheme="minorEastAsia" w:hAnsiTheme="minorEastAsia" w:eastAsiaTheme="minorEastAsia" w:cstheme="minorEastAsia"/>
          <w:color w:val="auto"/>
          <w:szCs w:val="21"/>
          <w:u w:val="single"/>
        </w:rPr>
        <w:t></w:t>
      </w:r>
      <w:r>
        <w:rPr>
          <w:rFonts w:hint="eastAsia" w:asciiTheme="minorEastAsia" w:hAnsiTheme="minorEastAsia" w:eastAsiaTheme="minorEastAsia" w:cstheme="minorEastAsia"/>
          <w:color w:val="auto"/>
          <w:szCs w:val="21"/>
          <w:u w:val="single"/>
          <w:lang w:eastAsia="zh-CN"/>
        </w:rPr>
        <w:t>洛阳市涧西区豫北二路（中州西路-景华路）提升改造工程</w:t>
      </w:r>
      <w:r>
        <w:rPr>
          <w:rFonts w:hint="eastAsia" w:asciiTheme="minorEastAsia" w:hAnsiTheme="minorEastAsia" w:eastAsiaTheme="minorEastAsia" w:cstheme="minorEastAsia"/>
          <w:color w:val="auto"/>
          <w:szCs w:val="21"/>
        </w:rPr>
        <w:t>。</w:t>
      </w:r>
    </w:p>
    <w:p>
      <w:pPr>
        <w:spacing w:line="360" w:lineRule="auto"/>
        <w:ind w:firstLine="411" w:firstLineChars="196"/>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2.工程地点：</w:t>
      </w:r>
      <w:r>
        <w:rPr>
          <w:rFonts w:hint="eastAsia" w:asciiTheme="minorEastAsia" w:hAnsiTheme="minorEastAsia" w:eastAsiaTheme="minorEastAsia" w:cstheme="minorEastAsia"/>
          <w:color w:val="auto"/>
          <w:szCs w:val="21"/>
          <w:u w:val="single"/>
        </w:rPr>
        <w:t></w:t>
      </w:r>
      <w:r>
        <w:rPr>
          <w:rFonts w:hint="eastAsia" w:asciiTheme="minorEastAsia" w:hAnsiTheme="minorEastAsia" w:eastAsiaTheme="minorEastAsia" w:cstheme="minorEastAsia"/>
          <w:color w:val="auto"/>
          <w:szCs w:val="21"/>
          <w:u w:val="single"/>
          <w:lang w:eastAsia="zh-CN"/>
        </w:rPr>
        <w:t>洛阳市涧西区</w:t>
      </w:r>
      <w:r>
        <w:rPr>
          <w:rFonts w:hint="eastAsia" w:asciiTheme="minorEastAsia" w:hAnsiTheme="minorEastAsia" w:eastAsiaTheme="minorEastAsia" w:cstheme="minorEastAsia"/>
          <w:color w:val="auto"/>
          <w:szCs w:val="21"/>
        </w:rPr>
        <w:t>。</w:t>
      </w:r>
    </w:p>
    <w:p>
      <w:pPr>
        <w:spacing w:line="360" w:lineRule="auto"/>
        <w:ind w:firstLine="411" w:firstLineChars="196"/>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3.工程立项批准文号：。</w:t>
      </w:r>
    </w:p>
    <w:p>
      <w:pPr>
        <w:spacing w:line="360" w:lineRule="auto"/>
        <w:ind w:firstLine="411" w:firstLineChars="196"/>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4.资金来源：</w:t>
      </w:r>
      <w:r>
        <w:rPr>
          <w:rFonts w:hint="eastAsia" w:asciiTheme="minorEastAsia" w:hAnsiTheme="minorEastAsia" w:eastAsiaTheme="minorEastAsia" w:cstheme="minorEastAsia"/>
          <w:color w:val="auto"/>
          <w:szCs w:val="21"/>
          <w:u w:val="single"/>
        </w:rPr>
        <w:t></w:t>
      </w:r>
      <w:r>
        <w:rPr>
          <w:rFonts w:hint="eastAsia" w:asciiTheme="minorEastAsia" w:hAnsiTheme="minorEastAsia" w:eastAsiaTheme="minorEastAsia" w:cstheme="minorEastAsia"/>
          <w:color w:val="auto"/>
          <w:szCs w:val="21"/>
          <w:u w:val="single"/>
          <w:lang w:eastAsia="zh-CN"/>
        </w:rPr>
        <w:t>财政资金</w:t>
      </w:r>
      <w:r>
        <w:rPr>
          <w:rFonts w:hint="eastAsia" w:asciiTheme="minorEastAsia" w:hAnsiTheme="minorEastAsia" w:eastAsiaTheme="minorEastAsia" w:cstheme="minorEastAsia"/>
          <w:color w:val="auto"/>
          <w:szCs w:val="21"/>
          <w:u w:val="single"/>
        </w:rPr>
        <w:t></w:t>
      </w:r>
      <w:r>
        <w:rPr>
          <w:rFonts w:hint="eastAsia" w:asciiTheme="minorEastAsia" w:hAnsiTheme="minorEastAsia" w:eastAsiaTheme="minorEastAsia" w:cstheme="minorEastAsia"/>
          <w:bCs/>
          <w:color w:val="auto"/>
          <w:szCs w:val="21"/>
        </w:rPr>
        <w:t>。</w:t>
      </w:r>
    </w:p>
    <w:p>
      <w:pPr>
        <w:spacing w:line="360" w:lineRule="auto"/>
        <w:ind w:firstLine="411" w:firstLineChars="196"/>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5.工程内容：</w:t>
      </w:r>
      <w:r>
        <w:rPr>
          <w:rFonts w:hint="eastAsia" w:asciiTheme="minorEastAsia" w:hAnsiTheme="minorEastAsia" w:eastAsiaTheme="minorEastAsia" w:cstheme="minorEastAsia"/>
          <w:color w:val="auto"/>
          <w:szCs w:val="21"/>
          <w:u w:val="single"/>
        </w:rPr>
        <w:t xml:space="preserve">本项目施工图纸、工程量清单及招标文件范围内的全部内容 </w:t>
      </w:r>
      <w:r>
        <w:rPr>
          <w:rFonts w:hint="eastAsia" w:asciiTheme="minorEastAsia" w:hAnsiTheme="minorEastAsia" w:eastAsiaTheme="minorEastAsia" w:cstheme="minorEastAsia"/>
          <w:bCs/>
          <w:color w:val="auto"/>
          <w:szCs w:val="21"/>
        </w:rPr>
        <w:t>。</w:t>
      </w:r>
    </w:p>
    <w:p>
      <w:pPr>
        <w:spacing w:line="360" w:lineRule="auto"/>
        <w:ind w:firstLine="411" w:firstLineChars="196"/>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color w:val="auto"/>
          <w:szCs w:val="21"/>
        </w:rPr>
        <w:t>群体工程应附《承包人承揽工程项目一览表》（附件1）。</w:t>
      </w:r>
    </w:p>
    <w:p>
      <w:pPr>
        <w:spacing w:line="360" w:lineRule="auto"/>
        <w:ind w:firstLine="411" w:firstLineChars="196"/>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bCs/>
          <w:color w:val="auto"/>
          <w:szCs w:val="21"/>
        </w:rPr>
        <w:t>6.工程承包范围：</w:t>
      </w:r>
      <w:r>
        <w:rPr>
          <w:rFonts w:hint="eastAsia" w:asciiTheme="minorEastAsia" w:hAnsiTheme="minorEastAsia" w:eastAsiaTheme="minorEastAsia" w:cstheme="minorEastAsia"/>
          <w:color w:val="auto"/>
          <w:szCs w:val="21"/>
          <w:u w:val="single"/>
        </w:rPr>
        <w:t>本工程施工图及工程量清单范围内的所有内容。</w:t>
      </w:r>
    </w:p>
    <w:p>
      <w:pPr>
        <w:pStyle w:val="8"/>
        <w:spacing w:before="120" w:after="120" w:line="360" w:lineRule="auto"/>
        <w:rPr>
          <w:rFonts w:asciiTheme="minorEastAsia" w:hAnsiTheme="minorEastAsia" w:eastAsiaTheme="minorEastAsia" w:cstheme="minorEastAsia"/>
          <w:b w:val="0"/>
          <w:color w:val="auto"/>
          <w:sz w:val="21"/>
          <w:szCs w:val="21"/>
        </w:rPr>
      </w:pPr>
      <w:bookmarkStart w:id="434" w:name="_Toc351203482"/>
      <w:r>
        <w:rPr>
          <w:rFonts w:hint="eastAsia" w:asciiTheme="minorEastAsia" w:hAnsiTheme="minorEastAsia" w:eastAsiaTheme="minorEastAsia" w:cstheme="minorEastAsia"/>
          <w:b w:val="0"/>
          <w:color w:val="auto"/>
          <w:sz w:val="21"/>
          <w:szCs w:val="21"/>
        </w:rPr>
        <w:t>二、合同工期</w:t>
      </w:r>
      <w:bookmarkEnd w:id="434"/>
    </w:p>
    <w:p>
      <w:pPr>
        <w:spacing w:line="360" w:lineRule="auto"/>
        <w:ind w:firstLine="459"/>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计划开工日期：</w:t>
      </w:r>
      <w:r>
        <w:rPr>
          <w:rFonts w:hint="eastAsia" w:asciiTheme="minorEastAsia" w:hAnsiTheme="minorEastAsia" w:eastAsiaTheme="minorEastAsia" w:cstheme="minorEastAsia"/>
          <w:color w:val="auto"/>
          <w:szCs w:val="21"/>
          <w:u w:val="single"/>
        </w:rPr>
        <w:t>以签发的实际开工报告日期为准</w:t>
      </w:r>
      <w:r>
        <w:rPr>
          <w:rFonts w:hint="eastAsia" w:asciiTheme="minorEastAsia" w:hAnsiTheme="minorEastAsia" w:eastAsiaTheme="minorEastAsia" w:cstheme="minorEastAsia"/>
          <w:color w:val="auto"/>
          <w:szCs w:val="21"/>
        </w:rPr>
        <w:t>。</w:t>
      </w:r>
    </w:p>
    <w:p>
      <w:pPr>
        <w:spacing w:line="360" w:lineRule="auto"/>
        <w:ind w:firstLine="459"/>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计划竣工日期：</w:t>
      </w:r>
      <w:r>
        <w:rPr>
          <w:rFonts w:hint="eastAsia" w:asciiTheme="minorEastAsia" w:hAnsiTheme="minorEastAsia" w:eastAsiaTheme="minorEastAsia" w:cstheme="minorEastAsia"/>
          <w:color w:val="auto"/>
          <w:szCs w:val="21"/>
          <w:u w:val="single"/>
        </w:rPr>
        <w:t>签发的实际开工日期+工期</w:t>
      </w:r>
      <w:r>
        <w:rPr>
          <w:rFonts w:hint="eastAsia" w:asciiTheme="minorEastAsia" w:hAnsiTheme="minorEastAsia" w:eastAsiaTheme="minorEastAsia" w:cstheme="minorEastAsia"/>
          <w:color w:val="auto"/>
          <w:szCs w:val="21"/>
        </w:rPr>
        <w:t>。</w:t>
      </w:r>
    </w:p>
    <w:p>
      <w:pPr>
        <w:spacing w:line="360" w:lineRule="auto"/>
        <w:ind w:firstLine="459"/>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工期总日历天数：</w:t>
      </w:r>
      <w:r>
        <w:rPr>
          <w:rFonts w:hint="eastAsia" w:asciiTheme="minorEastAsia" w:hAnsiTheme="minorEastAsia" w:eastAsiaTheme="minorEastAsia" w:cstheme="minorEastAsia"/>
          <w:color w:val="auto"/>
          <w:szCs w:val="21"/>
          <w:u w:val="single"/>
        </w:rPr>
        <w:t></w:t>
      </w:r>
      <w:r>
        <w:rPr>
          <w:rFonts w:hint="eastAsia" w:asciiTheme="minorEastAsia" w:hAnsiTheme="minorEastAsia" w:eastAsiaTheme="minorEastAsia" w:cstheme="minorEastAsia"/>
          <w:color w:val="auto"/>
          <w:szCs w:val="21"/>
        </w:rPr>
        <w:t>天。工期总日历天数与根据前述计划开竣工日期计算的工期天数不一致的，以工期总日历天数为准。</w:t>
      </w:r>
    </w:p>
    <w:p>
      <w:pPr>
        <w:pStyle w:val="8"/>
        <w:spacing w:before="120" w:after="120" w:line="360" w:lineRule="auto"/>
        <w:rPr>
          <w:rFonts w:asciiTheme="minorEastAsia" w:hAnsiTheme="minorEastAsia" w:eastAsiaTheme="minorEastAsia" w:cstheme="minorEastAsia"/>
          <w:bCs w:val="0"/>
          <w:color w:val="auto"/>
          <w:sz w:val="21"/>
          <w:szCs w:val="21"/>
        </w:rPr>
      </w:pPr>
      <w:bookmarkStart w:id="435" w:name="_Toc351203483"/>
      <w:r>
        <w:rPr>
          <w:rFonts w:hint="eastAsia" w:asciiTheme="minorEastAsia" w:hAnsiTheme="minorEastAsia" w:eastAsiaTheme="minorEastAsia" w:cstheme="minorEastAsia"/>
          <w:b w:val="0"/>
          <w:color w:val="auto"/>
          <w:sz w:val="21"/>
          <w:szCs w:val="21"/>
        </w:rPr>
        <w:t>三、质量标准</w:t>
      </w:r>
      <w:bookmarkEnd w:id="435"/>
    </w:p>
    <w:p>
      <w:pPr>
        <w:spacing w:line="360" w:lineRule="auto"/>
        <w:ind w:firstLine="459"/>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工程质量符合</w:t>
      </w:r>
      <w:r>
        <w:rPr>
          <w:rFonts w:hint="eastAsia" w:asciiTheme="minorEastAsia" w:hAnsiTheme="minorEastAsia" w:eastAsiaTheme="minorEastAsia" w:cstheme="minorEastAsia"/>
          <w:color w:val="auto"/>
          <w:szCs w:val="21"/>
          <w:u w:val="single"/>
        </w:rPr>
        <w:t xml:space="preserve"> 国家质量验收备案合格标准。</w:t>
      </w:r>
    </w:p>
    <w:p>
      <w:pPr>
        <w:pStyle w:val="8"/>
        <w:spacing w:before="120" w:after="120" w:line="360" w:lineRule="auto"/>
        <w:rPr>
          <w:rFonts w:asciiTheme="minorEastAsia" w:hAnsiTheme="minorEastAsia" w:eastAsiaTheme="minorEastAsia" w:cstheme="minorEastAsia"/>
          <w:bCs w:val="0"/>
          <w:color w:val="auto"/>
          <w:sz w:val="21"/>
          <w:szCs w:val="21"/>
        </w:rPr>
      </w:pPr>
      <w:bookmarkStart w:id="436" w:name="_Toc351203484"/>
      <w:r>
        <w:rPr>
          <w:rFonts w:hint="eastAsia" w:asciiTheme="minorEastAsia" w:hAnsiTheme="minorEastAsia" w:eastAsiaTheme="minorEastAsia" w:cstheme="minorEastAsia"/>
          <w:b w:val="0"/>
          <w:color w:val="auto"/>
          <w:sz w:val="21"/>
          <w:szCs w:val="21"/>
        </w:rPr>
        <w:t>四、签约合同价与合同价格形式</w:t>
      </w:r>
      <w:bookmarkEnd w:id="436"/>
      <w:r>
        <w:rPr>
          <w:rFonts w:hint="eastAsia" w:asciiTheme="minorEastAsia" w:hAnsiTheme="minorEastAsia" w:eastAsiaTheme="minorEastAsia" w:cstheme="minorEastAsia"/>
          <w:b w:val="0"/>
          <w:color w:val="auto"/>
          <w:sz w:val="21"/>
          <w:szCs w:val="21"/>
        </w:rPr>
        <w:tab/>
      </w:r>
    </w:p>
    <w:p>
      <w:pPr>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1.签约合同价为：</w:t>
      </w:r>
    </w:p>
    <w:p>
      <w:pPr>
        <w:spacing w:line="360" w:lineRule="auto"/>
        <w:ind w:firstLine="525" w:firstLineChars="25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人民币（大写）(¥元)；</w:t>
      </w:r>
    </w:p>
    <w:p>
      <w:pPr>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其中：</w:t>
      </w:r>
    </w:p>
    <w:p>
      <w:pPr>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（1）安全文明施工费：</w:t>
      </w:r>
    </w:p>
    <w:p>
      <w:pPr>
        <w:spacing w:line="360" w:lineRule="auto"/>
        <w:ind w:firstLine="945" w:firstLineChars="45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人民币（大写） (¥元)；</w:t>
      </w:r>
    </w:p>
    <w:p>
      <w:pPr>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（2）材料和工程设备暂估价金额：</w:t>
      </w:r>
    </w:p>
    <w:p>
      <w:pPr>
        <w:spacing w:line="360" w:lineRule="auto"/>
        <w:ind w:firstLine="945" w:firstLineChars="45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人民币（大写）</w:t>
      </w:r>
      <w:r>
        <w:rPr>
          <w:rFonts w:hint="eastAsia" w:asciiTheme="minorEastAsia" w:hAnsiTheme="minorEastAsia" w:eastAsiaTheme="minorEastAsia" w:cstheme="minorEastAsia"/>
          <w:color w:val="auto"/>
          <w:szCs w:val="21"/>
          <w:u w:val="single"/>
        </w:rPr>
        <w:t xml:space="preserve">         /  </w:t>
      </w:r>
      <w:r>
        <w:rPr>
          <w:rFonts w:hint="eastAsia" w:asciiTheme="minorEastAsia" w:hAnsiTheme="minorEastAsia" w:eastAsiaTheme="minorEastAsia" w:cstheme="minorEastAsia"/>
          <w:color w:val="auto"/>
          <w:szCs w:val="21"/>
        </w:rPr>
        <w:t xml:space="preserve"> (¥</w:t>
      </w:r>
      <w:r>
        <w:rPr>
          <w:rFonts w:hint="eastAsia" w:asciiTheme="minorEastAsia" w:hAnsiTheme="minorEastAsia" w:eastAsiaTheme="minorEastAsia" w:cstheme="minorEastAsia"/>
          <w:color w:val="auto"/>
          <w:szCs w:val="21"/>
          <w:u w:val="single"/>
        </w:rPr>
        <w:t xml:space="preserve">    /   </w:t>
      </w:r>
      <w:r>
        <w:rPr>
          <w:rFonts w:hint="eastAsia" w:asciiTheme="minorEastAsia" w:hAnsiTheme="minorEastAsia" w:eastAsiaTheme="minorEastAsia" w:cstheme="minorEastAsia"/>
          <w:color w:val="auto"/>
          <w:szCs w:val="21"/>
        </w:rPr>
        <w:t>元)；</w:t>
      </w:r>
    </w:p>
    <w:p>
      <w:pPr>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（3）专业工程暂估价金额：</w:t>
      </w:r>
    </w:p>
    <w:p>
      <w:pPr>
        <w:spacing w:line="360" w:lineRule="auto"/>
        <w:ind w:firstLine="945" w:firstLineChars="45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人民币（大写）</w:t>
      </w:r>
      <w:r>
        <w:rPr>
          <w:rFonts w:hint="eastAsia" w:asciiTheme="minorEastAsia" w:hAnsiTheme="minorEastAsia" w:eastAsiaTheme="minorEastAsia" w:cstheme="minorEastAsia"/>
          <w:color w:val="auto"/>
          <w:szCs w:val="21"/>
          <w:u w:val="single"/>
        </w:rPr>
        <w:t xml:space="preserve">      /   </w:t>
      </w:r>
      <w:r>
        <w:rPr>
          <w:rFonts w:hint="eastAsia" w:asciiTheme="minorEastAsia" w:hAnsiTheme="minorEastAsia" w:eastAsiaTheme="minorEastAsia" w:cstheme="minorEastAsia"/>
          <w:color w:val="auto"/>
          <w:szCs w:val="21"/>
        </w:rPr>
        <w:t xml:space="preserve"> (¥</w:t>
      </w:r>
      <w:r>
        <w:rPr>
          <w:rFonts w:hint="eastAsia" w:asciiTheme="minorEastAsia" w:hAnsiTheme="minorEastAsia" w:eastAsiaTheme="minorEastAsia" w:cstheme="minorEastAsia"/>
          <w:color w:val="auto"/>
          <w:szCs w:val="21"/>
          <w:u w:val="single"/>
        </w:rPr>
        <w:t xml:space="preserve">   /  </w:t>
      </w:r>
      <w:r>
        <w:rPr>
          <w:rFonts w:hint="eastAsia" w:asciiTheme="minorEastAsia" w:hAnsiTheme="minorEastAsia" w:eastAsiaTheme="minorEastAsia" w:cstheme="minorEastAsia"/>
          <w:color w:val="auto"/>
          <w:szCs w:val="21"/>
        </w:rPr>
        <w:t>元)；</w:t>
      </w:r>
    </w:p>
    <w:p>
      <w:pPr>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（4）暂列金额：</w:t>
      </w:r>
    </w:p>
    <w:p>
      <w:pPr>
        <w:spacing w:line="360" w:lineRule="auto"/>
        <w:ind w:firstLine="945" w:firstLineChars="45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人民币（大写）</w:t>
      </w:r>
      <w:r>
        <w:rPr>
          <w:rFonts w:hint="eastAsia" w:asciiTheme="minorEastAsia" w:hAnsiTheme="minorEastAsia" w:eastAsiaTheme="minorEastAsia" w:cstheme="minorEastAsia"/>
          <w:color w:val="auto"/>
          <w:szCs w:val="21"/>
          <w:u w:val="single"/>
        </w:rPr>
        <w:t xml:space="preserve">     /     </w:t>
      </w:r>
      <w:r>
        <w:rPr>
          <w:rFonts w:hint="eastAsia" w:asciiTheme="minorEastAsia" w:hAnsiTheme="minorEastAsia" w:eastAsiaTheme="minorEastAsia" w:cstheme="minorEastAsia"/>
          <w:color w:val="auto"/>
          <w:szCs w:val="21"/>
        </w:rPr>
        <w:t xml:space="preserve"> (¥</w:t>
      </w:r>
      <w:r>
        <w:rPr>
          <w:rFonts w:hint="eastAsia" w:asciiTheme="minorEastAsia" w:hAnsiTheme="minorEastAsia" w:eastAsiaTheme="minorEastAsia" w:cstheme="minorEastAsia"/>
          <w:color w:val="auto"/>
          <w:szCs w:val="21"/>
          <w:u w:val="single"/>
        </w:rPr>
        <w:t xml:space="preserve">  /  </w:t>
      </w:r>
      <w:r>
        <w:rPr>
          <w:rFonts w:hint="eastAsia" w:asciiTheme="minorEastAsia" w:hAnsiTheme="minorEastAsia" w:eastAsiaTheme="minorEastAsia" w:cstheme="minorEastAsia"/>
          <w:color w:val="auto"/>
          <w:szCs w:val="21"/>
        </w:rPr>
        <w:t>元)。</w:t>
      </w:r>
    </w:p>
    <w:p>
      <w:pPr>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2.合同价格形式：</w:t>
      </w:r>
      <w:r>
        <w:rPr>
          <w:rFonts w:hint="eastAsia" w:asciiTheme="minorEastAsia" w:hAnsiTheme="minorEastAsia" w:eastAsiaTheme="minorEastAsia" w:cstheme="minorEastAsia"/>
          <w:color w:val="auto"/>
          <w:szCs w:val="21"/>
          <w:u w:val="single"/>
        </w:rPr>
        <w:t>总价（中标价）+变更、签证  </w:t>
      </w:r>
      <w:r>
        <w:rPr>
          <w:rFonts w:hint="eastAsia" w:asciiTheme="minorEastAsia" w:hAnsiTheme="minorEastAsia" w:eastAsiaTheme="minorEastAsia" w:cstheme="minorEastAsia"/>
          <w:color w:val="auto"/>
          <w:szCs w:val="21"/>
        </w:rPr>
        <w:t>。</w:t>
      </w:r>
    </w:p>
    <w:p>
      <w:pPr>
        <w:pStyle w:val="8"/>
        <w:spacing w:before="120" w:after="120" w:line="360" w:lineRule="auto"/>
        <w:rPr>
          <w:rFonts w:asciiTheme="minorEastAsia" w:hAnsiTheme="minorEastAsia" w:eastAsiaTheme="minorEastAsia" w:cstheme="minorEastAsia"/>
          <w:b w:val="0"/>
          <w:color w:val="auto"/>
          <w:sz w:val="21"/>
          <w:szCs w:val="21"/>
        </w:rPr>
      </w:pPr>
      <w:bookmarkStart w:id="437" w:name="_Toc351203485"/>
      <w:r>
        <w:rPr>
          <w:rFonts w:hint="eastAsia" w:asciiTheme="minorEastAsia" w:hAnsiTheme="minorEastAsia" w:eastAsiaTheme="minorEastAsia" w:cstheme="minorEastAsia"/>
          <w:b w:val="0"/>
          <w:color w:val="auto"/>
          <w:sz w:val="21"/>
          <w:szCs w:val="21"/>
        </w:rPr>
        <w:t>五、</w:t>
      </w:r>
      <w:bookmarkEnd w:id="437"/>
      <w:r>
        <w:rPr>
          <w:rFonts w:hint="eastAsia" w:asciiTheme="minorEastAsia" w:hAnsiTheme="minorEastAsia" w:eastAsiaTheme="minorEastAsia" w:cstheme="minorEastAsia"/>
          <w:b w:val="0"/>
          <w:color w:val="auto"/>
          <w:sz w:val="21"/>
          <w:szCs w:val="21"/>
        </w:rPr>
        <w:t>项目经理</w:t>
      </w:r>
    </w:p>
    <w:p>
      <w:pPr>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承包人项目经理：</w:t>
      </w:r>
      <w:r>
        <w:rPr>
          <w:rFonts w:hint="eastAsia" w:asciiTheme="minorEastAsia" w:hAnsiTheme="minorEastAsia" w:eastAsiaTheme="minorEastAsia" w:cstheme="minorEastAsia"/>
          <w:color w:val="auto"/>
          <w:szCs w:val="21"/>
          <w:u w:val="single"/>
        </w:rPr>
        <w:t>       </w:t>
      </w:r>
      <w:r>
        <w:rPr>
          <w:rFonts w:hint="eastAsia" w:asciiTheme="minorEastAsia" w:hAnsiTheme="minorEastAsia" w:eastAsiaTheme="minorEastAsia" w:cstheme="minorEastAsia"/>
          <w:color w:val="auto"/>
          <w:szCs w:val="21"/>
        </w:rPr>
        <w:t>。</w:t>
      </w:r>
    </w:p>
    <w:p>
      <w:pPr>
        <w:pStyle w:val="8"/>
        <w:spacing w:before="120" w:after="120" w:line="360" w:lineRule="auto"/>
        <w:rPr>
          <w:rFonts w:asciiTheme="minorEastAsia" w:hAnsiTheme="minorEastAsia" w:eastAsiaTheme="minorEastAsia" w:cstheme="minorEastAsia"/>
          <w:bCs w:val="0"/>
          <w:color w:val="auto"/>
          <w:sz w:val="21"/>
          <w:szCs w:val="21"/>
        </w:rPr>
      </w:pPr>
      <w:bookmarkStart w:id="438" w:name="_Toc351203486"/>
      <w:r>
        <w:rPr>
          <w:rFonts w:hint="eastAsia" w:asciiTheme="minorEastAsia" w:hAnsiTheme="minorEastAsia" w:eastAsiaTheme="minorEastAsia" w:cstheme="minorEastAsia"/>
          <w:b w:val="0"/>
          <w:color w:val="auto"/>
          <w:sz w:val="21"/>
          <w:szCs w:val="21"/>
        </w:rPr>
        <w:t>六、合同文件构成</w:t>
      </w:r>
      <w:bookmarkEnd w:id="438"/>
    </w:p>
    <w:p>
      <w:pPr>
        <w:spacing w:line="360" w:lineRule="auto"/>
        <w:ind w:firstLine="420" w:firstLineChars="200"/>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本协议书与下列文件一起构成合同文件：</w:t>
      </w:r>
    </w:p>
    <w:p>
      <w:pPr>
        <w:autoSpaceDE w:val="0"/>
        <w:autoSpaceDN w:val="0"/>
        <w:adjustRightInd w:val="0"/>
        <w:spacing w:line="360" w:lineRule="auto"/>
        <w:ind w:firstLine="420" w:firstLineChars="20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（1）中标通知书；</w:t>
      </w:r>
    </w:p>
    <w:p>
      <w:pPr>
        <w:autoSpaceDE w:val="0"/>
        <w:autoSpaceDN w:val="0"/>
        <w:adjustRightInd w:val="0"/>
        <w:spacing w:line="360" w:lineRule="auto"/>
        <w:ind w:firstLine="420" w:firstLineChars="20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 xml:space="preserve">（2）投标函及其附录； </w:t>
      </w:r>
    </w:p>
    <w:p>
      <w:pPr>
        <w:autoSpaceDE w:val="0"/>
        <w:autoSpaceDN w:val="0"/>
        <w:adjustRightInd w:val="0"/>
        <w:spacing w:line="360" w:lineRule="auto"/>
        <w:ind w:firstLine="420" w:firstLineChars="20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（3）专用合同条款及其附件；</w:t>
      </w:r>
    </w:p>
    <w:p>
      <w:pPr>
        <w:autoSpaceDE w:val="0"/>
        <w:autoSpaceDN w:val="0"/>
        <w:adjustRightInd w:val="0"/>
        <w:spacing w:line="360" w:lineRule="auto"/>
        <w:ind w:firstLine="420" w:firstLineChars="20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（4）通用合同条款；</w:t>
      </w:r>
    </w:p>
    <w:p>
      <w:pPr>
        <w:autoSpaceDE w:val="0"/>
        <w:autoSpaceDN w:val="0"/>
        <w:adjustRightInd w:val="0"/>
        <w:spacing w:line="360" w:lineRule="auto"/>
        <w:ind w:firstLine="420" w:firstLineChars="20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（5）技术标准和要求；</w:t>
      </w:r>
    </w:p>
    <w:p>
      <w:pPr>
        <w:autoSpaceDE w:val="0"/>
        <w:autoSpaceDN w:val="0"/>
        <w:adjustRightInd w:val="0"/>
        <w:spacing w:line="360" w:lineRule="auto"/>
        <w:ind w:firstLine="420" w:firstLineChars="20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（6）图纸；</w:t>
      </w:r>
    </w:p>
    <w:p>
      <w:pPr>
        <w:autoSpaceDE w:val="0"/>
        <w:autoSpaceDN w:val="0"/>
        <w:adjustRightInd w:val="0"/>
        <w:spacing w:line="360" w:lineRule="auto"/>
        <w:ind w:firstLine="420" w:firstLineChars="20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（7）已标价工程量清单或预算书；</w:t>
      </w:r>
    </w:p>
    <w:p>
      <w:pPr>
        <w:autoSpaceDE w:val="0"/>
        <w:autoSpaceDN w:val="0"/>
        <w:adjustRightInd w:val="0"/>
        <w:spacing w:line="360" w:lineRule="auto"/>
        <w:ind w:firstLine="420" w:firstLineChars="20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（8）其他合同文件。</w:t>
      </w:r>
    </w:p>
    <w:p>
      <w:pPr>
        <w:autoSpaceDE w:val="0"/>
        <w:autoSpaceDN w:val="0"/>
        <w:adjustRightInd w:val="0"/>
        <w:spacing w:line="360" w:lineRule="auto"/>
        <w:ind w:firstLine="420" w:firstLineChars="20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在合同订立及履行过程中形成的与合同有关的文件均构成合同文件组成部分。</w:t>
      </w:r>
    </w:p>
    <w:p>
      <w:pPr>
        <w:autoSpaceDE w:val="0"/>
        <w:autoSpaceDN w:val="0"/>
        <w:adjustRightInd w:val="0"/>
        <w:spacing w:line="360" w:lineRule="auto"/>
        <w:ind w:firstLine="420" w:firstLineChars="200"/>
        <w:jc w:val="left"/>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上述各项合同文件包括合同当事人就该项合同文件所作出的补充和修改，属于同一类内容的文件，应以最新签署的为准。专用合同条款及其附件须经合同当事人签字或盖章。</w:t>
      </w:r>
    </w:p>
    <w:p>
      <w:pPr>
        <w:pStyle w:val="8"/>
        <w:spacing w:before="120" w:after="120" w:line="360" w:lineRule="auto"/>
        <w:rPr>
          <w:rFonts w:asciiTheme="minorEastAsia" w:hAnsiTheme="minorEastAsia" w:eastAsiaTheme="minorEastAsia" w:cstheme="minorEastAsia"/>
          <w:b w:val="0"/>
          <w:bCs w:val="0"/>
          <w:color w:val="auto"/>
          <w:sz w:val="21"/>
          <w:szCs w:val="21"/>
        </w:rPr>
      </w:pPr>
      <w:bookmarkStart w:id="439" w:name="_Toc351203487"/>
      <w:r>
        <w:rPr>
          <w:rFonts w:hint="eastAsia" w:asciiTheme="minorEastAsia" w:hAnsiTheme="minorEastAsia" w:eastAsiaTheme="minorEastAsia" w:cstheme="minorEastAsia"/>
          <w:b w:val="0"/>
          <w:color w:val="auto"/>
          <w:sz w:val="21"/>
          <w:szCs w:val="21"/>
        </w:rPr>
        <w:t>七、承诺</w:t>
      </w:r>
      <w:bookmarkEnd w:id="439"/>
    </w:p>
    <w:p>
      <w:pPr>
        <w:spacing w:line="360" w:lineRule="auto"/>
        <w:ind w:firstLine="420" w:firstLineChars="200"/>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1.发包人承诺按照法律规定履行项目审批手续、筹集工程建设资金并按照合同约定的期限和方式支付合同价款。</w:t>
      </w:r>
    </w:p>
    <w:p>
      <w:pPr>
        <w:spacing w:line="360" w:lineRule="auto"/>
        <w:ind w:firstLine="420" w:firstLineChars="200"/>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2.承包人承诺按照法律规定及合同约定组织完成工程施工，确保工程质量和安全，不进行转包及违法分包，并在缺陷责任期及保修期内承担相应的工程维修责任。</w:t>
      </w:r>
    </w:p>
    <w:p>
      <w:pPr>
        <w:spacing w:line="360" w:lineRule="auto"/>
        <w:ind w:firstLine="420" w:firstLineChars="200"/>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3.发包人和承包人通过招投标形式签订合同的，双方理解并承诺不再就同一工程另行签订与合同实质性内容相背离的协议。</w:t>
      </w:r>
    </w:p>
    <w:p>
      <w:pPr>
        <w:spacing w:line="360" w:lineRule="auto"/>
        <w:rPr>
          <w:rFonts w:asciiTheme="minorEastAsia" w:hAnsiTheme="minorEastAsia" w:eastAsiaTheme="minorEastAsia" w:cstheme="minorEastAsia"/>
          <w:bCs/>
          <w:color w:val="auto"/>
          <w:szCs w:val="21"/>
        </w:rPr>
      </w:pPr>
      <w:bookmarkStart w:id="440" w:name="_Toc351203488"/>
      <w:r>
        <w:rPr>
          <w:rFonts w:hint="eastAsia" w:asciiTheme="minorEastAsia" w:hAnsiTheme="minorEastAsia" w:eastAsiaTheme="minorEastAsia" w:cstheme="minorEastAsia"/>
          <w:b/>
          <w:color w:val="auto"/>
          <w:szCs w:val="21"/>
        </w:rPr>
        <w:t xml:space="preserve">    八、词语含义</w:t>
      </w:r>
      <w:bookmarkEnd w:id="440"/>
    </w:p>
    <w:p>
      <w:pPr>
        <w:spacing w:line="360" w:lineRule="auto"/>
        <w:ind w:firstLine="420" w:firstLineChars="200"/>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本协议书中词语含义与第二部分通用合同条款中赋予的含义相同。</w:t>
      </w:r>
    </w:p>
    <w:p>
      <w:pPr>
        <w:pStyle w:val="8"/>
        <w:spacing w:before="120" w:after="120" w:line="360" w:lineRule="auto"/>
        <w:rPr>
          <w:rFonts w:asciiTheme="minorEastAsia" w:hAnsiTheme="minorEastAsia" w:eastAsiaTheme="minorEastAsia" w:cstheme="minorEastAsia"/>
          <w:bCs w:val="0"/>
          <w:color w:val="auto"/>
          <w:sz w:val="21"/>
          <w:szCs w:val="21"/>
        </w:rPr>
      </w:pPr>
      <w:bookmarkStart w:id="441" w:name="_Toc351203489"/>
      <w:r>
        <w:rPr>
          <w:rFonts w:hint="eastAsia" w:asciiTheme="minorEastAsia" w:hAnsiTheme="minorEastAsia" w:eastAsiaTheme="minorEastAsia" w:cstheme="minorEastAsia"/>
          <w:b w:val="0"/>
          <w:color w:val="auto"/>
          <w:sz w:val="21"/>
          <w:szCs w:val="21"/>
        </w:rPr>
        <w:t>九、签订时间</w:t>
      </w:r>
      <w:bookmarkEnd w:id="441"/>
    </w:p>
    <w:p>
      <w:pPr>
        <w:spacing w:line="360" w:lineRule="auto"/>
        <w:ind w:firstLine="420" w:firstLineChars="200"/>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本合同于年月日签订。</w:t>
      </w:r>
    </w:p>
    <w:p>
      <w:pPr>
        <w:pStyle w:val="8"/>
        <w:spacing w:before="120" w:after="120" w:line="360" w:lineRule="auto"/>
        <w:rPr>
          <w:rFonts w:asciiTheme="minorEastAsia" w:hAnsiTheme="minorEastAsia" w:eastAsiaTheme="minorEastAsia" w:cstheme="minorEastAsia"/>
          <w:bCs w:val="0"/>
          <w:color w:val="auto"/>
          <w:sz w:val="21"/>
          <w:szCs w:val="21"/>
        </w:rPr>
      </w:pPr>
      <w:bookmarkStart w:id="442" w:name="_Toc351203490"/>
      <w:r>
        <w:rPr>
          <w:rFonts w:hint="eastAsia" w:asciiTheme="minorEastAsia" w:hAnsiTheme="minorEastAsia" w:eastAsiaTheme="minorEastAsia" w:cstheme="minorEastAsia"/>
          <w:b w:val="0"/>
          <w:color w:val="auto"/>
          <w:sz w:val="21"/>
          <w:szCs w:val="21"/>
        </w:rPr>
        <w:t>十、签订地点</w:t>
      </w:r>
      <w:bookmarkEnd w:id="442"/>
    </w:p>
    <w:p>
      <w:pPr>
        <w:spacing w:line="360" w:lineRule="auto"/>
        <w:ind w:firstLine="420" w:firstLineChars="200"/>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本合同在签订。</w:t>
      </w:r>
    </w:p>
    <w:p>
      <w:pPr>
        <w:pStyle w:val="8"/>
        <w:spacing w:before="120" w:after="120" w:line="360" w:lineRule="auto"/>
        <w:rPr>
          <w:rFonts w:asciiTheme="minorEastAsia" w:hAnsiTheme="minorEastAsia" w:eastAsiaTheme="minorEastAsia" w:cstheme="minorEastAsia"/>
          <w:bCs w:val="0"/>
          <w:color w:val="auto"/>
          <w:sz w:val="21"/>
          <w:szCs w:val="21"/>
        </w:rPr>
      </w:pPr>
      <w:bookmarkStart w:id="443" w:name="_Toc351203491"/>
      <w:r>
        <w:rPr>
          <w:rFonts w:hint="eastAsia" w:asciiTheme="minorEastAsia" w:hAnsiTheme="minorEastAsia" w:eastAsiaTheme="minorEastAsia" w:cstheme="minorEastAsia"/>
          <w:b w:val="0"/>
          <w:color w:val="auto"/>
          <w:sz w:val="21"/>
          <w:szCs w:val="21"/>
        </w:rPr>
        <w:t>十一、补充协议</w:t>
      </w:r>
      <w:bookmarkEnd w:id="443"/>
    </w:p>
    <w:p>
      <w:pPr>
        <w:spacing w:line="360" w:lineRule="auto"/>
        <w:ind w:firstLine="420" w:firstLineChars="200"/>
        <w:rPr>
          <w:rFonts w:asciiTheme="minorEastAsia" w:hAnsiTheme="minorEastAsia" w:eastAsiaTheme="minorEastAsia" w:cstheme="minorEastAsia"/>
          <w:b/>
          <w:bCs/>
          <w:color w:val="auto"/>
          <w:szCs w:val="21"/>
        </w:rPr>
      </w:pPr>
      <w:r>
        <w:rPr>
          <w:rFonts w:hint="eastAsia" w:asciiTheme="minorEastAsia" w:hAnsiTheme="minorEastAsia" w:eastAsiaTheme="minorEastAsia" w:cstheme="minorEastAsia"/>
          <w:bCs/>
          <w:color w:val="auto"/>
          <w:szCs w:val="21"/>
        </w:rPr>
        <w:t>合同未尽事宜，合同当事人另行签订补充协议，补充协议是合同的组成部分。</w:t>
      </w:r>
    </w:p>
    <w:p>
      <w:pPr>
        <w:pStyle w:val="8"/>
        <w:spacing w:before="120" w:after="120" w:line="360" w:lineRule="auto"/>
        <w:rPr>
          <w:rFonts w:asciiTheme="minorEastAsia" w:hAnsiTheme="minorEastAsia" w:eastAsiaTheme="minorEastAsia" w:cstheme="minorEastAsia"/>
          <w:bCs w:val="0"/>
          <w:color w:val="auto"/>
          <w:sz w:val="21"/>
          <w:szCs w:val="21"/>
        </w:rPr>
      </w:pPr>
      <w:bookmarkStart w:id="444" w:name="_Toc351203492"/>
      <w:r>
        <w:rPr>
          <w:rFonts w:hint="eastAsia" w:asciiTheme="minorEastAsia" w:hAnsiTheme="minorEastAsia" w:eastAsiaTheme="minorEastAsia" w:cstheme="minorEastAsia"/>
          <w:b w:val="0"/>
          <w:color w:val="auto"/>
          <w:sz w:val="21"/>
          <w:szCs w:val="21"/>
        </w:rPr>
        <w:t>十二、合同生效</w:t>
      </w:r>
      <w:bookmarkEnd w:id="444"/>
    </w:p>
    <w:p>
      <w:pPr>
        <w:spacing w:line="360" w:lineRule="auto"/>
        <w:ind w:firstLine="420" w:firstLineChars="200"/>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本合同自</w:t>
      </w:r>
      <w:r>
        <w:rPr>
          <w:rFonts w:hint="eastAsia" w:asciiTheme="minorEastAsia" w:hAnsiTheme="minorEastAsia" w:eastAsiaTheme="minorEastAsia" w:cstheme="minorEastAsia"/>
          <w:bCs/>
          <w:color w:val="auto"/>
          <w:szCs w:val="21"/>
          <w:u w:val="single"/>
        </w:rPr>
        <w:t>发包人和承包人的法定代表人或其授权代理人在协议书上签字并盖章后本合同生效。</w:t>
      </w:r>
    </w:p>
    <w:p>
      <w:pPr>
        <w:pStyle w:val="8"/>
        <w:spacing w:before="120" w:after="120" w:line="360" w:lineRule="auto"/>
        <w:rPr>
          <w:rFonts w:asciiTheme="minorEastAsia" w:hAnsiTheme="minorEastAsia" w:eastAsiaTheme="minorEastAsia" w:cstheme="minorEastAsia"/>
          <w:bCs w:val="0"/>
          <w:color w:val="auto"/>
          <w:sz w:val="21"/>
          <w:szCs w:val="21"/>
        </w:rPr>
      </w:pPr>
      <w:bookmarkStart w:id="445" w:name="_Toc351203493"/>
      <w:r>
        <w:rPr>
          <w:rFonts w:hint="eastAsia" w:asciiTheme="minorEastAsia" w:hAnsiTheme="minorEastAsia" w:eastAsiaTheme="minorEastAsia" w:cstheme="minorEastAsia"/>
          <w:b w:val="0"/>
          <w:color w:val="auto"/>
          <w:sz w:val="21"/>
          <w:szCs w:val="21"/>
        </w:rPr>
        <w:t>十三、合同份数</w:t>
      </w:r>
      <w:bookmarkEnd w:id="445"/>
    </w:p>
    <w:p>
      <w:pPr>
        <w:spacing w:line="360" w:lineRule="auto"/>
        <w:ind w:firstLine="420" w:firstLineChars="200"/>
        <w:rPr>
          <w:rFonts w:asciiTheme="minorEastAsia" w:hAnsiTheme="minorEastAsia" w:eastAsiaTheme="minorEastAsia" w:cstheme="minorEastAsia"/>
          <w:bCs/>
          <w:color w:val="auto"/>
          <w:szCs w:val="21"/>
        </w:rPr>
      </w:pPr>
      <w:r>
        <w:rPr>
          <w:rFonts w:hint="eastAsia" w:asciiTheme="minorEastAsia" w:hAnsiTheme="minorEastAsia" w:eastAsiaTheme="minorEastAsia" w:cstheme="minorEastAsia"/>
          <w:bCs/>
          <w:color w:val="auto"/>
          <w:szCs w:val="21"/>
        </w:rPr>
        <w:t>本合同一式</w:t>
      </w:r>
      <w:r>
        <w:rPr>
          <w:rFonts w:hint="eastAsia" w:asciiTheme="minorEastAsia" w:hAnsiTheme="minorEastAsia" w:eastAsiaTheme="minorEastAsia" w:cstheme="minorEastAsia"/>
          <w:bCs/>
          <w:color w:val="auto"/>
          <w:szCs w:val="21"/>
          <w:u w:val="single"/>
        </w:rPr>
        <w:t xml:space="preserve"> 捌 </w:t>
      </w:r>
      <w:r>
        <w:rPr>
          <w:rFonts w:hint="eastAsia" w:asciiTheme="minorEastAsia" w:hAnsiTheme="minorEastAsia" w:eastAsiaTheme="minorEastAsia" w:cstheme="minorEastAsia"/>
          <w:bCs/>
          <w:color w:val="auto"/>
          <w:szCs w:val="21"/>
        </w:rPr>
        <w:t>份，均具有同等法律效力，发包人执</w:t>
      </w:r>
      <w:r>
        <w:rPr>
          <w:rFonts w:hint="eastAsia" w:asciiTheme="minorEastAsia" w:hAnsiTheme="minorEastAsia" w:eastAsiaTheme="minorEastAsia" w:cstheme="minorEastAsia"/>
          <w:bCs/>
          <w:color w:val="auto"/>
          <w:szCs w:val="21"/>
          <w:u w:val="single"/>
        </w:rPr>
        <w:t xml:space="preserve"> 肆 </w:t>
      </w:r>
      <w:r>
        <w:rPr>
          <w:rFonts w:hint="eastAsia" w:asciiTheme="minorEastAsia" w:hAnsiTheme="minorEastAsia" w:eastAsiaTheme="minorEastAsia" w:cstheme="minorEastAsia"/>
          <w:bCs/>
          <w:color w:val="auto"/>
          <w:szCs w:val="21"/>
        </w:rPr>
        <w:t>份，承包人执</w:t>
      </w:r>
      <w:r>
        <w:rPr>
          <w:rFonts w:hint="eastAsia" w:asciiTheme="minorEastAsia" w:hAnsiTheme="minorEastAsia" w:eastAsiaTheme="minorEastAsia" w:cstheme="minorEastAsia"/>
          <w:bCs/>
          <w:color w:val="auto"/>
          <w:szCs w:val="21"/>
          <w:u w:val="single"/>
        </w:rPr>
        <w:t xml:space="preserve"> 肆 </w:t>
      </w:r>
      <w:r>
        <w:rPr>
          <w:rFonts w:hint="eastAsia" w:asciiTheme="minorEastAsia" w:hAnsiTheme="minorEastAsia" w:eastAsiaTheme="minorEastAsia" w:cstheme="minorEastAsia"/>
          <w:bCs/>
          <w:color w:val="auto"/>
          <w:szCs w:val="21"/>
        </w:rPr>
        <w:t>份。</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发包人：  (公章)             承包人：  (公章)</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法定代表人或其委托代理人：  法定代表人或其委托代理人：</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（签字）                    （签字）</w:t>
      </w:r>
    </w:p>
    <w:p>
      <w:pPr>
        <w:tabs>
          <w:tab w:val="left" w:pos="4410"/>
        </w:tabs>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组织机构代码：</w:t>
      </w:r>
      <w:r>
        <w:rPr>
          <w:rFonts w:hint="eastAsia" w:asciiTheme="minorEastAsia" w:hAnsiTheme="minorEastAsia" w:eastAsiaTheme="minorEastAsia" w:cstheme="minorEastAsia"/>
          <w:color w:val="auto"/>
          <w:szCs w:val="21"/>
          <w:u w:val="single"/>
        </w:rPr>
        <w:t xml:space="preserve">      </w:t>
      </w:r>
      <w:r>
        <w:rPr>
          <w:rFonts w:hint="eastAsia" w:asciiTheme="minorEastAsia" w:hAnsiTheme="minorEastAsia" w:eastAsiaTheme="minorEastAsia" w:cstheme="minorEastAsia"/>
          <w:color w:val="auto"/>
          <w:szCs w:val="21"/>
        </w:rPr>
        <w:t xml:space="preserve">  组织机构代码：</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地  址：</w:t>
      </w:r>
      <w:r>
        <w:rPr>
          <w:rFonts w:hint="eastAsia" w:asciiTheme="minorEastAsia" w:hAnsiTheme="minorEastAsia" w:eastAsiaTheme="minorEastAsia" w:cstheme="minorEastAsia"/>
          <w:color w:val="auto"/>
          <w:szCs w:val="21"/>
          <w:u w:val="single"/>
        </w:rPr>
        <w:t xml:space="preserve">     </w:t>
      </w:r>
      <w:r>
        <w:rPr>
          <w:rFonts w:hint="eastAsia" w:asciiTheme="minorEastAsia" w:hAnsiTheme="minorEastAsia" w:eastAsiaTheme="minorEastAsia" w:cstheme="minorEastAsia"/>
          <w:color w:val="auto"/>
          <w:szCs w:val="21"/>
        </w:rPr>
        <w:t xml:space="preserve">  地  址：</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邮政编码：</w:t>
      </w:r>
      <w:r>
        <w:rPr>
          <w:rFonts w:hint="eastAsia" w:asciiTheme="minorEastAsia" w:hAnsiTheme="minorEastAsia" w:eastAsiaTheme="minorEastAsia" w:cstheme="minorEastAsia"/>
          <w:color w:val="auto"/>
          <w:szCs w:val="21"/>
          <w:u w:val="single"/>
        </w:rPr>
        <w:t xml:space="preserve">      </w:t>
      </w:r>
      <w:r>
        <w:rPr>
          <w:rFonts w:hint="eastAsia" w:asciiTheme="minorEastAsia" w:hAnsiTheme="minorEastAsia" w:eastAsiaTheme="minorEastAsia" w:cstheme="minorEastAsia"/>
          <w:color w:val="auto"/>
          <w:szCs w:val="21"/>
        </w:rPr>
        <w:t xml:space="preserve">  邮政编码：</w:t>
      </w:r>
      <w:r>
        <w:rPr>
          <w:rFonts w:hint="eastAsia" w:asciiTheme="minorEastAsia" w:hAnsiTheme="minorEastAsia" w:eastAsiaTheme="minorEastAsia" w:cstheme="minorEastAsia"/>
          <w:color w:val="auto"/>
          <w:szCs w:val="21"/>
          <w:u w:val="single"/>
        </w:rPr>
        <w:t xml:space="preserve">                 </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法定代表人：</w:t>
      </w:r>
      <w:r>
        <w:rPr>
          <w:rFonts w:hint="eastAsia" w:asciiTheme="minorEastAsia" w:hAnsiTheme="minorEastAsia" w:eastAsiaTheme="minorEastAsia" w:cstheme="minorEastAsia"/>
          <w:color w:val="auto"/>
          <w:szCs w:val="21"/>
          <w:u w:val="single"/>
        </w:rPr>
        <w:t xml:space="preserve">           </w:t>
      </w:r>
      <w:r>
        <w:rPr>
          <w:rFonts w:hint="eastAsia" w:asciiTheme="minorEastAsia" w:hAnsiTheme="minorEastAsia" w:eastAsiaTheme="minorEastAsia" w:cstheme="minorEastAsia"/>
          <w:color w:val="auto"/>
          <w:szCs w:val="21"/>
        </w:rPr>
        <w:t xml:space="preserve">  法定代表人：</w:t>
      </w:r>
      <w:r>
        <w:rPr>
          <w:rFonts w:hint="eastAsia" w:asciiTheme="minorEastAsia" w:hAnsiTheme="minorEastAsia" w:eastAsiaTheme="minorEastAsia" w:cstheme="minorEastAsia"/>
          <w:color w:val="auto"/>
          <w:szCs w:val="21"/>
          <w:u w:val="single"/>
        </w:rPr>
        <w:t xml:space="preserve">               </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委托代理人：</w:t>
      </w:r>
      <w:r>
        <w:rPr>
          <w:rFonts w:hint="eastAsia" w:asciiTheme="minorEastAsia" w:hAnsiTheme="minorEastAsia" w:eastAsiaTheme="minorEastAsia" w:cstheme="minorEastAsia"/>
          <w:color w:val="auto"/>
          <w:szCs w:val="21"/>
          <w:u w:val="single"/>
        </w:rPr>
        <w:t xml:space="preserve">           </w:t>
      </w:r>
      <w:r>
        <w:rPr>
          <w:rFonts w:hint="eastAsia" w:asciiTheme="minorEastAsia" w:hAnsiTheme="minorEastAsia" w:eastAsiaTheme="minorEastAsia" w:cstheme="minorEastAsia"/>
          <w:color w:val="auto"/>
          <w:szCs w:val="21"/>
        </w:rPr>
        <w:t xml:space="preserve">  委托代理人：</w:t>
      </w:r>
      <w:r>
        <w:rPr>
          <w:rFonts w:hint="eastAsia" w:asciiTheme="minorEastAsia" w:hAnsiTheme="minorEastAsia" w:eastAsiaTheme="minorEastAsia" w:cstheme="minorEastAsia"/>
          <w:color w:val="auto"/>
          <w:szCs w:val="21"/>
          <w:u w:val="single"/>
        </w:rPr>
        <w:t xml:space="preserve">             </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电  话：</w:t>
      </w:r>
      <w:r>
        <w:rPr>
          <w:rFonts w:hint="eastAsia" w:asciiTheme="minorEastAsia" w:hAnsiTheme="minorEastAsia" w:eastAsiaTheme="minorEastAsia" w:cstheme="minorEastAsia"/>
          <w:color w:val="auto"/>
          <w:szCs w:val="21"/>
          <w:u w:val="single"/>
        </w:rPr>
        <w:t xml:space="preserve">   </w:t>
      </w:r>
      <w:r>
        <w:rPr>
          <w:rFonts w:hint="eastAsia" w:asciiTheme="minorEastAsia" w:hAnsiTheme="minorEastAsia" w:eastAsiaTheme="minorEastAsia" w:cstheme="minorEastAsia"/>
          <w:color w:val="auto"/>
          <w:szCs w:val="21"/>
        </w:rPr>
        <w:t xml:space="preserve">  电  话：</w:t>
      </w:r>
      <w:r>
        <w:rPr>
          <w:rFonts w:hint="eastAsia" w:asciiTheme="minorEastAsia" w:hAnsiTheme="minorEastAsia" w:eastAsiaTheme="minorEastAsia" w:cstheme="minorEastAsia"/>
          <w:color w:val="auto"/>
          <w:szCs w:val="21"/>
          <w:u w:val="single"/>
        </w:rPr>
        <w:t xml:space="preserve">                   </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传  真：</w:t>
      </w:r>
      <w:r>
        <w:rPr>
          <w:rFonts w:hint="eastAsia" w:asciiTheme="minorEastAsia" w:hAnsiTheme="minorEastAsia" w:eastAsiaTheme="minorEastAsia" w:cstheme="minorEastAsia"/>
          <w:color w:val="auto"/>
          <w:szCs w:val="21"/>
          <w:u w:val="single"/>
        </w:rPr>
        <w:t xml:space="preserve">   </w:t>
      </w:r>
      <w:r>
        <w:rPr>
          <w:rFonts w:hint="eastAsia" w:asciiTheme="minorEastAsia" w:hAnsiTheme="minorEastAsia" w:eastAsiaTheme="minorEastAsia" w:cstheme="minorEastAsia"/>
          <w:color w:val="auto"/>
          <w:szCs w:val="21"/>
        </w:rPr>
        <w:t xml:space="preserve">  传  真：</w:t>
      </w:r>
      <w:r>
        <w:rPr>
          <w:rFonts w:hint="eastAsia" w:asciiTheme="minorEastAsia" w:hAnsiTheme="minorEastAsia" w:eastAsiaTheme="minorEastAsia" w:cstheme="minorEastAsia"/>
          <w:color w:val="auto"/>
          <w:szCs w:val="21"/>
          <w:u w:val="single"/>
        </w:rPr>
        <w:t>               </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电子信箱：  电子信箱：</w:t>
      </w:r>
      <w:r>
        <w:rPr>
          <w:rFonts w:hint="eastAsia" w:asciiTheme="minorEastAsia" w:hAnsiTheme="minorEastAsia" w:eastAsiaTheme="minorEastAsia" w:cstheme="minorEastAsia"/>
          <w:color w:val="auto"/>
          <w:szCs w:val="21"/>
          <w:u w:val="single"/>
        </w:rPr>
        <w:t xml:space="preserve">   </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开户银行：</w:t>
      </w:r>
      <w:r>
        <w:rPr>
          <w:rFonts w:hint="eastAsia" w:asciiTheme="minorEastAsia" w:hAnsiTheme="minorEastAsia" w:eastAsiaTheme="minorEastAsia" w:cstheme="minorEastAsia"/>
          <w:color w:val="auto"/>
          <w:szCs w:val="21"/>
          <w:u w:val="single"/>
        </w:rPr>
        <w:t xml:space="preserve">   </w:t>
      </w:r>
      <w:r>
        <w:rPr>
          <w:rFonts w:hint="eastAsia" w:asciiTheme="minorEastAsia" w:hAnsiTheme="minorEastAsia" w:eastAsiaTheme="minorEastAsia" w:cstheme="minorEastAsia"/>
          <w:color w:val="auto"/>
          <w:szCs w:val="21"/>
        </w:rPr>
        <w:t xml:space="preserve">  开户银行：</w:t>
      </w:r>
      <w:r>
        <w:rPr>
          <w:rFonts w:hint="eastAsia" w:asciiTheme="minorEastAsia" w:hAnsiTheme="minorEastAsia" w:eastAsiaTheme="minorEastAsia" w:cstheme="minorEastAsia"/>
          <w:color w:val="auto"/>
          <w:szCs w:val="21"/>
          <w:u w:val="single"/>
        </w:rPr>
        <w:t xml:space="preserve">   </w:t>
      </w:r>
    </w:p>
    <w:p>
      <w:pPr>
        <w:spacing w:line="360" w:lineRule="auto"/>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账  号：</w:t>
      </w:r>
      <w:r>
        <w:rPr>
          <w:rFonts w:hint="eastAsia" w:asciiTheme="minorEastAsia" w:hAnsiTheme="minorEastAsia" w:eastAsiaTheme="minorEastAsia" w:cstheme="minorEastAsia"/>
          <w:color w:val="auto"/>
          <w:szCs w:val="21"/>
          <w:u w:val="single"/>
        </w:rPr>
        <w:t xml:space="preserve">       </w:t>
      </w:r>
      <w:r>
        <w:rPr>
          <w:rFonts w:hint="eastAsia" w:asciiTheme="minorEastAsia" w:hAnsiTheme="minorEastAsia" w:eastAsiaTheme="minorEastAsia" w:cstheme="minorEastAsia"/>
          <w:color w:val="auto"/>
          <w:szCs w:val="21"/>
        </w:rPr>
        <w:t xml:space="preserve">   账  号：</w:t>
      </w:r>
      <w:r>
        <w:rPr>
          <w:rFonts w:hint="eastAsia" w:asciiTheme="minorEastAsia" w:hAnsiTheme="minorEastAsia" w:eastAsiaTheme="minorEastAsia" w:cstheme="minorEastAsia"/>
          <w:color w:val="auto"/>
          <w:szCs w:val="21"/>
          <w:u w:val="single"/>
        </w:rPr>
        <w:t xml:space="preserve">     </w:t>
      </w:r>
    </w:p>
    <w:p>
      <w:pPr>
        <w:pStyle w:val="11"/>
        <w:spacing w:line="360" w:lineRule="auto"/>
        <w:ind w:firstLine="420" w:firstLineChars="200"/>
        <w:jc w:val="center"/>
        <w:rPr>
          <w:rFonts w:asciiTheme="minorEastAsia" w:hAnsiTheme="minorEastAsia" w:eastAsiaTheme="minorEastAsia" w:cstheme="minorEastAsia"/>
          <w:b/>
          <w:bCs/>
          <w:color w:val="auto"/>
          <w:szCs w:val="21"/>
        </w:rPr>
      </w:pPr>
      <w:r>
        <w:rPr>
          <w:rFonts w:hint="eastAsia" w:asciiTheme="minorEastAsia" w:hAnsiTheme="minorEastAsia" w:eastAsiaTheme="minorEastAsia" w:cstheme="minorEastAsia"/>
          <w:color w:val="auto"/>
          <w:szCs w:val="21"/>
        </w:rPr>
        <w:br w:type="page"/>
      </w:r>
      <w:bookmarkStart w:id="446" w:name="_Toc308043109"/>
      <w:bookmarkStart w:id="447" w:name="_Toc308043457"/>
      <w:bookmarkStart w:id="448" w:name="_Toc24442"/>
      <w:r>
        <w:rPr>
          <w:rFonts w:hint="eastAsia" w:asciiTheme="minorEastAsia" w:hAnsiTheme="minorEastAsia" w:eastAsiaTheme="minorEastAsia" w:cstheme="minorEastAsia"/>
          <w:b/>
          <w:bCs/>
          <w:color w:val="auto"/>
          <w:szCs w:val="21"/>
        </w:rPr>
        <w:t>第一节 通用合同条款</w:t>
      </w:r>
      <w:bookmarkEnd w:id="446"/>
      <w:bookmarkEnd w:id="447"/>
      <w:bookmarkEnd w:id="448"/>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通用合同条款依据《建设工程施工合同（示范文本）》（GF—2017—0201）的规定执行</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专用合同条款</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 xml:space="preserve">（参照《建设工程施工合同（示范文本）》（GF—2017—0201）  </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 xml:space="preserve"> 专用条款由发包人和承包人在签订协议书时，按照招标文件、《建筑工程施工合同》范本等拟定。</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其中：</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 发包内容</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2 发包范围</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本工程的发包范围为招标文件规定和工程量清单所明确的全部内容。</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3、构成合同的几个文件将被认为是互相说明的，但在出现含糊和异议时，则应由业主对此做出解释和校正，业主应就此向所有投标人发出有关指示。在此情况下，除合同另有规定外，构成合同文件的先后次序如下：</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a. 设计变更文件</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b. 合同协议书</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c. 合同条款</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e. 中标通知书</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f. 招标文件</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g. 投标文件</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h. 构成合同部分的其他任何文件</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4 补充图纸和通知</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为使工程合理而正确地施工和竣工，以及修补其中的任何缺陷，业主应有权不断向承包商发出此类补充图纸或通知。承包商应执行并受约束。</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5 施工图纸和文件的提供</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图纸由业主保管，但应免费提供承包商三套图纸。承包商需要更多复制件时，其费用自行承担。在任何情况下，承包商不得将业主提供的图纸和其他文件转送给第三方。竣工后，承包商向业主报送五套竣工资料（含竣工图纸）。编制竣工资料的费用由承包商承担。</w:t>
      </w:r>
    </w:p>
    <w:p>
      <w:pPr>
        <w:pStyle w:val="11"/>
        <w:spacing w:line="360" w:lineRule="auto"/>
        <w:ind w:firstLine="420" w:firstLineChars="200"/>
        <w:rPr>
          <w:rFonts w:asciiTheme="minorEastAsia" w:hAnsiTheme="minorEastAsia" w:eastAsiaTheme="minorEastAsia" w:cstheme="minorEastAsia"/>
          <w:color w:val="auto"/>
          <w:szCs w:val="21"/>
        </w:rPr>
      </w:pPr>
      <w:bookmarkStart w:id="449" w:name="_Toc201656749"/>
      <w:r>
        <w:rPr>
          <w:rFonts w:hint="eastAsia" w:asciiTheme="minorEastAsia" w:hAnsiTheme="minorEastAsia" w:eastAsiaTheme="minorEastAsia" w:cstheme="minorEastAsia"/>
          <w:color w:val="auto"/>
          <w:szCs w:val="21"/>
        </w:rPr>
        <w:t>6 一般义务</w:t>
      </w:r>
      <w:bookmarkEnd w:id="449"/>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6.1 业主提供的设施与服务</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6.1.1 业主负责项目建设的许可手续办理。</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6.1.2业主负责协助办理施工临时水源、临时电源和高低压线路架设及施工便道的批准手续，其全部费用应包含在报价内。施工用水、用电的水费和电费，由承包商依实向供水、供电部门缴纳。施工用水、用电的水费和电费应包含在相应工程量清单的报价内。</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7承包商的一般义务</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7.1.1  承包商应按合同的各项规定，以应有的精心和努力对工程进行施工和竣工，并修补其任何缺陷，达到合同约定的质量等级。如达不到合同约定的质量等级，业主将部分或全部扣罚履约保证金（如合同中另有规定，按合同执行）。达到质量等级不另行奖励。</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7.1.2 承包商应对所有现场作业和施工方法的完备、稳定和安全负全部责任。非业主原因造成的任何财产损失、任何人员伤亡，均由承包商承担全部责任。</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7.1.3 承包商应充分考虑因多专业、多单位同时交叉施工所造成的配合施工问题，此费用应包括在投标总价内。</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7.1.4 中标人应在接到中标通知书起20天内办结安全备案手续，并按豫建建[2006]20号文件要求，交付建筑意外伤害保险；按规定办理2%的农民工工资保障金承诺事项。相关费用由承包商承担。否则，取消其中标资格。</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8</w:t>
      </w:r>
      <w:bookmarkStart w:id="450" w:name="_Toc201656716"/>
      <w:r>
        <w:rPr>
          <w:rFonts w:hint="eastAsia" w:asciiTheme="minorEastAsia" w:hAnsiTheme="minorEastAsia" w:eastAsiaTheme="minorEastAsia" w:cstheme="minorEastAsia"/>
          <w:color w:val="auto"/>
          <w:szCs w:val="21"/>
        </w:rPr>
        <w:t xml:space="preserve"> 工程款支付和结算方式</w:t>
      </w:r>
      <w:bookmarkEnd w:id="450"/>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 xml:space="preserve">8.1 付款办法：最终付款方式以甲乙双方协商一致的合同为准。  </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8.2 工程竣工验收合格后进行工程结算。工程结算由承包商负责编制并报送业主初审，业主在收到工程决算，完成初审后报县审计、财政部门审定，最终以县审计、财政部门审定结果作为双方结算结果。</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8.3 结算方式：固定综合单价，工程量按定额计算规则据实结算。</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9 投标书的完备性</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应当认为投标人对自己投标书投标的各项费用、各项优惠条件承诺的正确性与完备性是满意的，除非合同中另有规定，所有这些应包括了投标人根据合同应承担的全部义务，以及该工程的正确实施、竣工和修补其任何缺陷所必须的全部有关事宜。</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10 现场安全和环境及文物保护</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10.1 承包商应高度重视现场人员的安全,并保持现场和工程施工井然有序,杜绝人身伤亡发生。</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10.2 承包商应采取一切合理的步骤，以保护现场及其附近的环境，并避免由其施工方法引起的污染、噪音或其他后果对公众造成人身或财物方面的伤害或妨碍。</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10.3 承包商应为进入现场的其他承包商的施工机械、材料设备运输、堆放及施工人员的通行提供方便条件，搞好相互协作。</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10.4 在工程现场发掘的所有化石、钱币、有价值的物品或文物、古墓 、建筑遗址以及有地质或考古价值的其它遗物等均为国家财产。承包商应采取合理化的预防措施，防止任何人移动或损坏上述物品。并且一旦发现此类物品，移动前首先派人进行保护和看管，并立即通知监理工程师和业主报有关部门进行处理，否则，造成的任何损失和因此引起的法律责任由承包商自己负责。</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11 交通运输和毗邻单位的干扰</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11.1 承包商应采取措施防止与工程有关的任何运输行为对连接或通往施工现场的道路、桥涵、道口等造成破坏和损伤，若对原有的道路、桥涵等设施造成损坏的有承包商负责修复，并承担全部费用。</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11.2 承包商对使用的供水、供电等设施应进行保护，以免损坏或被盗。非业主行为造成的设备损坏、被盗，均由承包商承担维护、加固或赔偿等一切费用。</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11.3 业主不承担由于承包商的过失而引起的与工程有关的一切索赔、诉讼、损坏赔偿等所有责任和费用。</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12 工程照管</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 xml:space="preserve">   从工程开工日期起直到办理整个工程的移交手续的日期止，承包商应对自己承担的工程、材料以及待安装的配件、构件和设备、供水供电设施以及业主设在施工现场的有关设施等的照管负完全责任，照管费用由承包商承担。</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13 竣工时的现场清理</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13.1  在工程施工期间，承包商应合理地保持现场不出现不必要的障碍物，存放并处置好承包商的任何设备和多余的材料并及时从现场清除运走任何废料、垃圾。</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13.2  工程竣工至移交时，承包商应清除并运走承包商的全部设备及多余材料、垃圾，保持工程的清洁整齐，达到业主满意的状态。</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14 工程的开工</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承包商在接到监理工程师开工通知后，应按照规定的日期迅速地开展本工程的施工。</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15 总施工进度计划</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15.1 承包商应接到主要施工图纸后3天内，向业主及监理工程师提交四份完整详细的施工组织设计和施工网络进度计划。该施工进度计划应详细说明本工程的不同分部、分项，应提出各施工活动之间的次序和相互关系，该项工作完成的工序以及某一施工活动的开始其他施工活动的完成。施工计划进度的批准将是工程各工序开工和以后支付的先决条件。</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15.2 根据工程的实际进展，如预期的工程进度需要修改或调整时，承包商应及时向业主提交修正的施工进度计划。修正进度计划并不意味着批准延长工期。</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15.3 该工程需要多个承包商同时交叉施工，各承包商的分部、分项及单位工程施工进度应服从监理工程师和业主的统一安排和协调。</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16 施工方法</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承包商应提交给业主及监理工程师四份施工方案。承包商应更详细地阐述他曾在投标文件中说明的施工方法。所阐明的施工方法应说明承包商的施工组织、设备使用、各工序操作方法、质量控制、安全措施、检验方法等。该施工方法应得到监理工程师的批准，承包商对该方法的合理、可行性负责。</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17 进度报告</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17.1 在每月承包商应按批准的格式向投资方和业主及监理工程师各提供一份月进度报告副本，应至少包括下列内容。</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a. 关于施工进度情况、施工设备的进场、安装及运行情况</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b. 主要材料和采购情况，材料的相应品级是否符合设计及业主要求，以及复试情况。</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c. 相对于原计划的工程实际进度情况</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d. 对施工进度产生不利影响的因素，承包商为减轻这种影响并重新达到预期进度所采取的措施。</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e. 工程款支付情况，及完成工作量情况。</w:t>
      </w:r>
    </w:p>
    <w:p>
      <w:pPr>
        <w:pStyle w:val="11"/>
        <w:spacing w:line="360" w:lineRule="auto"/>
        <w:ind w:firstLine="420" w:firstLineChars="200"/>
        <w:rPr>
          <w:rFonts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17.2进度报告应提供至少四张数码格式的施工照片，以显示工程的主要特征和整个进度。</w:t>
      </w:r>
    </w:p>
    <w:p>
      <w:pPr>
        <w:pStyle w:val="5"/>
        <w:ind w:firstLine="420"/>
        <w:jc w:val="both"/>
        <w:rPr>
          <w:rFonts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合同（样本）仅供参考,合同中相关细节内容及最终格式，以招标人（最终用户）认定的格式为准。</w:t>
      </w:r>
    </w:p>
    <w:p>
      <w:pPr>
        <w:pStyle w:val="4"/>
        <w:rPr>
          <w:color w:val="auto"/>
        </w:rPr>
      </w:pPr>
    </w:p>
    <w:p>
      <w:pPr>
        <w:widowControl/>
        <w:textAlignment w:val="baseline"/>
        <w:rPr>
          <w:rStyle w:val="44"/>
          <w:rFonts w:ascii="宋体"/>
          <w:b/>
          <w:color w:val="auto"/>
          <w:kern w:val="0"/>
          <w:sz w:val="32"/>
          <w:szCs w:val="32"/>
        </w:rPr>
      </w:pPr>
      <w:bookmarkStart w:id="451" w:name="_Toc152045772"/>
      <w:bookmarkStart w:id="452" w:name="_Toc144974834"/>
      <w:bookmarkStart w:id="453" w:name="_Toc179632789"/>
      <w:bookmarkStart w:id="454" w:name="_Toc19710"/>
      <w:bookmarkStart w:id="455" w:name="_Toc247085855"/>
      <w:bookmarkStart w:id="456" w:name="_Toc152042554"/>
      <w:bookmarkStart w:id="457" w:name="_Toc246997083"/>
      <w:bookmarkStart w:id="458" w:name="_Toc246996340"/>
    </w:p>
    <w:p>
      <w:pPr>
        <w:pStyle w:val="5"/>
        <w:rPr>
          <w:rFonts w:ascii="宋体" w:cs="宋体"/>
          <w:color w:val="auto"/>
        </w:rPr>
      </w:pPr>
      <w:r>
        <w:rPr>
          <w:rFonts w:hint="eastAsia" w:ascii="宋体" w:cs="宋体"/>
          <w:b w:val="0"/>
          <w:color w:val="auto"/>
          <w:sz w:val="21"/>
          <w:szCs w:val="21"/>
        </w:rPr>
        <w:br w:type="page"/>
      </w:r>
      <w:bookmarkEnd w:id="451"/>
      <w:bookmarkEnd w:id="452"/>
      <w:bookmarkEnd w:id="453"/>
      <w:bookmarkEnd w:id="454"/>
      <w:bookmarkEnd w:id="455"/>
      <w:bookmarkEnd w:id="456"/>
      <w:bookmarkEnd w:id="457"/>
      <w:bookmarkEnd w:id="458"/>
      <w:bookmarkStart w:id="459" w:name="_Toc144974851"/>
      <w:bookmarkStart w:id="460" w:name="_Toc152045782"/>
      <w:bookmarkStart w:id="461" w:name="_Toc1360"/>
      <w:bookmarkStart w:id="462" w:name="_Toc16645"/>
      <w:bookmarkStart w:id="463" w:name="_Toc247096438"/>
      <w:bookmarkStart w:id="464" w:name="_Toc152042571"/>
      <w:bookmarkStart w:id="465" w:name="_Toc247085866"/>
      <w:bookmarkStart w:id="466" w:name="_Toc16499"/>
      <w:bookmarkStart w:id="467" w:name="_Toc246996350"/>
      <w:bookmarkStart w:id="468" w:name="_Toc246997093"/>
      <w:bookmarkStart w:id="469" w:name="_Toc179632800"/>
      <w:bookmarkStart w:id="470" w:name="_Toc10490"/>
      <w:r>
        <w:rPr>
          <w:rFonts w:hint="eastAsia" w:ascii="宋体" w:cs="宋体"/>
          <w:color w:val="auto"/>
        </w:rPr>
        <w:t>第五章  图  纸</w:t>
      </w:r>
      <w:bookmarkEnd w:id="459"/>
      <w:bookmarkEnd w:id="460"/>
      <w:bookmarkEnd w:id="461"/>
      <w:bookmarkEnd w:id="462"/>
      <w:bookmarkEnd w:id="463"/>
      <w:bookmarkEnd w:id="464"/>
      <w:bookmarkEnd w:id="465"/>
      <w:bookmarkEnd w:id="466"/>
      <w:bookmarkEnd w:id="467"/>
      <w:bookmarkEnd w:id="468"/>
      <w:bookmarkEnd w:id="469"/>
      <w:bookmarkEnd w:id="470"/>
    </w:p>
    <w:p>
      <w:pPr>
        <w:jc w:val="center"/>
        <w:rPr>
          <w:rFonts w:ascii="宋体" w:cs="宋体"/>
          <w:color w:val="auto"/>
          <w:sz w:val="28"/>
          <w:szCs w:val="28"/>
        </w:rPr>
      </w:pPr>
      <w:bookmarkStart w:id="471" w:name="_Toc167"/>
      <w:r>
        <w:rPr>
          <w:rFonts w:hint="eastAsia" w:ascii="宋体" w:cs="宋体"/>
          <w:color w:val="auto"/>
          <w:sz w:val="28"/>
          <w:szCs w:val="28"/>
        </w:rPr>
        <w:t>（</w:t>
      </w:r>
      <w:r>
        <w:rPr>
          <w:rFonts w:hint="eastAsia" w:ascii="宋体" w:cs="宋体"/>
          <w:color w:val="auto"/>
          <w:sz w:val="28"/>
          <w:szCs w:val="28"/>
          <w:lang w:eastAsia="zh-CN"/>
        </w:rPr>
        <w:t>本项目清单为电子版，请投标单位登录洛阳市公共资源交易网-洛阳市电子招投标交易平台入口在线下载。</w:t>
      </w:r>
      <w:r>
        <w:rPr>
          <w:rFonts w:hint="eastAsia" w:ascii="宋体" w:cs="宋体"/>
          <w:color w:val="auto"/>
          <w:sz w:val="28"/>
          <w:szCs w:val="28"/>
        </w:rPr>
        <w:t>）</w:t>
      </w:r>
      <w:bookmarkEnd w:id="471"/>
    </w:p>
    <w:p>
      <w:pPr>
        <w:topLinePunct/>
        <w:spacing w:line="440" w:lineRule="exact"/>
        <w:rPr>
          <w:rFonts w:ascii="宋体" w:cs="宋体"/>
          <w:color w:val="auto"/>
        </w:rPr>
      </w:pPr>
      <w:bookmarkStart w:id="472" w:name="_Toc144974854"/>
      <w:bookmarkStart w:id="473" w:name="_Toc152042574"/>
      <w:bookmarkStart w:id="474" w:name="_Toc152045785"/>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3"/>
        <w:rPr>
          <w:rFonts w:ascii="宋体" w:cs="宋体"/>
          <w:color w:val="auto"/>
        </w:rPr>
      </w:pPr>
    </w:p>
    <w:p>
      <w:pPr>
        <w:pStyle w:val="5"/>
        <w:rPr>
          <w:rFonts w:ascii="宋体" w:cs="宋体"/>
          <w:color w:val="auto"/>
        </w:rPr>
      </w:pPr>
      <w:bookmarkStart w:id="475" w:name="_Toc246997096"/>
      <w:bookmarkStart w:id="476" w:name="_Toc246996353"/>
      <w:bookmarkStart w:id="477" w:name="_Toc179632804"/>
      <w:bookmarkStart w:id="478" w:name="_Toc247085870"/>
    </w:p>
    <w:p>
      <w:pPr>
        <w:rPr>
          <w:rFonts w:ascii="宋体" w:cs="宋体"/>
          <w:color w:val="auto"/>
        </w:rPr>
      </w:pPr>
    </w:p>
    <w:p>
      <w:pPr>
        <w:pStyle w:val="5"/>
        <w:rPr>
          <w:rFonts w:ascii="宋体" w:cs="宋体"/>
          <w:color w:val="auto"/>
        </w:rPr>
      </w:pPr>
      <w:bookmarkStart w:id="479" w:name="_Toc20865"/>
      <w:r>
        <w:rPr>
          <w:rFonts w:hint="eastAsia" w:ascii="宋体" w:cs="宋体"/>
          <w:color w:val="auto"/>
        </w:rPr>
        <w:br w:type="page"/>
      </w:r>
      <w:bookmarkStart w:id="480" w:name="_Toc16064"/>
      <w:bookmarkStart w:id="481" w:name="_Toc8963"/>
      <w:bookmarkStart w:id="482" w:name="_Toc16277"/>
      <w:r>
        <w:rPr>
          <w:rFonts w:hint="eastAsia" w:ascii="宋体" w:cs="宋体"/>
          <w:color w:val="auto"/>
        </w:rPr>
        <w:t>第六章 工程量清单</w:t>
      </w:r>
      <w:bookmarkEnd w:id="480"/>
    </w:p>
    <w:p>
      <w:pPr>
        <w:jc w:val="center"/>
        <w:rPr>
          <w:rFonts w:ascii="宋体" w:cs="宋体"/>
          <w:color w:val="auto"/>
          <w:sz w:val="28"/>
          <w:szCs w:val="28"/>
        </w:rPr>
      </w:pPr>
      <w:r>
        <w:rPr>
          <w:rFonts w:hint="eastAsia" w:ascii="宋体" w:cs="宋体"/>
          <w:color w:val="auto"/>
          <w:sz w:val="28"/>
          <w:szCs w:val="28"/>
        </w:rPr>
        <w:t>（</w:t>
      </w:r>
      <w:r>
        <w:rPr>
          <w:rFonts w:hint="eastAsia" w:ascii="宋体" w:cs="宋体"/>
          <w:color w:val="auto"/>
          <w:sz w:val="28"/>
          <w:szCs w:val="28"/>
          <w:lang w:eastAsia="zh-CN"/>
        </w:rPr>
        <w:t>本项目图纸为电子版，投标单位登录洛阳市公共资源交易网-洛阳市电子招投标交易平台入口在线下载电子版图纸。。</w:t>
      </w:r>
      <w:r>
        <w:rPr>
          <w:rFonts w:hint="eastAsia" w:ascii="宋体" w:cs="宋体"/>
          <w:color w:val="auto"/>
          <w:sz w:val="28"/>
          <w:szCs w:val="28"/>
        </w:rPr>
        <w:t>）</w:t>
      </w:r>
    </w:p>
    <w:p>
      <w:pPr>
        <w:pStyle w:val="5"/>
        <w:ind w:left="1260" w:firstLine="420"/>
        <w:rPr>
          <w:rFonts w:ascii="宋体" w:cs="宋体"/>
          <w:color w:val="auto"/>
        </w:rPr>
      </w:pPr>
    </w:p>
    <w:p>
      <w:pPr>
        <w:pStyle w:val="5"/>
        <w:ind w:left="1260" w:firstLine="420"/>
        <w:rPr>
          <w:rFonts w:ascii="宋体" w:cs="宋体"/>
          <w:color w:val="auto"/>
        </w:rPr>
      </w:pPr>
    </w:p>
    <w:p>
      <w:pPr>
        <w:pStyle w:val="5"/>
        <w:ind w:left="1260" w:firstLine="420"/>
        <w:rPr>
          <w:rFonts w:ascii="宋体" w:cs="宋体"/>
          <w:color w:val="auto"/>
        </w:rPr>
      </w:pPr>
    </w:p>
    <w:p>
      <w:pPr>
        <w:pStyle w:val="5"/>
        <w:ind w:left="1260" w:firstLine="420"/>
        <w:rPr>
          <w:rFonts w:ascii="宋体" w:cs="宋体"/>
          <w:color w:val="auto"/>
        </w:rPr>
      </w:pPr>
    </w:p>
    <w:p>
      <w:pPr>
        <w:pStyle w:val="5"/>
        <w:ind w:left="1260" w:firstLine="420"/>
        <w:rPr>
          <w:rFonts w:ascii="宋体" w:cs="宋体"/>
          <w:color w:val="auto"/>
        </w:rPr>
      </w:pPr>
    </w:p>
    <w:p>
      <w:pPr>
        <w:pStyle w:val="5"/>
        <w:ind w:left="1260" w:firstLine="420"/>
        <w:rPr>
          <w:rFonts w:ascii="宋体" w:cs="宋体"/>
          <w:color w:val="auto"/>
        </w:rPr>
      </w:pPr>
    </w:p>
    <w:p>
      <w:pPr>
        <w:pStyle w:val="5"/>
        <w:ind w:left="1260" w:firstLine="420"/>
        <w:rPr>
          <w:rFonts w:ascii="宋体" w:cs="宋体"/>
          <w:color w:val="auto"/>
        </w:rPr>
      </w:pPr>
    </w:p>
    <w:p>
      <w:pPr>
        <w:pStyle w:val="5"/>
        <w:ind w:left="1260" w:firstLine="420"/>
        <w:rPr>
          <w:rFonts w:ascii="宋体" w:cs="宋体"/>
          <w:color w:val="auto"/>
        </w:rPr>
      </w:pPr>
    </w:p>
    <w:p>
      <w:pPr>
        <w:pStyle w:val="5"/>
        <w:ind w:left="1260" w:firstLine="420"/>
        <w:rPr>
          <w:rFonts w:ascii="宋体" w:cs="宋体"/>
          <w:color w:val="auto"/>
        </w:rPr>
      </w:pPr>
    </w:p>
    <w:p>
      <w:pPr>
        <w:pStyle w:val="5"/>
        <w:ind w:left="1260" w:firstLine="420"/>
        <w:rPr>
          <w:rFonts w:ascii="宋体" w:cs="宋体"/>
          <w:color w:val="auto"/>
        </w:rPr>
      </w:pPr>
    </w:p>
    <w:p>
      <w:pPr>
        <w:pStyle w:val="5"/>
        <w:rPr>
          <w:rFonts w:ascii="宋体" w:cs="宋体"/>
          <w:color w:val="auto"/>
        </w:rPr>
      </w:pPr>
    </w:p>
    <w:p>
      <w:pPr>
        <w:pStyle w:val="5"/>
        <w:ind w:left="1260" w:firstLine="1446" w:firstLineChars="400"/>
        <w:jc w:val="both"/>
        <w:rPr>
          <w:rFonts w:ascii="宋体" w:cs="宋体"/>
          <w:color w:val="auto"/>
        </w:rPr>
      </w:pPr>
      <w:r>
        <w:rPr>
          <w:rFonts w:hint="eastAsia" w:ascii="宋体" w:cs="宋体"/>
          <w:color w:val="auto"/>
        </w:rPr>
        <w:br w:type="page"/>
      </w:r>
      <w:bookmarkStart w:id="483" w:name="_Toc25438"/>
      <w:r>
        <w:rPr>
          <w:rFonts w:hint="eastAsia" w:ascii="宋体" w:cs="宋体"/>
          <w:color w:val="auto"/>
        </w:rPr>
        <w:t>第七章 技术标准和要求</w:t>
      </w:r>
      <w:bookmarkEnd w:id="472"/>
      <w:bookmarkEnd w:id="473"/>
      <w:bookmarkEnd w:id="474"/>
      <w:bookmarkEnd w:id="475"/>
      <w:bookmarkEnd w:id="476"/>
      <w:bookmarkEnd w:id="477"/>
      <w:bookmarkEnd w:id="478"/>
      <w:bookmarkEnd w:id="479"/>
      <w:bookmarkEnd w:id="481"/>
      <w:bookmarkEnd w:id="482"/>
      <w:bookmarkEnd w:id="483"/>
    </w:p>
    <w:p>
      <w:pPr>
        <w:rPr>
          <w:rFonts w:ascii="宋体" w:cs="宋体"/>
          <w:color w:val="auto"/>
        </w:rPr>
      </w:pPr>
    </w:p>
    <w:p>
      <w:pPr>
        <w:spacing w:line="360" w:lineRule="auto"/>
        <w:ind w:firstLine="422" w:firstLineChars="200"/>
        <w:rPr>
          <w:rFonts w:ascii="宋体" w:cs="宋体"/>
          <w:b/>
          <w:bCs/>
          <w:color w:val="auto"/>
          <w:szCs w:val="21"/>
        </w:rPr>
      </w:pPr>
      <w:r>
        <w:rPr>
          <w:rFonts w:hint="eastAsia" w:ascii="宋体" w:cs="宋体"/>
          <w:b/>
          <w:bCs/>
          <w:color w:val="auto"/>
          <w:szCs w:val="21"/>
        </w:rPr>
        <w:t>1. 适用的规范、标准和规程</w:t>
      </w:r>
    </w:p>
    <w:p>
      <w:pPr>
        <w:spacing w:line="360" w:lineRule="auto"/>
        <w:ind w:firstLine="420" w:firstLineChars="200"/>
        <w:rPr>
          <w:rFonts w:ascii="宋体" w:cs="宋体"/>
          <w:color w:val="auto"/>
          <w:szCs w:val="21"/>
        </w:rPr>
      </w:pPr>
      <w:r>
        <w:rPr>
          <w:rFonts w:hint="eastAsia" w:ascii="宋体" w:cs="宋体"/>
          <w:color w:val="auto"/>
          <w:szCs w:val="21"/>
        </w:rPr>
        <w:t>1.1本工程适用现行国家、行业和地方规范、标准和规程。构成合同文件的任何内容与适用的规范、标准和规程之间出现矛盾，施工人应书面要求发包人予以澄清，除发包人有特别指示外，施工人应按照最严格的标准执行。</w:t>
      </w:r>
    </w:p>
    <w:p>
      <w:pPr>
        <w:spacing w:line="360" w:lineRule="auto"/>
        <w:ind w:firstLine="420" w:firstLineChars="200"/>
        <w:rPr>
          <w:rFonts w:ascii="宋体" w:cs="宋体"/>
          <w:color w:val="auto"/>
          <w:szCs w:val="21"/>
        </w:rPr>
      </w:pPr>
      <w:r>
        <w:rPr>
          <w:rFonts w:hint="eastAsia" w:ascii="宋体" w:cs="宋体"/>
          <w:color w:val="auto"/>
          <w:szCs w:val="21"/>
        </w:rPr>
        <w:t>1.2除合同另有约定外，材料、施工工艺和本工程都应依照本技术标准和要求以及适用的现行规范、标准和规程的最新版本执行。若适用的现行规范、标准和规程的最新版本是在基准日后颁布的，且相应标准发生变更并成为合同文件中最严格的标准。</w:t>
      </w:r>
    </w:p>
    <w:p>
      <w:pPr>
        <w:spacing w:line="360" w:lineRule="auto"/>
        <w:ind w:firstLine="422" w:firstLineChars="200"/>
        <w:rPr>
          <w:rFonts w:ascii="宋体" w:cs="宋体"/>
          <w:b/>
          <w:bCs/>
          <w:color w:val="auto"/>
          <w:szCs w:val="21"/>
        </w:rPr>
      </w:pPr>
      <w:bookmarkStart w:id="484" w:name="_Toc282615321"/>
      <w:bookmarkStart w:id="485" w:name="_Toc285539109"/>
      <w:bookmarkStart w:id="486" w:name="_Toc290577187"/>
      <w:bookmarkStart w:id="487" w:name="_Toc287621015"/>
      <w:r>
        <w:rPr>
          <w:rFonts w:hint="eastAsia" w:ascii="宋体" w:cs="宋体"/>
          <w:b/>
          <w:bCs/>
          <w:color w:val="auto"/>
          <w:szCs w:val="21"/>
        </w:rPr>
        <w:t>2. 施工、监理及验收规范</w:t>
      </w:r>
      <w:bookmarkEnd w:id="484"/>
      <w:bookmarkEnd w:id="485"/>
      <w:bookmarkEnd w:id="486"/>
      <w:bookmarkEnd w:id="487"/>
    </w:p>
    <w:p>
      <w:pPr>
        <w:spacing w:line="360" w:lineRule="auto"/>
        <w:ind w:firstLine="420" w:firstLineChars="200"/>
        <w:rPr>
          <w:rFonts w:ascii="宋体" w:cs="宋体"/>
          <w:color w:val="auto"/>
          <w:szCs w:val="21"/>
        </w:rPr>
      </w:pPr>
      <w:r>
        <w:rPr>
          <w:rFonts w:hint="eastAsia" w:ascii="宋体" w:cs="宋体"/>
          <w:color w:val="auto"/>
          <w:szCs w:val="21"/>
        </w:rPr>
        <w:t>本工程执行国家现行的与本工程有关的施工、监理及验收规范、标准图集、图纸设计等。</w:t>
      </w:r>
    </w:p>
    <w:p>
      <w:pPr>
        <w:spacing w:line="360" w:lineRule="auto"/>
        <w:ind w:firstLine="422" w:firstLineChars="200"/>
        <w:rPr>
          <w:rFonts w:ascii="宋体" w:cs="宋体"/>
          <w:b/>
          <w:bCs/>
          <w:color w:val="auto"/>
          <w:szCs w:val="21"/>
        </w:rPr>
      </w:pPr>
      <w:bookmarkStart w:id="488" w:name="_Toc285539110"/>
      <w:bookmarkStart w:id="489" w:name="_Toc282615322"/>
      <w:bookmarkStart w:id="490" w:name="_Toc287621016"/>
      <w:bookmarkStart w:id="491" w:name="_Toc290577188"/>
      <w:r>
        <w:rPr>
          <w:rFonts w:hint="eastAsia" w:ascii="宋体" w:cs="宋体"/>
          <w:b/>
          <w:bCs/>
          <w:color w:val="auto"/>
          <w:szCs w:val="21"/>
        </w:rPr>
        <w:t>3. 主要质量检验评定标准</w:t>
      </w:r>
      <w:bookmarkEnd w:id="488"/>
      <w:bookmarkEnd w:id="489"/>
      <w:bookmarkEnd w:id="490"/>
      <w:bookmarkEnd w:id="491"/>
    </w:p>
    <w:p>
      <w:pPr>
        <w:spacing w:line="360" w:lineRule="auto"/>
        <w:ind w:firstLine="420" w:firstLineChars="200"/>
        <w:rPr>
          <w:rFonts w:ascii="宋体" w:cs="宋体"/>
          <w:color w:val="auto"/>
          <w:szCs w:val="21"/>
        </w:rPr>
      </w:pPr>
      <w:r>
        <w:rPr>
          <w:rFonts w:hint="eastAsia" w:ascii="宋体" w:cs="宋体"/>
          <w:color w:val="auto"/>
          <w:szCs w:val="21"/>
        </w:rPr>
        <w:t>本工程执行国家现行的与本工程有关的质量检验评定标准。</w:t>
      </w:r>
      <w:bookmarkStart w:id="492" w:name="_Toc308043121"/>
      <w:bookmarkStart w:id="493" w:name="_Toc24764"/>
      <w:bookmarkStart w:id="494" w:name="_Toc308043469"/>
    </w:p>
    <w:p>
      <w:pPr>
        <w:numPr>
          <w:ilvl w:val="0"/>
          <w:numId w:val="10"/>
        </w:numPr>
        <w:spacing w:line="360" w:lineRule="auto"/>
        <w:ind w:firstLine="422" w:firstLineChars="200"/>
        <w:rPr>
          <w:rFonts w:ascii="宋体" w:cs="宋体"/>
          <w:b/>
          <w:bCs/>
          <w:color w:val="auto"/>
          <w:szCs w:val="21"/>
        </w:rPr>
      </w:pPr>
      <w:r>
        <w:rPr>
          <w:rFonts w:hint="eastAsia" w:ascii="宋体" w:cs="宋体"/>
          <w:b/>
          <w:bCs/>
          <w:color w:val="auto"/>
          <w:szCs w:val="21"/>
        </w:rPr>
        <w:t>其他</w:t>
      </w:r>
      <w:bookmarkEnd w:id="492"/>
      <w:bookmarkEnd w:id="493"/>
      <w:bookmarkEnd w:id="494"/>
      <w:r>
        <w:rPr>
          <w:rFonts w:hint="eastAsia" w:ascii="宋体" w:cs="宋体"/>
          <w:b/>
          <w:bCs/>
          <w:color w:val="auto"/>
          <w:szCs w:val="21"/>
        </w:rPr>
        <w:t>需要说明的问题：</w:t>
      </w:r>
    </w:p>
    <w:p>
      <w:pPr>
        <w:spacing w:line="360" w:lineRule="auto"/>
        <w:ind w:firstLine="420" w:firstLineChars="200"/>
        <w:rPr>
          <w:rFonts w:ascii="宋体" w:cs="宋体"/>
          <w:color w:val="auto"/>
          <w:szCs w:val="21"/>
        </w:rPr>
      </w:pPr>
      <w:bookmarkStart w:id="495" w:name="_Toc179632806"/>
      <w:bookmarkStart w:id="496" w:name="_Toc246996354"/>
      <w:bookmarkStart w:id="497" w:name="_Toc144974855"/>
      <w:bookmarkStart w:id="498" w:name="_Toc27395"/>
      <w:bookmarkStart w:id="499" w:name="_Toc247085872"/>
      <w:bookmarkStart w:id="500" w:name="_Toc152045786"/>
      <w:bookmarkStart w:id="501" w:name="_Toc152042575"/>
      <w:bookmarkStart w:id="502" w:name="_Toc246997097"/>
      <w:r>
        <w:rPr>
          <w:rFonts w:hint="eastAsia" w:ascii="宋体" w:cs="宋体"/>
          <w:color w:val="auto"/>
          <w:szCs w:val="21"/>
        </w:rPr>
        <w:t>投标人必须采取有效措施控制扬尘、防止二次污染，并应承担相关责任、义务。</w:t>
      </w:r>
    </w:p>
    <w:p>
      <w:pPr>
        <w:spacing w:line="360" w:lineRule="auto"/>
        <w:ind w:firstLine="420" w:firstLineChars="200"/>
        <w:rPr>
          <w:rFonts w:ascii="宋体" w:cs="宋体"/>
          <w:color w:val="auto"/>
          <w:szCs w:val="21"/>
        </w:rPr>
      </w:pPr>
      <w:r>
        <w:rPr>
          <w:rFonts w:hint="eastAsia" w:ascii="宋体" w:cs="宋体"/>
          <w:color w:val="auto"/>
          <w:szCs w:val="21"/>
        </w:rPr>
        <w:t>在施工组织设计时应增加控制扬尘污染的内容，应有制度、有措施、有检查、有落实、有结果；做到“七个 100%，八个必须”，对违反扬尘治理有关规定的，实施“七个一律”处罚。</w:t>
      </w:r>
    </w:p>
    <w:p>
      <w:pPr>
        <w:spacing w:line="360" w:lineRule="auto"/>
        <w:ind w:firstLine="420" w:firstLineChars="200"/>
        <w:rPr>
          <w:rFonts w:ascii="宋体" w:cs="宋体"/>
          <w:color w:val="auto"/>
          <w:szCs w:val="21"/>
        </w:rPr>
      </w:pPr>
      <w:r>
        <w:rPr>
          <w:rFonts w:hint="eastAsia" w:ascii="宋体" w:cs="宋体"/>
          <w:color w:val="auto"/>
          <w:szCs w:val="21"/>
        </w:rPr>
        <w:t>施工过程中要做到七个 100%：施工工地 100%围挡，散流体、裸地 100%覆盖，出入车辆 100%冲洗，施工现场地面 100%硬化，散水降尘制度 100%落实，散流体运输车辆 100%密闭运输，监控检测设备安装 100%。</w:t>
      </w:r>
    </w:p>
    <w:p>
      <w:pPr>
        <w:spacing w:line="360" w:lineRule="auto"/>
        <w:ind w:firstLine="420" w:firstLineChars="200"/>
        <w:rPr>
          <w:rFonts w:ascii="宋体" w:cs="宋体"/>
          <w:color w:val="auto"/>
          <w:szCs w:val="21"/>
        </w:rPr>
      </w:pPr>
      <w:r>
        <w:rPr>
          <w:rFonts w:hint="eastAsia" w:ascii="宋体" w:cs="宋体"/>
          <w:color w:val="auto"/>
          <w:szCs w:val="21"/>
        </w:rPr>
        <w:t>开工进场前要做到“八个必须”：必须要做好门头、门柱; 必须设置五牌一图、扬尘治理责任牌;必须建立门卫制度; 工地出入口处必须硬化; 必须配置自动冲洗设备及洒水车; 工地四周围挡封闭必须连续设置; 必须并在围挡上方安装雾化喷淋设备;必须落实扬尘治理方案备案制度。</w:t>
      </w:r>
    </w:p>
    <w:p>
      <w:pPr>
        <w:spacing w:line="360" w:lineRule="auto"/>
        <w:ind w:firstLine="420" w:firstLineChars="200"/>
        <w:rPr>
          <w:rFonts w:ascii="宋体" w:cs="宋体"/>
          <w:color w:val="auto"/>
          <w:szCs w:val="21"/>
        </w:rPr>
      </w:pPr>
      <w:r>
        <w:rPr>
          <w:rFonts w:hint="eastAsia" w:ascii="宋体" w:cs="宋体"/>
          <w:color w:val="auto"/>
          <w:szCs w:val="21"/>
        </w:rPr>
        <w:t>“七个一律”：工程施工期间，凡发现扬尘治理措施不落实、施工或拆除现场不达标的，一律曝光、一律记不良记录、一律停工整改、一律上限处罚、一律给予缓批资质、一律限制招标投标、一律通报给市（县）政府。待整改完成并验收合格后，方能重新开工。</w:t>
      </w:r>
    </w:p>
    <w:p>
      <w:pPr>
        <w:spacing w:line="360" w:lineRule="auto"/>
        <w:ind w:firstLine="420" w:firstLineChars="200"/>
        <w:rPr>
          <w:rFonts w:ascii="宋体" w:cs="宋体"/>
          <w:color w:val="auto"/>
          <w:szCs w:val="21"/>
        </w:rPr>
      </w:pPr>
      <w:r>
        <w:rPr>
          <w:rFonts w:hint="eastAsia" w:ascii="宋体" w:cs="宋体"/>
          <w:color w:val="auto"/>
          <w:szCs w:val="21"/>
        </w:rPr>
        <w:t>凡发现扬尘治理措施不落实、施工现场不达标，造成二次污染的，将按照相关文件要求给予相应处罚。</w:t>
      </w:r>
    </w:p>
    <w:p>
      <w:pPr>
        <w:spacing w:line="360" w:lineRule="auto"/>
        <w:ind w:firstLine="420" w:firstLineChars="200"/>
        <w:rPr>
          <w:rFonts w:ascii="宋体" w:cs="宋体"/>
          <w:color w:val="auto"/>
          <w:szCs w:val="21"/>
        </w:rPr>
      </w:pPr>
    </w:p>
    <w:p>
      <w:pPr>
        <w:spacing w:line="360" w:lineRule="auto"/>
        <w:ind w:firstLine="420" w:firstLineChars="200"/>
        <w:jc w:val="center"/>
        <w:rPr>
          <w:rFonts w:ascii="宋体" w:cs="宋体"/>
          <w:color w:val="auto"/>
          <w:szCs w:val="21"/>
        </w:rPr>
      </w:pPr>
      <w:bookmarkStart w:id="503" w:name="_Toc31898"/>
    </w:p>
    <w:p>
      <w:pPr>
        <w:spacing w:line="360" w:lineRule="auto"/>
        <w:ind w:firstLine="883" w:firstLineChars="200"/>
        <w:jc w:val="center"/>
        <w:outlineLvl w:val="0"/>
        <w:rPr>
          <w:rFonts w:ascii="宋体" w:cs="宋体"/>
          <w:color w:val="auto"/>
        </w:rPr>
      </w:pPr>
      <w:bookmarkStart w:id="504" w:name="_Toc28230"/>
      <w:bookmarkStart w:id="505" w:name="_Toc3706"/>
      <w:r>
        <w:rPr>
          <w:rFonts w:hint="eastAsia" w:ascii="宋体" w:cs="宋体"/>
          <w:b/>
          <w:bCs/>
          <w:color w:val="auto"/>
          <w:kern w:val="44"/>
          <w:sz w:val="44"/>
          <w:szCs w:val="44"/>
        </w:rPr>
        <w:t>第八章  投标文件格式</w:t>
      </w:r>
      <w:bookmarkEnd w:id="495"/>
      <w:bookmarkEnd w:id="496"/>
      <w:bookmarkEnd w:id="497"/>
      <w:bookmarkEnd w:id="498"/>
      <w:bookmarkEnd w:id="499"/>
      <w:bookmarkEnd w:id="500"/>
      <w:bookmarkEnd w:id="501"/>
      <w:bookmarkEnd w:id="502"/>
      <w:bookmarkEnd w:id="503"/>
      <w:bookmarkEnd w:id="504"/>
      <w:bookmarkEnd w:id="505"/>
    </w:p>
    <w:p>
      <w:pPr>
        <w:spacing w:line="400" w:lineRule="exact"/>
        <w:rPr>
          <w:rFonts w:ascii="宋体" w:cs="宋体"/>
          <w:color w:val="auto"/>
          <w:sz w:val="24"/>
        </w:rPr>
      </w:pPr>
    </w:p>
    <w:p>
      <w:pPr>
        <w:jc w:val="center"/>
        <w:rPr>
          <w:rFonts w:ascii="宋体" w:cs="宋体"/>
          <w:color w:val="auto"/>
          <w:sz w:val="20"/>
          <w:szCs w:val="20"/>
          <w:u w:val="single"/>
        </w:rPr>
      </w:pPr>
      <w:r>
        <w:rPr>
          <w:rFonts w:hint="eastAsia" w:ascii="宋体" w:cs="宋体"/>
          <w:color w:val="auto"/>
          <w:sz w:val="28"/>
          <w:szCs w:val="28"/>
          <w:u w:val="single"/>
        </w:rPr>
        <w:t>（项目名称）</w:t>
      </w:r>
    </w:p>
    <w:p>
      <w:pPr>
        <w:jc w:val="center"/>
        <w:rPr>
          <w:rFonts w:ascii="宋体" w:cs="宋体"/>
          <w:color w:val="auto"/>
          <w:sz w:val="20"/>
          <w:szCs w:val="20"/>
        </w:rPr>
      </w:pPr>
    </w:p>
    <w:p>
      <w:pPr>
        <w:rPr>
          <w:rFonts w:ascii="宋体" w:cs="宋体"/>
          <w:color w:val="auto"/>
          <w:sz w:val="20"/>
          <w:szCs w:val="20"/>
        </w:rPr>
      </w:pPr>
    </w:p>
    <w:p>
      <w:pPr>
        <w:jc w:val="center"/>
        <w:rPr>
          <w:rFonts w:ascii="宋体" w:cs="宋体"/>
          <w:color w:val="auto"/>
          <w:sz w:val="44"/>
          <w:szCs w:val="44"/>
        </w:rPr>
      </w:pPr>
      <w:r>
        <w:rPr>
          <w:rFonts w:hint="eastAsia" w:ascii="宋体" w:cs="宋体"/>
          <w:color w:val="auto"/>
          <w:sz w:val="44"/>
          <w:szCs w:val="44"/>
        </w:rPr>
        <w:t>投  标  文  件</w:t>
      </w:r>
    </w:p>
    <w:p>
      <w:pPr>
        <w:rPr>
          <w:rFonts w:ascii="宋体" w:cs="宋体"/>
          <w:color w:val="auto"/>
          <w:sz w:val="28"/>
          <w:szCs w:val="28"/>
        </w:rPr>
      </w:pPr>
    </w:p>
    <w:p>
      <w:pPr>
        <w:rPr>
          <w:rFonts w:ascii="宋体" w:cs="宋体"/>
          <w:color w:val="auto"/>
          <w:sz w:val="28"/>
          <w:szCs w:val="28"/>
        </w:rPr>
      </w:pPr>
    </w:p>
    <w:p>
      <w:pPr>
        <w:rPr>
          <w:rFonts w:ascii="宋体" w:cs="宋体"/>
          <w:color w:val="auto"/>
          <w:sz w:val="28"/>
          <w:szCs w:val="28"/>
        </w:rPr>
      </w:pPr>
    </w:p>
    <w:p>
      <w:pPr>
        <w:rPr>
          <w:rFonts w:ascii="宋体" w:cs="宋体"/>
          <w:color w:val="auto"/>
          <w:sz w:val="28"/>
          <w:szCs w:val="28"/>
        </w:rPr>
      </w:pPr>
    </w:p>
    <w:p>
      <w:pPr>
        <w:rPr>
          <w:rFonts w:ascii="宋体" w:cs="宋体"/>
          <w:color w:val="auto"/>
          <w:sz w:val="28"/>
          <w:szCs w:val="28"/>
        </w:rPr>
      </w:pPr>
    </w:p>
    <w:p>
      <w:pPr>
        <w:rPr>
          <w:rFonts w:ascii="宋体" w:cs="宋体"/>
          <w:color w:val="auto"/>
          <w:sz w:val="28"/>
          <w:szCs w:val="28"/>
        </w:rPr>
      </w:pPr>
    </w:p>
    <w:p>
      <w:pPr>
        <w:rPr>
          <w:rFonts w:ascii="宋体" w:cs="宋体"/>
          <w:color w:val="auto"/>
          <w:sz w:val="28"/>
          <w:szCs w:val="28"/>
        </w:rPr>
      </w:pPr>
    </w:p>
    <w:p>
      <w:pPr>
        <w:rPr>
          <w:rFonts w:ascii="宋体" w:cs="宋体"/>
          <w:color w:val="auto"/>
          <w:sz w:val="28"/>
          <w:szCs w:val="28"/>
        </w:rPr>
      </w:pPr>
    </w:p>
    <w:p>
      <w:pPr>
        <w:rPr>
          <w:rFonts w:ascii="宋体" w:cs="宋体"/>
          <w:color w:val="auto"/>
          <w:sz w:val="28"/>
          <w:szCs w:val="28"/>
        </w:rPr>
      </w:pPr>
    </w:p>
    <w:p>
      <w:pPr>
        <w:rPr>
          <w:rFonts w:ascii="宋体" w:cs="宋体"/>
          <w:color w:val="auto"/>
          <w:sz w:val="28"/>
          <w:szCs w:val="28"/>
        </w:rPr>
      </w:pPr>
    </w:p>
    <w:p>
      <w:pPr>
        <w:rPr>
          <w:rFonts w:ascii="宋体" w:cs="宋体"/>
          <w:color w:val="auto"/>
          <w:sz w:val="28"/>
          <w:szCs w:val="28"/>
        </w:rPr>
      </w:pPr>
    </w:p>
    <w:p>
      <w:pPr>
        <w:jc w:val="center"/>
        <w:rPr>
          <w:rFonts w:ascii="宋体" w:cs="宋体"/>
          <w:color w:val="auto"/>
          <w:sz w:val="28"/>
          <w:szCs w:val="28"/>
          <w:u w:val="single"/>
        </w:rPr>
      </w:pPr>
      <w:r>
        <w:rPr>
          <w:rFonts w:hint="eastAsia" w:ascii="宋体" w:cs="宋体"/>
          <w:color w:val="auto"/>
          <w:sz w:val="28"/>
          <w:szCs w:val="28"/>
        </w:rPr>
        <w:t>投标人：（企业电子章）</w:t>
      </w:r>
    </w:p>
    <w:p>
      <w:pPr>
        <w:jc w:val="center"/>
        <w:rPr>
          <w:rFonts w:ascii="宋体" w:cs="宋体"/>
          <w:color w:val="auto"/>
          <w:sz w:val="28"/>
          <w:szCs w:val="28"/>
        </w:rPr>
      </w:pPr>
      <w:r>
        <w:rPr>
          <w:rFonts w:hint="eastAsia" w:ascii="宋体" w:cs="宋体"/>
          <w:color w:val="auto"/>
          <w:sz w:val="28"/>
          <w:szCs w:val="28"/>
        </w:rPr>
        <w:t>法定代表人或其委托代理人：（</w:t>
      </w:r>
      <w:r>
        <w:rPr>
          <w:rFonts w:hint="eastAsia" w:ascii="宋体" w:cs="宋体"/>
          <w:color w:val="auto"/>
          <w:sz w:val="28"/>
          <w:szCs w:val="28"/>
          <w:lang w:eastAsia="zh-CN"/>
        </w:rPr>
        <w:t>个人电子章</w:t>
      </w:r>
      <w:r>
        <w:rPr>
          <w:rFonts w:hint="eastAsia" w:ascii="宋体" w:cs="宋体"/>
          <w:color w:val="auto"/>
          <w:sz w:val="28"/>
          <w:szCs w:val="28"/>
        </w:rPr>
        <w:t>）</w:t>
      </w:r>
    </w:p>
    <w:p>
      <w:pPr>
        <w:jc w:val="center"/>
        <w:rPr>
          <w:rFonts w:ascii="宋体" w:cs="宋体"/>
          <w:color w:val="auto"/>
          <w:sz w:val="28"/>
          <w:szCs w:val="28"/>
        </w:rPr>
      </w:pPr>
      <w:r>
        <w:rPr>
          <w:rFonts w:hint="eastAsia" w:ascii="宋体" w:cs="宋体"/>
          <w:color w:val="auto"/>
          <w:sz w:val="28"/>
          <w:szCs w:val="28"/>
        </w:rPr>
        <w:t>年月日</w:t>
      </w:r>
    </w:p>
    <w:p>
      <w:pPr>
        <w:spacing w:line="440" w:lineRule="exact"/>
        <w:rPr>
          <w:rFonts w:ascii="宋体" w:cs="宋体"/>
          <w:color w:val="auto"/>
          <w:sz w:val="20"/>
          <w:szCs w:val="20"/>
        </w:rPr>
      </w:pPr>
    </w:p>
    <w:p>
      <w:pPr>
        <w:pStyle w:val="3"/>
        <w:rPr>
          <w:rFonts w:ascii="宋体" w:cs="宋体"/>
          <w:color w:val="auto"/>
        </w:rPr>
      </w:pPr>
    </w:p>
    <w:p>
      <w:pPr>
        <w:spacing w:line="400" w:lineRule="exact"/>
        <w:rPr>
          <w:rFonts w:ascii="宋体" w:cs="宋体"/>
          <w:color w:val="auto"/>
        </w:rPr>
      </w:pPr>
    </w:p>
    <w:p>
      <w:pPr>
        <w:pStyle w:val="3"/>
        <w:rPr>
          <w:color w:val="auto"/>
        </w:rPr>
      </w:pPr>
    </w:p>
    <w:p>
      <w:pPr>
        <w:pStyle w:val="15"/>
        <w:rPr>
          <w:color w:val="auto"/>
        </w:rPr>
      </w:pPr>
    </w:p>
    <w:p>
      <w:pPr>
        <w:pStyle w:val="48"/>
        <w:jc w:val="center"/>
        <w:rPr>
          <w:rFonts w:ascii="宋体"/>
          <w:color w:val="auto"/>
          <w:sz w:val="32"/>
          <w:szCs w:val="32"/>
        </w:rPr>
      </w:pPr>
      <w:bookmarkStart w:id="506" w:name="_Toc15244"/>
      <w:bookmarkStart w:id="507" w:name="_Toc144974856"/>
      <w:bookmarkStart w:id="508" w:name="_Toc179632807"/>
      <w:bookmarkStart w:id="509" w:name="_Toc152045787"/>
      <w:bookmarkStart w:id="510" w:name="_Toc296602601"/>
      <w:bookmarkStart w:id="511" w:name="_Toc30974"/>
      <w:bookmarkStart w:id="512" w:name="_Toc246996355"/>
      <w:bookmarkStart w:id="513" w:name="_Toc247085873"/>
      <w:bookmarkStart w:id="514" w:name="_Toc246997098"/>
      <w:bookmarkStart w:id="515" w:name="_Toc152042576"/>
      <w:r>
        <w:rPr>
          <w:rFonts w:hint="eastAsia" w:ascii="宋体"/>
          <w:b/>
          <w:bCs/>
          <w:color w:val="auto"/>
          <w:sz w:val="36"/>
          <w:szCs w:val="36"/>
        </w:rPr>
        <w:t>目    录</w:t>
      </w:r>
      <w:bookmarkEnd w:id="506"/>
    </w:p>
    <w:p>
      <w:pPr>
        <w:spacing w:line="360" w:lineRule="auto"/>
        <w:ind w:firstLine="420" w:firstLineChars="200"/>
        <w:rPr>
          <w:rFonts w:ascii="宋体" w:cs="宋体"/>
          <w:color w:val="auto"/>
          <w:szCs w:val="21"/>
        </w:rPr>
      </w:pPr>
      <w:r>
        <w:rPr>
          <w:rFonts w:hint="eastAsia" w:ascii="宋体" w:cs="宋体"/>
          <w:color w:val="auto"/>
          <w:szCs w:val="21"/>
        </w:rPr>
        <w:t>一、投标函及投标函附录</w:t>
      </w:r>
    </w:p>
    <w:p>
      <w:pPr>
        <w:spacing w:line="360" w:lineRule="auto"/>
        <w:ind w:firstLine="420" w:firstLineChars="200"/>
        <w:rPr>
          <w:rFonts w:ascii="宋体" w:cs="宋体"/>
          <w:color w:val="auto"/>
          <w:szCs w:val="21"/>
        </w:rPr>
      </w:pPr>
      <w:r>
        <w:rPr>
          <w:rFonts w:hint="eastAsia" w:ascii="宋体" w:cs="宋体"/>
          <w:color w:val="auto"/>
          <w:szCs w:val="21"/>
        </w:rPr>
        <w:t>二、法定代表人身份证明</w:t>
      </w:r>
    </w:p>
    <w:p>
      <w:pPr>
        <w:spacing w:line="360" w:lineRule="auto"/>
        <w:ind w:firstLine="420" w:firstLineChars="200"/>
        <w:rPr>
          <w:rFonts w:ascii="宋体" w:cs="宋体"/>
          <w:color w:val="auto"/>
          <w:szCs w:val="21"/>
        </w:rPr>
      </w:pPr>
      <w:r>
        <w:rPr>
          <w:rFonts w:hint="eastAsia" w:ascii="宋体" w:cs="宋体"/>
          <w:color w:val="auto"/>
          <w:szCs w:val="21"/>
        </w:rPr>
        <w:t>三、授权委托书</w:t>
      </w:r>
    </w:p>
    <w:p>
      <w:pPr>
        <w:spacing w:line="360" w:lineRule="auto"/>
        <w:ind w:firstLine="420" w:firstLineChars="200"/>
        <w:rPr>
          <w:rFonts w:ascii="宋体" w:cs="宋体"/>
          <w:color w:val="auto"/>
          <w:szCs w:val="21"/>
        </w:rPr>
      </w:pPr>
      <w:r>
        <w:rPr>
          <w:rFonts w:hint="eastAsia" w:ascii="宋体" w:cs="宋体"/>
          <w:color w:val="auto"/>
          <w:szCs w:val="21"/>
        </w:rPr>
        <w:t xml:space="preserve">四、投标保证金 </w:t>
      </w:r>
    </w:p>
    <w:p>
      <w:pPr>
        <w:spacing w:line="360" w:lineRule="auto"/>
        <w:ind w:firstLine="420" w:firstLineChars="200"/>
        <w:rPr>
          <w:rFonts w:ascii="宋体" w:cs="宋体"/>
          <w:color w:val="auto"/>
          <w:szCs w:val="21"/>
        </w:rPr>
      </w:pPr>
      <w:r>
        <w:rPr>
          <w:rFonts w:hint="eastAsia" w:ascii="宋体" w:cs="宋体"/>
          <w:color w:val="auto"/>
          <w:szCs w:val="21"/>
        </w:rPr>
        <w:t>五、已标价工程量清单</w:t>
      </w:r>
    </w:p>
    <w:p>
      <w:pPr>
        <w:spacing w:line="360" w:lineRule="auto"/>
        <w:ind w:firstLine="420" w:firstLineChars="200"/>
        <w:rPr>
          <w:rFonts w:ascii="宋体" w:cs="宋体"/>
          <w:color w:val="auto"/>
          <w:szCs w:val="21"/>
        </w:rPr>
      </w:pPr>
      <w:r>
        <w:rPr>
          <w:rFonts w:hint="eastAsia" w:ascii="宋体" w:cs="宋体"/>
          <w:color w:val="auto"/>
          <w:szCs w:val="21"/>
        </w:rPr>
        <w:t>六、施工组织设计</w:t>
      </w:r>
    </w:p>
    <w:p>
      <w:pPr>
        <w:spacing w:line="360" w:lineRule="auto"/>
        <w:ind w:firstLine="420" w:firstLineChars="200"/>
        <w:rPr>
          <w:rFonts w:ascii="宋体" w:cs="宋体"/>
          <w:color w:val="auto"/>
          <w:szCs w:val="21"/>
        </w:rPr>
      </w:pPr>
      <w:r>
        <w:rPr>
          <w:rFonts w:hint="eastAsia" w:ascii="宋体" w:cs="宋体"/>
          <w:color w:val="auto"/>
          <w:szCs w:val="21"/>
        </w:rPr>
        <w:t>七、投标人基本情况</w:t>
      </w:r>
    </w:p>
    <w:p>
      <w:pPr>
        <w:spacing w:line="360" w:lineRule="auto"/>
        <w:ind w:firstLine="420" w:firstLineChars="200"/>
        <w:rPr>
          <w:rFonts w:ascii="宋体" w:cs="宋体"/>
          <w:color w:val="auto"/>
          <w:szCs w:val="21"/>
        </w:rPr>
      </w:pPr>
      <w:r>
        <w:rPr>
          <w:rFonts w:hint="eastAsia" w:ascii="宋体" w:cs="宋体"/>
          <w:color w:val="auto"/>
          <w:szCs w:val="21"/>
        </w:rPr>
        <w:t>八、项目管理机构</w:t>
      </w:r>
    </w:p>
    <w:p>
      <w:pPr>
        <w:spacing w:line="360" w:lineRule="auto"/>
        <w:ind w:firstLine="420" w:firstLineChars="200"/>
        <w:rPr>
          <w:rFonts w:ascii="宋体" w:cs="宋体"/>
          <w:color w:val="auto"/>
          <w:szCs w:val="21"/>
        </w:rPr>
      </w:pPr>
      <w:r>
        <w:rPr>
          <w:rFonts w:hint="eastAsia" w:ascii="宋体" w:cs="宋体"/>
          <w:color w:val="auto"/>
          <w:szCs w:val="21"/>
        </w:rPr>
        <w:t>九、其他材料</w:t>
      </w:r>
    </w:p>
    <w:p>
      <w:pPr>
        <w:spacing w:line="360" w:lineRule="auto"/>
        <w:ind w:firstLine="420" w:firstLineChars="200"/>
        <w:rPr>
          <w:rFonts w:ascii="宋体" w:cs="宋体"/>
          <w:color w:val="auto"/>
          <w:szCs w:val="21"/>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spacing w:line="540" w:lineRule="exact"/>
        <w:rPr>
          <w:rFonts w:ascii="宋体" w:cs="宋体"/>
          <w:color w:val="auto"/>
        </w:rPr>
      </w:pPr>
    </w:p>
    <w:p>
      <w:pPr>
        <w:pStyle w:val="6"/>
        <w:spacing w:line="240" w:lineRule="auto"/>
        <w:jc w:val="center"/>
        <w:rPr>
          <w:rFonts w:ascii="宋体" w:cs="宋体"/>
          <w:color w:val="auto"/>
          <w:kern w:val="0"/>
          <w:sz w:val="28"/>
          <w:szCs w:val="28"/>
        </w:rPr>
      </w:pPr>
      <w:bookmarkStart w:id="516" w:name="_Toc3788"/>
      <w:bookmarkStart w:id="517" w:name="_Toc22766"/>
      <w:bookmarkStart w:id="518" w:name="_Toc2773"/>
      <w:bookmarkStart w:id="519" w:name="_Toc8690"/>
      <w:bookmarkStart w:id="520" w:name="_Toc9699"/>
      <w:bookmarkStart w:id="521" w:name="_Toc16770"/>
      <w:r>
        <w:rPr>
          <w:rFonts w:hint="eastAsia" w:ascii="宋体" w:cs="宋体"/>
          <w:color w:val="auto"/>
          <w:kern w:val="0"/>
          <w:sz w:val="28"/>
          <w:szCs w:val="28"/>
        </w:rPr>
        <w:br w:type="page"/>
      </w:r>
      <w:r>
        <w:rPr>
          <w:rFonts w:hint="eastAsia" w:ascii="宋体" w:cs="宋体"/>
          <w:color w:val="auto"/>
          <w:kern w:val="0"/>
          <w:sz w:val="28"/>
          <w:szCs w:val="28"/>
        </w:rPr>
        <w:t>一、投标函及投标函附录</w:t>
      </w:r>
      <w:bookmarkEnd w:id="516"/>
      <w:bookmarkEnd w:id="517"/>
      <w:bookmarkEnd w:id="518"/>
      <w:bookmarkEnd w:id="519"/>
      <w:bookmarkEnd w:id="520"/>
      <w:bookmarkEnd w:id="521"/>
    </w:p>
    <w:p>
      <w:pPr>
        <w:numPr>
          <w:ilvl w:val="0"/>
          <w:numId w:val="11"/>
        </w:numPr>
        <w:autoSpaceDE w:val="0"/>
        <w:autoSpaceDN w:val="0"/>
        <w:adjustRightInd w:val="0"/>
        <w:spacing w:line="420" w:lineRule="exact"/>
        <w:jc w:val="center"/>
        <w:rPr>
          <w:rFonts w:ascii="宋体" w:cs="宋体"/>
          <w:color w:val="auto"/>
          <w:szCs w:val="21"/>
        </w:rPr>
      </w:pPr>
      <w:r>
        <w:rPr>
          <w:rFonts w:hint="eastAsia" w:ascii="宋体" w:cs="宋体"/>
          <w:b/>
          <w:color w:val="auto"/>
          <w:kern w:val="0"/>
          <w:sz w:val="24"/>
        </w:rPr>
        <w:t>投 标 函</w:t>
      </w:r>
    </w:p>
    <w:p>
      <w:pPr>
        <w:spacing w:line="440" w:lineRule="exact"/>
        <w:rPr>
          <w:color w:val="auto"/>
          <w:szCs w:val="21"/>
        </w:rPr>
      </w:pPr>
      <w:r>
        <w:rPr>
          <w:color w:val="auto"/>
          <w:szCs w:val="21"/>
        </w:rPr>
        <w:t>（招标人名称）</w:t>
      </w:r>
      <w:r>
        <w:rPr>
          <w:rFonts w:hint="eastAsia"/>
          <w:color w:val="auto"/>
          <w:szCs w:val="21"/>
        </w:rPr>
        <w:t>：</w:t>
      </w:r>
    </w:p>
    <w:p>
      <w:pPr>
        <w:numPr>
          <w:ilvl w:val="0"/>
          <w:numId w:val="12"/>
        </w:numPr>
        <w:spacing w:line="440" w:lineRule="exact"/>
        <w:ind w:firstLine="420" w:firstLineChars="200"/>
        <w:rPr>
          <w:color w:val="auto"/>
          <w:szCs w:val="21"/>
        </w:rPr>
      </w:pPr>
      <w:r>
        <w:rPr>
          <w:color w:val="auto"/>
          <w:szCs w:val="21"/>
        </w:rPr>
        <w:t>我方已仔细研究了（项目名称）招标文件的全部内容，愿意以人民币（大写）（¥）</w:t>
      </w:r>
      <w:r>
        <w:rPr>
          <w:rFonts w:ascii="宋体"/>
          <w:color w:val="auto"/>
          <w:lang w:val="zh-CN"/>
        </w:rPr>
        <w:t>的投标</w:t>
      </w:r>
      <w:r>
        <w:rPr>
          <w:rFonts w:hint="eastAsia" w:ascii="宋体"/>
          <w:color w:val="auto"/>
          <w:lang w:val="zh-CN"/>
        </w:rPr>
        <w:t>总</w:t>
      </w:r>
      <w:r>
        <w:rPr>
          <w:rFonts w:ascii="宋体"/>
          <w:color w:val="auto"/>
          <w:lang w:val="zh-CN"/>
        </w:rPr>
        <w:t>报价</w:t>
      </w:r>
      <w:r>
        <w:rPr>
          <w:rFonts w:hint="eastAsia" w:ascii="宋体"/>
          <w:color w:val="auto"/>
          <w:lang w:val="zh-CN"/>
        </w:rPr>
        <w:t>，</w:t>
      </w:r>
      <w:r>
        <w:rPr>
          <w:rFonts w:hint="eastAsia"/>
          <w:color w:val="auto"/>
          <w:szCs w:val="21"/>
        </w:rPr>
        <w:t>其中：措施费（含安文费）（大写）</w:t>
      </w:r>
      <w:r>
        <w:rPr>
          <w:rFonts w:hint="eastAsia"/>
          <w:color w:val="auto"/>
          <w:szCs w:val="21"/>
          <w:u w:val="single"/>
        </w:rPr>
        <w:t xml:space="preserve">   元（￥          ）</w:t>
      </w:r>
      <w:r>
        <w:rPr>
          <w:rFonts w:hint="eastAsia"/>
          <w:color w:val="auto"/>
          <w:szCs w:val="21"/>
        </w:rPr>
        <w:t>；安全文明措施费（大写）</w:t>
      </w:r>
      <w:r>
        <w:rPr>
          <w:rFonts w:hint="eastAsia"/>
          <w:color w:val="auto"/>
          <w:szCs w:val="21"/>
          <w:u w:val="single"/>
        </w:rPr>
        <w:t xml:space="preserve">       元（￥          ）</w:t>
      </w:r>
      <w:r>
        <w:rPr>
          <w:rFonts w:hint="eastAsia"/>
          <w:color w:val="auto"/>
          <w:szCs w:val="21"/>
        </w:rPr>
        <w:t>；规 费（大写）</w:t>
      </w:r>
      <w:r>
        <w:rPr>
          <w:rFonts w:hint="eastAsia"/>
          <w:color w:val="auto"/>
          <w:szCs w:val="21"/>
          <w:u w:val="single"/>
        </w:rPr>
        <w:t xml:space="preserve">       元（￥          ）</w:t>
      </w:r>
      <w:r>
        <w:rPr>
          <w:rFonts w:hint="eastAsia"/>
          <w:color w:val="auto"/>
          <w:szCs w:val="21"/>
        </w:rPr>
        <w:t>；税 金（大写）</w:t>
      </w:r>
      <w:r>
        <w:rPr>
          <w:rFonts w:hint="eastAsia"/>
          <w:color w:val="auto"/>
          <w:szCs w:val="21"/>
          <w:u w:val="single"/>
        </w:rPr>
        <w:t xml:space="preserve">       元（￥          ）</w:t>
      </w:r>
      <w:r>
        <w:rPr>
          <w:rFonts w:hint="eastAsia"/>
          <w:color w:val="auto"/>
          <w:szCs w:val="21"/>
        </w:rPr>
        <w:t>；暂列金额：（大写）</w:t>
      </w:r>
      <w:r>
        <w:rPr>
          <w:rFonts w:hint="eastAsia"/>
          <w:color w:val="auto"/>
          <w:szCs w:val="21"/>
          <w:u w:val="single"/>
        </w:rPr>
        <w:t xml:space="preserve">       元（￥          ）</w:t>
      </w:r>
      <w:r>
        <w:rPr>
          <w:rFonts w:hint="eastAsia"/>
          <w:color w:val="auto"/>
          <w:szCs w:val="21"/>
        </w:rPr>
        <w:t>；专业暂估价（大写）</w:t>
      </w:r>
      <w:r>
        <w:rPr>
          <w:rFonts w:hint="eastAsia"/>
          <w:color w:val="auto"/>
          <w:szCs w:val="21"/>
          <w:u w:val="single"/>
        </w:rPr>
        <w:t xml:space="preserve">       元（￥          ）</w:t>
      </w:r>
      <w:r>
        <w:rPr>
          <w:rFonts w:hint="eastAsia"/>
          <w:color w:val="auto"/>
          <w:szCs w:val="21"/>
        </w:rPr>
        <w:t>的投标总报价承接本工程，严格按照合同约定施工、竣工和交付本工程并维修其中的任何缺陷。变更签证浮动率。</w:t>
      </w:r>
    </w:p>
    <w:p>
      <w:pPr>
        <w:numPr>
          <w:ilvl w:val="0"/>
          <w:numId w:val="12"/>
        </w:numPr>
        <w:spacing w:line="440" w:lineRule="exact"/>
        <w:ind w:firstLine="420" w:firstLineChars="200"/>
        <w:rPr>
          <w:color w:val="auto"/>
          <w:szCs w:val="21"/>
          <w:u w:val="single"/>
        </w:rPr>
      </w:pPr>
      <w:r>
        <w:rPr>
          <w:rFonts w:hint="eastAsia"/>
          <w:color w:val="auto"/>
          <w:szCs w:val="21"/>
        </w:rPr>
        <w:t>如果我方中标，我方保证按照合同约定的开工日期开始本工程的施工，工期</w:t>
      </w:r>
      <w:r>
        <w:rPr>
          <w:rFonts w:hint="eastAsia"/>
          <w:color w:val="auto"/>
          <w:szCs w:val="21"/>
          <w:u w:val="single"/>
        </w:rPr>
        <w:t xml:space="preserve">     ，</w:t>
      </w:r>
      <w:r>
        <w:rPr>
          <w:rFonts w:hint="eastAsia"/>
          <w:color w:val="auto"/>
          <w:szCs w:val="21"/>
        </w:rPr>
        <w:t>工程质量达到</w:t>
      </w:r>
      <w:r>
        <w:rPr>
          <w:rFonts w:hint="eastAsia"/>
          <w:color w:val="auto"/>
          <w:szCs w:val="21"/>
          <w:u w:val="single"/>
          <w:lang w:val="en-US" w:eastAsia="zh-CN"/>
        </w:rPr>
        <w:t xml:space="preserve">           </w:t>
      </w:r>
      <w:r>
        <w:rPr>
          <w:rFonts w:hint="eastAsia"/>
          <w:color w:val="auto"/>
          <w:szCs w:val="21"/>
        </w:rPr>
        <w:t>，安全目标：</w:t>
      </w:r>
      <w:r>
        <w:rPr>
          <w:rFonts w:hint="eastAsia"/>
          <w:color w:val="auto"/>
          <w:szCs w:val="21"/>
          <w:u w:val="single"/>
          <w:lang w:val="en-US" w:eastAsia="zh-CN"/>
        </w:rPr>
        <w:t xml:space="preserve">                </w:t>
      </w:r>
      <w:r>
        <w:rPr>
          <w:rFonts w:hint="eastAsia"/>
          <w:color w:val="auto"/>
          <w:szCs w:val="21"/>
        </w:rPr>
        <w:t>，文明工地目标扬尘治理目标</w:t>
      </w:r>
      <w:r>
        <w:rPr>
          <w:rFonts w:hint="eastAsia"/>
          <w:color w:val="auto"/>
          <w:szCs w:val="21"/>
          <w:u w:val="single"/>
        </w:rPr>
        <w:t xml:space="preserve">        。</w:t>
      </w:r>
    </w:p>
    <w:p>
      <w:pPr>
        <w:spacing w:line="440" w:lineRule="exact"/>
        <w:ind w:left="420" w:leftChars="200"/>
        <w:rPr>
          <w:color w:val="auto"/>
          <w:szCs w:val="21"/>
        </w:rPr>
      </w:pPr>
      <w:r>
        <w:rPr>
          <w:color w:val="auto"/>
          <w:szCs w:val="21"/>
        </w:rPr>
        <w:t>3．</w:t>
      </w:r>
      <w:r>
        <w:rPr>
          <w:rFonts w:hint="eastAsia"/>
          <w:color w:val="auto"/>
          <w:szCs w:val="21"/>
        </w:rPr>
        <w:t>项目经理：</w:t>
      </w:r>
      <w:r>
        <w:rPr>
          <w:rFonts w:hint="eastAsia"/>
          <w:color w:val="auto"/>
          <w:szCs w:val="21"/>
          <w:u w:val="single"/>
          <w:lang w:val="en-US" w:eastAsia="zh-CN"/>
        </w:rPr>
        <w:t xml:space="preserve">                  </w:t>
      </w:r>
      <w:r>
        <w:rPr>
          <w:rFonts w:hint="eastAsia"/>
          <w:color w:val="auto"/>
          <w:szCs w:val="21"/>
        </w:rPr>
        <w:t>，注册编号：</w:t>
      </w:r>
      <w:r>
        <w:rPr>
          <w:rFonts w:hint="eastAsia"/>
          <w:color w:val="auto"/>
          <w:szCs w:val="21"/>
          <w:u w:val="single"/>
          <w:lang w:val="en-US" w:eastAsia="zh-CN"/>
        </w:rPr>
        <w:t xml:space="preserve">                      </w:t>
      </w:r>
      <w:r>
        <w:rPr>
          <w:rFonts w:hint="eastAsia"/>
          <w:color w:val="auto"/>
          <w:szCs w:val="21"/>
        </w:rPr>
        <w:t>。</w:t>
      </w:r>
    </w:p>
    <w:p>
      <w:pPr>
        <w:spacing w:line="440" w:lineRule="exact"/>
        <w:ind w:firstLine="420" w:firstLineChars="200"/>
        <w:rPr>
          <w:color w:val="auto"/>
          <w:szCs w:val="21"/>
        </w:rPr>
      </w:pPr>
      <w:r>
        <w:rPr>
          <w:rFonts w:hint="eastAsia"/>
          <w:color w:val="auto"/>
          <w:szCs w:val="21"/>
        </w:rPr>
        <w:t>4.</w:t>
      </w:r>
      <w:r>
        <w:rPr>
          <w:color w:val="auto"/>
          <w:szCs w:val="21"/>
        </w:rPr>
        <w:t>随同本投标函提交投标保证金一份，金额为人民币（大写</w:t>
      </w:r>
      <w:r>
        <w:rPr>
          <w:rFonts w:hint="eastAsia"/>
          <w:color w:val="auto"/>
          <w:szCs w:val="21"/>
          <w:u w:val="single"/>
          <w:lang w:val="en-US" w:eastAsia="zh-CN"/>
        </w:rPr>
        <w:t xml:space="preserve">        </w:t>
      </w:r>
      <w:r>
        <w:rPr>
          <w:color w:val="auto"/>
          <w:szCs w:val="21"/>
        </w:rPr>
        <w:t>）（¥</w:t>
      </w:r>
      <w:r>
        <w:rPr>
          <w:rFonts w:hint="eastAsia"/>
          <w:color w:val="auto"/>
          <w:szCs w:val="21"/>
          <w:u w:val="single"/>
          <w:lang w:val="en-US" w:eastAsia="zh-CN"/>
        </w:rPr>
        <w:t xml:space="preserve">           </w:t>
      </w:r>
      <w:r>
        <w:rPr>
          <w:color w:val="auto"/>
          <w:szCs w:val="21"/>
        </w:rPr>
        <w:t>）。</w:t>
      </w:r>
    </w:p>
    <w:p>
      <w:pPr>
        <w:spacing w:line="440" w:lineRule="exact"/>
        <w:ind w:firstLine="420" w:firstLineChars="200"/>
        <w:rPr>
          <w:color w:val="auto"/>
          <w:szCs w:val="21"/>
        </w:rPr>
      </w:pPr>
      <w:r>
        <w:rPr>
          <w:rFonts w:hint="eastAsia"/>
          <w:color w:val="auto"/>
          <w:szCs w:val="21"/>
        </w:rPr>
        <w:t>5</w:t>
      </w:r>
      <w:r>
        <w:rPr>
          <w:color w:val="auto"/>
          <w:szCs w:val="21"/>
        </w:rPr>
        <w:t>．</w:t>
      </w:r>
      <w:r>
        <w:rPr>
          <w:rFonts w:hint="eastAsia"/>
          <w:color w:val="auto"/>
          <w:szCs w:val="21"/>
        </w:rPr>
        <w:t>我方承诺在投标有效期内（90天）不修改、撤销投标文件。</w:t>
      </w:r>
    </w:p>
    <w:p>
      <w:pPr>
        <w:spacing w:line="440" w:lineRule="exact"/>
        <w:ind w:firstLine="420" w:firstLineChars="200"/>
        <w:rPr>
          <w:color w:val="auto"/>
          <w:szCs w:val="21"/>
        </w:rPr>
      </w:pPr>
      <w:r>
        <w:rPr>
          <w:rFonts w:hint="eastAsia"/>
          <w:color w:val="auto"/>
          <w:szCs w:val="21"/>
        </w:rPr>
        <w:t>6.</w:t>
      </w:r>
      <w:r>
        <w:rPr>
          <w:color w:val="auto"/>
          <w:szCs w:val="21"/>
        </w:rPr>
        <w:t>如我方中标：</w:t>
      </w:r>
    </w:p>
    <w:p>
      <w:pPr>
        <w:spacing w:line="440" w:lineRule="exact"/>
        <w:ind w:firstLine="718" w:firstLineChars="342"/>
        <w:rPr>
          <w:color w:val="auto"/>
          <w:szCs w:val="21"/>
        </w:rPr>
      </w:pPr>
      <w:r>
        <w:rPr>
          <w:color w:val="auto"/>
          <w:szCs w:val="21"/>
        </w:rPr>
        <w:t>（1）我方承诺在收到中标通知书后，在中标通知书规定的期限内与你方签订合同。</w:t>
      </w:r>
    </w:p>
    <w:p>
      <w:pPr>
        <w:spacing w:line="440" w:lineRule="exact"/>
        <w:ind w:firstLine="718" w:firstLineChars="342"/>
        <w:rPr>
          <w:color w:val="auto"/>
          <w:szCs w:val="21"/>
        </w:rPr>
      </w:pPr>
      <w:r>
        <w:rPr>
          <w:color w:val="auto"/>
          <w:szCs w:val="21"/>
        </w:rPr>
        <w:t>（2）随同本投标函递交的投标函附录属于合同文件的组成部分。</w:t>
      </w:r>
    </w:p>
    <w:p>
      <w:pPr>
        <w:spacing w:line="440" w:lineRule="exact"/>
        <w:ind w:firstLine="718" w:firstLineChars="342"/>
        <w:rPr>
          <w:color w:val="auto"/>
          <w:szCs w:val="21"/>
        </w:rPr>
      </w:pPr>
      <w:r>
        <w:rPr>
          <w:color w:val="auto"/>
          <w:szCs w:val="21"/>
        </w:rPr>
        <w:t>（3）我方承诺按照招标文件规定向你方递交履约担保。</w:t>
      </w:r>
    </w:p>
    <w:p>
      <w:pPr>
        <w:spacing w:line="440" w:lineRule="exact"/>
        <w:ind w:firstLine="718" w:firstLineChars="342"/>
        <w:rPr>
          <w:color w:val="auto"/>
          <w:szCs w:val="21"/>
        </w:rPr>
      </w:pPr>
      <w:r>
        <w:rPr>
          <w:color w:val="auto"/>
          <w:szCs w:val="21"/>
        </w:rPr>
        <w:t>（</w:t>
      </w:r>
      <w:r>
        <w:rPr>
          <w:rFonts w:hint="eastAsia"/>
          <w:color w:val="auto"/>
          <w:szCs w:val="21"/>
        </w:rPr>
        <w:t>4</w:t>
      </w:r>
      <w:r>
        <w:rPr>
          <w:color w:val="auto"/>
          <w:szCs w:val="21"/>
        </w:rPr>
        <w:t>）我方承诺在合同约定的期限内完成并移交全部合同工程。</w:t>
      </w:r>
    </w:p>
    <w:p>
      <w:pPr>
        <w:spacing w:line="440" w:lineRule="exact"/>
        <w:ind w:firstLine="420" w:firstLineChars="200"/>
        <w:rPr>
          <w:color w:val="auto"/>
        </w:rPr>
      </w:pPr>
      <w:r>
        <w:rPr>
          <w:rFonts w:hint="eastAsia"/>
          <w:color w:val="auto"/>
          <w:szCs w:val="21"/>
        </w:rPr>
        <w:t>7</w:t>
      </w:r>
      <w:r>
        <w:rPr>
          <w:color w:val="auto"/>
          <w:szCs w:val="21"/>
        </w:rPr>
        <w:t>．</w:t>
      </w:r>
      <w:r>
        <w:rPr>
          <w:rFonts w:hint="eastAsia"/>
          <w:color w:val="auto"/>
        </w:rPr>
        <w:t>我方在此声明，所递交的投标文件及有关资料内容完整、真实和准确。</w:t>
      </w:r>
    </w:p>
    <w:p>
      <w:pPr>
        <w:spacing w:line="440" w:lineRule="exact"/>
        <w:ind w:firstLine="420" w:firstLineChars="200"/>
        <w:rPr>
          <w:color w:val="auto"/>
          <w:szCs w:val="21"/>
        </w:rPr>
      </w:pPr>
      <w:r>
        <w:rPr>
          <w:rFonts w:hint="eastAsia"/>
          <w:color w:val="auto"/>
          <w:szCs w:val="21"/>
        </w:rPr>
        <w:t>8</w:t>
      </w:r>
      <w:r>
        <w:rPr>
          <w:color w:val="auto"/>
          <w:szCs w:val="21"/>
        </w:rPr>
        <w:t>．（</w:t>
      </w:r>
      <w:r>
        <w:rPr>
          <w:rFonts w:hint="eastAsia"/>
          <w:color w:val="auto"/>
          <w:szCs w:val="21"/>
        </w:rPr>
        <w:t>其他</w:t>
      </w:r>
      <w:r>
        <w:rPr>
          <w:color w:val="auto"/>
          <w:szCs w:val="21"/>
        </w:rPr>
        <w:t>补充说明）。</w:t>
      </w:r>
    </w:p>
    <w:p>
      <w:pPr>
        <w:spacing w:line="440" w:lineRule="exact"/>
        <w:ind w:firstLine="3675" w:firstLineChars="1750"/>
        <w:rPr>
          <w:color w:val="auto"/>
          <w:szCs w:val="21"/>
          <w:u w:val="single"/>
        </w:rPr>
      </w:pPr>
      <w:r>
        <w:rPr>
          <w:color w:val="auto"/>
          <w:szCs w:val="21"/>
        </w:rPr>
        <w:t>投 标 人：</w:t>
      </w:r>
      <w:r>
        <w:rPr>
          <w:color w:val="auto"/>
          <w:szCs w:val="21"/>
          <w:u w:val="single"/>
        </w:rPr>
        <w:t xml:space="preserve">                      （</w:t>
      </w:r>
      <w:r>
        <w:rPr>
          <w:rFonts w:hint="eastAsia"/>
          <w:color w:val="auto"/>
          <w:szCs w:val="21"/>
          <w:u w:val="single"/>
        </w:rPr>
        <w:t>企业电子章</w:t>
      </w:r>
      <w:r>
        <w:rPr>
          <w:color w:val="auto"/>
          <w:szCs w:val="21"/>
          <w:u w:val="single"/>
        </w:rPr>
        <w:t>）</w:t>
      </w:r>
    </w:p>
    <w:p>
      <w:pPr>
        <w:spacing w:line="440" w:lineRule="exact"/>
        <w:ind w:firstLine="3675" w:firstLineChars="1750"/>
        <w:rPr>
          <w:color w:val="auto"/>
          <w:szCs w:val="21"/>
          <w:u w:val="single"/>
        </w:rPr>
      </w:pPr>
      <w:r>
        <w:rPr>
          <w:color w:val="auto"/>
          <w:szCs w:val="21"/>
        </w:rPr>
        <w:t>法定代表人：</w:t>
      </w:r>
      <w:r>
        <w:rPr>
          <w:color w:val="auto"/>
          <w:szCs w:val="21"/>
          <w:u w:val="single"/>
        </w:rPr>
        <w:t xml:space="preserve"> （</w:t>
      </w:r>
      <w:r>
        <w:rPr>
          <w:rFonts w:hint="eastAsia"/>
          <w:color w:val="auto"/>
          <w:szCs w:val="21"/>
          <w:u w:val="single"/>
        </w:rPr>
        <w:t>个人电子章</w:t>
      </w:r>
      <w:r>
        <w:rPr>
          <w:color w:val="auto"/>
          <w:szCs w:val="21"/>
          <w:u w:val="single"/>
        </w:rPr>
        <w:t>）</w:t>
      </w:r>
    </w:p>
    <w:p>
      <w:pPr>
        <w:spacing w:line="440" w:lineRule="exact"/>
        <w:ind w:firstLine="3675" w:firstLineChars="1750"/>
        <w:rPr>
          <w:color w:val="auto"/>
          <w:szCs w:val="21"/>
        </w:rPr>
      </w:pPr>
      <w:r>
        <w:rPr>
          <w:color w:val="auto"/>
          <w:szCs w:val="21"/>
        </w:rPr>
        <w:t>地址：</w:t>
      </w:r>
    </w:p>
    <w:p>
      <w:pPr>
        <w:spacing w:line="440" w:lineRule="exact"/>
        <w:ind w:firstLine="3675" w:firstLineChars="1750"/>
        <w:rPr>
          <w:color w:val="auto"/>
          <w:szCs w:val="21"/>
        </w:rPr>
      </w:pPr>
      <w:r>
        <w:rPr>
          <w:color w:val="auto"/>
          <w:szCs w:val="21"/>
        </w:rPr>
        <w:t>网址：</w:t>
      </w:r>
    </w:p>
    <w:p>
      <w:pPr>
        <w:spacing w:line="440" w:lineRule="exact"/>
        <w:ind w:firstLine="3675" w:firstLineChars="1750"/>
        <w:rPr>
          <w:color w:val="auto"/>
          <w:szCs w:val="21"/>
        </w:rPr>
      </w:pPr>
      <w:r>
        <w:rPr>
          <w:color w:val="auto"/>
          <w:szCs w:val="21"/>
        </w:rPr>
        <w:t>电话：</w:t>
      </w:r>
    </w:p>
    <w:p>
      <w:pPr>
        <w:spacing w:line="440" w:lineRule="exact"/>
        <w:ind w:firstLine="3675" w:firstLineChars="1750"/>
        <w:rPr>
          <w:color w:val="auto"/>
          <w:szCs w:val="21"/>
        </w:rPr>
      </w:pPr>
      <w:r>
        <w:rPr>
          <w:color w:val="auto"/>
          <w:szCs w:val="21"/>
        </w:rPr>
        <w:t>邮政编码：</w:t>
      </w:r>
    </w:p>
    <w:p>
      <w:pPr>
        <w:spacing w:line="440" w:lineRule="exact"/>
        <w:ind w:firstLine="5040" w:firstLineChars="2400"/>
        <w:rPr>
          <w:color w:val="auto"/>
          <w:szCs w:val="21"/>
        </w:rPr>
      </w:pPr>
      <w:r>
        <w:rPr>
          <w:color w:val="auto"/>
          <w:szCs w:val="21"/>
        </w:rPr>
        <w:t>年月日</w:t>
      </w:r>
    </w:p>
    <w:p>
      <w:pPr>
        <w:spacing w:line="360" w:lineRule="auto"/>
        <w:ind w:firstLine="420" w:firstLineChars="200"/>
        <w:jc w:val="center"/>
        <w:rPr>
          <w:rFonts w:ascii="宋体" w:cs="宋体"/>
          <w:b/>
          <w:bCs/>
          <w:color w:val="auto"/>
          <w:kern w:val="0"/>
          <w:sz w:val="24"/>
        </w:rPr>
      </w:pPr>
      <w:r>
        <w:rPr>
          <w:rFonts w:hint="eastAsia" w:ascii="宋体" w:cs="宋体"/>
          <w:color w:val="auto"/>
          <w:szCs w:val="21"/>
        </w:rPr>
        <w:br w:type="page"/>
      </w:r>
      <w:r>
        <w:rPr>
          <w:rFonts w:hint="eastAsia" w:ascii="宋体" w:cs="宋体"/>
          <w:b/>
          <w:bCs/>
          <w:color w:val="auto"/>
          <w:kern w:val="0"/>
          <w:sz w:val="24"/>
        </w:rPr>
        <w:t>（二）投标函附录</w:t>
      </w:r>
    </w:p>
    <w:tbl>
      <w:tblPr>
        <w:tblStyle w:val="17"/>
        <w:tblpPr w:leftFromText="180" w:rightFromText="180" w:vertAnchor="text" w:horzAnchor="margin" w:tblpXSpec="center" w:tblpY="29"/>
        <w:tblW w:w="88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873"/>
        <w:gridCol w:w="570"/>
        <w:gridCol w:w="2084"/>
        <w:gridCol w:w="1712"/>
        <w:gridCol w:w="270"/>
        <w:gridCol w:w="25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Align w:val="center"/>
          </w:tcPr>
          <w:p>
            <w:pPr>
              <w:spacing w:line="440" w:lineRule="exact"/>
              <w:jc w:val="center"/>
              <w:rPr>
                <w:b/>
                <w:color w:val="auto"/>
                <w:szCs w:val="21"/>
              </w:rPr>
            </w:pPr>
            <w:r>
              <w:rPr>
                <w:rFonts w:hint="eastAsia" w:ascii="宋体" w:hAnsi="宋体" w:cs="宋体"/>
                <w:b/>
                <w:color w:val="auto"/>
                <w:szCs w:val="21"/>
              </w:rPr>
              <w:t>序号</w:t>
            </w:r>
          </w:p>
        </w:tc>
        <w:tc>
          <w:tcPr>
            <w:tcW w:w="3527" w:type="dxa"/>
            <w:gridSpan w:val="3"/>
            <w:vAlign w:val="center"/>
          </w:tcPr>
          <w:p>
            <w:pPr>
              <w:spacing w:line="440" w:lineRule="exact"/>
              <w:jc w:val="center"/>
              <w:rPr>
                <w:b/>
                <w:color w:val="auto"/>
                <w:szCs w:val="21"/>
              </w:rPr>
            </w:pPr>
            <w:r>
              <w:rPr>
                <w:rFonts w:hint="eastAsia"/>
                <w:color w:val="auto"/>
                <w:szCs w:val="21"/>
              </w:rPr>
              <w:t>投标人</w:t>
            </w:r>
          </w:p>
        </w:tc>
        <w:tc>
          <w:tcPr>
            <w:tcW w:w="4488" w:type="dxa"/>
            <w:gridSpan w:val="3"/>
            <w:vAlign w:val="center"/>
          </w:tcPr>
          <w:p>
            <w:pPr>
              <w:spacing w:line="440" w:lineRule="exact"/>
              <w:jc w:val="center"/>
              <w:rPr>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Merge w:val="restart"/>
            <w:vAlign w:val="center"/>
          </w:tcPr>
          <w:p>
            <w:pPr>
              <w:spacing w:line="440" w:lineRule="exact"/>
              <w:jc w:val="center"/>
              <w:rPr>
                <w:color w:val="auto"/>
                <w:szCs w:val="21"/>
              </w:rPr>
            </w:pPr>
            <w:r>
              <w:rPr>
                <w:rFonts w:hint="eastAsia"/>
                <w:color w:val="auto"/>
                <w:szCs w:val="21"/>
              </w:rPr>
              <w:t>1.</w:t>
            </w:r>
          </w:p>
        </w:tc>
        <w:tc>
          <w:tcPr>
            <w:tcW w:w="3527" w:type="dxa"/>
            <w:gridSpan w:val="3"/>
            <w:vAlign w:val="center"/>
          </w:tcPr>
          <w:p>
            <w:pPr>
              <w:spacing w:line="440" w:lineRule="exact"/>
              <w:jc w:val="center"/>
              <w:rPr>
                <w:color w:val="auto"/>
                <w:szCs w:val="21"/>
              </w:rPr>
            </w:pPr>
            <w:r>
              <w:rPr>
                <w:rFonts w:hint="eastAsia"/>
                <w:color w:val="auto"/>
                <w:szCs w:val="21"/>
              </w:rPr>
              <w:t>投标总报价</w:t>
            </w:r>
          </w:p>
        </w:tc>
        <w:tc>
          <w:tcPr>
            <w:tcW w:w="4488" w:type="dxa"/>
            <w:gridSpan w:val="3"/>
            <w:vAlign w:val="center"/>
          </w:tcPr>
          <w:p>
            <w:pPr>
              <w:spacing w:line="440" w:lineRule="exact"/>
              <w:rPr>
                <w:color w:val="auto"/>
                <w:szCs w:val="21"/>
                <w:u w:val="single"/>
              </w:rPr>
            </w:pPr>
            <w:r>
              <w:rPr>
                <w:rFonts w:hint="eastAsia"/>
                <w:color w:val="auto"/>
                <w:szCs w:val="21"/>
              </w:rPr>
              <w:t>大写</w:t>
            </w:r>
            <w:r>
              <w:rPr>
                <w:color w:val="auto"/>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Merge w:val="continue"/>
            <w:vAlign w:val="center"/>
          </w:tcPr>
          <w:p>
            <w:pPr>
              <w:spacing w:line="440" w:lineRule="exact"/>
              <w:jc w:val="center"/>
              <w:rPr>
                <w:color w:val="auto"/>
                <w:szCs w:val="21"/>
              </w:rPr>
            </w:pPr>
          </w:p>
        </w:tc>
        <w:tc>
          <w:tcPr>
            <w:tcW w:w="873" w:type="dxa"/>
            <w:vMerge w:val="restart"/>
            <w:vAlign w:val="center"/>
          </w:tcPr>
          <w:p>
            <w:pPr>
              <w:spacing w:line="440" w:lineRule="exact"/>
              <w:jc w:val="center"/>
              <w:rPr>
                <w:color w:val="auto"/>
                <w:szCs w:val="21"/>
              </w:rPr>
            </w:pPr>
            <w:r>
              <w:rPr>
                <w:rFonts w:hint="eastAsia"/>
                <w:color w:val="auto"/>
                <w:szCs w:val="21"/>
              </w:rPr>
              <w:t>其中</w:t>
            </w:r>
          </w:p>
        </w:tc>
        <w:tc>
          <w:tcPr>
            <w:tcW w:w="2654" w:type="dxa"/>
            <w:gridSpan w:val="2"/>
            <w:vAlign w:val="center"/>
          </w:tcPr>
          <w:p>
            <w:pPr>
              <w:spacing w:line="440" w:lineRule="exact"/>
              <w:jc w:val="center"/>
              <w:rPr>
                <w:color w:val="auto"/>
                <w:szCs w:val="21"/>
              </w:rPr>
            </w:pPr>
            <w:r>
              <w:rPr>
                <w:rFonts w:hint="eastAsia"/>
                <w:color w:val="auto"/>
                <w:szCs w:val="21"/>
              </w:rPr>
              <w:t>措施费（含安文费）</w:t>
            </w:r>
          </w:p>
        </w:tc>
        <w:tc>
          <w:tcPr>
            <w:tcW w:w="4488" w:type="dxa"/>
            <w:gridSpan w:val="3"/>
            <w:vAlign w:val="center"/>
          </w:tcPr>
          <w:p>
            <w:pPr>
              <w:spacing w:line="440" w:lineRule="exact"/>
              <w:rPr>
                <w:color w:val="auto"/>
                <w:szCs w:val="21"/>
                <w:u w:val="single"/>
              </w:rPr>
            </w:pPr>
            <w:r>
              <w:rPr>
                <w:rFonts w:hint="eastAsia"/>
                <w:color w:val="auto"/>
                <w:szCs w:val="21"/>
              </w:rPr>
              <w:t>大写</w:t>
            </w:r>
            <w:r>
              <w:rPr>
                <w:color w:val="auto"/>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Merge w:val="continue"/>
            <w:vAlign w:val="center"/>
          </w:tcPr>
          <w:p>
            <w:pPr>
              <w:spacing w:line="440" w:lineRule="exact"/>
              <w:jc w:val="center"/>
              <w:rPr>
                <w:color w:val="auto"/>
                <w:szCs w:val="21"/>
              </w:rPr>
            </w:pPr>
          </w:p>
        </w:tc>
        <w:tc>
          <w:tcPr>
            <w:tcW w:w="873" w:type="dxa"/>
            <w:vMerge w:val="continue"/>
            <w:vAlign w:val="center"/>
          </w:tcPr>
          <w:p>
            <w:pPr>
              <w:spacing w:line="440" w:lineRule="exact"/>
              <w:jc w:val="center"/>
              <w:rPr>
                <w:color w:val="auto"/>
                <w:szCs w:val="21"/>
              </w:rPr>
            </w:pPr>
          </w:p>
        </w:tc>
        <w:tc>
          <w:tcPr>
            <w:tcW w:w="2654" w:type="dxa"/>
            <w:gridSpan w:val="2"/>
            <w:vAlign w:val="center"/>
          </w:tcPr>
          <w:p>
            <w:pPr>
              <w:spacing w:line="440" w:lineRule="exact"/>
              <w:jc w:val="center"/>
              <w:rPr>
                <w:color w:val="auto"/>
                <w:szCs w:val="21"/>
              </w:rPr>
            </w:pPr>
            <w:r>
              <w:rPr>
                <w:rFonts w:hint="eastAsia"/>
                <w:color w:val="auto"/>
                <w:szCs w:val="21"/>
              </w:rPr>
              <w:t>安全文明措施费</w:t>
            </w:r>
          </w:p>
        </w:tc>
        <w:tc>
          <w:tcPr>
            <w:tcW w:w="4488" w:type="dxa"/>
            <w:gridSpan w:val="3"/>
            <w:vAlign w:val="center"/>
          </w:tcPr>
          <w:p>
            <w:pPr>
              <w:spacing w:line="440" w:lineRule="exact"/>
              <w:rPr>
                <w:color w:val="auto"/>
                <w:szCs w:val="21"/>
              </w:rPr>
            </w:pPr>
            <w:r>
              <w:rPr>
                <w:rFonts w:hint="eastAsia"/>
                <w:color w:val="auto"/>
                <w:szCs w:val="21"/>
              </w:rPr>
              <w:t>大写</w:t>
            </w:r>
            <w:r>
              <w:rPr>
                <w:color w:val="auto"/>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Merge w:val="continue"/>
            <w:vAlign w:val="center"/>
          </w:tcPr>
          <w:p>
            <w:pPr>
              <w:spacing w:line="440" w:lineRule="exact"/>
              <w:jc w:val="center"/>
              <w:rPr>
                <w:color w:val="auto"/>
                <w:szCs w:val="21"/>
              </w:rPr>
            </w:pPr>
          </w:p>
        </w:tc>
        <w:tc>
          <w:tcPr>
            <w:tcW w:w="873" w:type="dxa"/>
            <w:vMerge w:val="continue"/>
            <w:vAlign w:val="center"/>
          </w:tcPr>
          <w:p>
            <w:pPr>
              <w:spacing w:line="440" w:lineRule="exact"/>
              <w:jc w:val="center"/>
              <w:rPr>
                <w:color w:val="auto"/>
                <w:szCs w:val="21"/>
              </w:rPr>
            </w:pPr>
          </w:p>
        </w:tc>
        <w:tc>
          <w:tcPr>
            <w:tcW w:w="2654" w:type="dxa"/>
            <w:gridSpan w:val="2"/>
            <w:vAlign w:val="center"/>
          </w:tcPr>
          <w:p>
            <w:pPr>
              <w:spacing w:line="440" w:lineRule="exact"/>
              <w:jc w:val="center"/>
              <w:rPr>
                <w:color w:val="auto"/>
                <w:szCs w:val="21"/>
              </w:rPr>
            </w:pPr>
            <w:r>
              <w:rPr>
                <w:rFonts w:hint="eastAsia"/>
                <w:color w:val="auto"/>
                <w:szCs w:val="21"/>
              </w:rPr>
              <w:t>规 费</w:t>
            </w:r>
          </w:p>
        </w:tc>
        <w:tc>
          <w:tcPr>
            <w:tcW w:w="4488" w:type="dxa"/>
            <w:gridSpan w:val="3"/>
            <w:vAlign w:val="center"/>
          </w:tcPr>
          <w:p>
            <w:pPr>
              <w:spacing w:line="440" w:lineRule="exact"/>
              <w:rPr>
                <w:color w:val="auto"/>
                <w:szCs w:val="21"/>
              </w:rPr>
            </w:pPr>
            <w:r>
              <w:rPr>
                <w:rFonts w:hint="eastAsia"/>
                <w:color w:val="auto"/>
                <w:szCs w:val="21"/>
              </w:rPr>
              <w:t>大写</w:t>
            </w:r>
            <w:r>
              <w:rPr>
                <w:color w:val="auto"/>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Merge w:val="continue"/>
            <w:vAlign w:val="center"/>
          </w:tcPr>
          <w:p>
            <w:pPr>
              <w:spacing w:line="440" w:lineRule="exact"/>
              <w:jc w:val="center"/>
              <w:rPr>
                <w:color w:val="auto"/>
                <w:szCs w:val="21"/>
              </w:rPr>
            </w:pPr>
          </w:p>
        </w:tc>
        <w:tc>
          <w:tcPr>
            <w:tcW w:w="873" w:type="dxa"/>
            <w:vMerge w:val="continue"/>
            <w:vAlign w:val="center"/>
          </w:tcPr>
          <w:p>
            <w:pPr>
              <w:spacing w:line="440" w:lineRule="exact"/>
              <w:jc w:val="center"/>
              <w:rPr>
                <w:color w:val="auto"/>
                <w:szCs w:val="21"/>
              </w:rPr>
            </w:pPr>
          </w:p>
        </w:tc>
        <w:tc>
          <w:tcPr>
            <w:tcW w:w="2654" w:type="dxa"/>
            <w:gridSpan w:val="2"/>
            <w:vAlign w:val="center"/>
          </w:tcPr>
          <w:p>
            <w:pPr>
              <w:spacing w:line="440" w:lineRule="exact"/>
              <w:jc w:val="center"/>
              <w:rPr>
                <w:color w:val="auto"/>
                <w:szCs w:val="21"/>
              </w:rPr>
            </w:pPr>
            <w:r>
              <w:rPr>
                <w:rFonts w:hint="eastAsia"/>
                <w:color w:val="auto"/>
                <w:szCs w:val="21"/>
              </w:rPr>
              <w:t>税 金</w:t>
            </w:r>
          </w:p>
        </w:tc>
        <w:tc>
          <w:tcPr>
            <w:tcW w:w="4488" w:type="dxa"/>
            <w:gridSpan w:val="3"/>
            <w:vAlign w:val="center"/>
          </w:tcPr>
          <w:p>
            <w:pPr>
              <w:spacing w:line="440" w:lineRule="exact"/>
              <w:rPr>
                <w:color w:val="auto"/>
                <w:szCs w:val="21"/>
              </w:rPr>
            </w:pPr>
            <w:r>
              <w:rPr>
                <w:rFonts w:hint="eastAsia"/>
                <w:color w:val="auto"/>
                <w:szCs w:val="21"/>
              </w:rPr>
              <w:t>大写</w:t>
            </w:r>
            <w:r>
              <w:rPr>
                <w:color w:val="auto"/>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Merge w:val="continue"/>
            <w:vAlign w:val="center"/>
          </w:tcPr>
          <w:p>
            <w:pPr>
              <w:spacing w:line="440" w:lineRule="exact"/>
              <w:jc w:val="center"/>
              <w:rPr>
                <w:color w:val="auto"/>
                <w:szCs w:val="21"/>
              </w:rPr>
            </w:pPr>
          </w:p>
        </w:tc>
        <w:tc>
          <w:tcPr>
            <w:tcW w:w="873" w:type="dxa"/>
            <w:vMerge w:val="continue"/>
            <w:vAlign w:val="center"/>
          </w:tcPr>
          <w:p>
            <w:pPr>
              <w:spacing w:line="440" w:lineRule="exact"/>
              <w:jc w:val="center"/>
              <w:rPr>
                <w:color w:val="auto"/>
                <w:szCs w:val="21"/>
              </w:rPr>
            </w:pPr>
          </w:p>
        </w:tc>
        <w:tc>
          <w:tcPr>
            <w:tcW w:w="2654" w:type="dxa"/>
            <w:gridSpan w:val="2"/>
            <w:vAlign w:val="center"/>
          </w:tcPr>
          <w:p>
            <w:pPr>
              <w:spacing w:line="440" w:lineRule="exact"/>
              <w:jc w:val="center"/>
              <w:rPr>
                <w:color w:val="auto"/>
                <w:szCs w:val="21"/>
              </w:rPr>
            </w:pPr>
            <w:r>
              <w:rPr>
                <w:rFonts w:hint="eastAsia"/>
                <w:color w:val="auto"/>
                <w:szCs w:val="21"/>
              </w:rPr>
              <w:t>暂列金额</w:t>
            </w:r>
          </w:p>
        </w:tc>
        <w:tc>
          <w:tcPr>
            <w:tcW w:w="4488" w:type="dxa"/>
            <w:gridSpan w:val="3"/>
            <w:vAlign w:val="center"/>
          </w:tcPr>
          <w:p>
            <w:pPr>
              <w:spacing w:line="440" w:lineRule="exact"/>
              <w:rPr>
                <w:color w:val="auto"/>
                <w:szCs w:val="21"/>
              </w:rPr>
            </w:pPr>
            <w:r>
              <w:rPr>
                <w:rFonts w:hint="eastAsia"/>
                <w:color w:val="auto"/>
                <w:szCs w:val="21"/>
              </w:rPr>
              <w:t>大写</w:t>
            </w:r>
            <w:r>
              <w:rPr>
                <w:color w:val="auto"/>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Merge w:val="continue"/>
            <w:vAlign w:val="center"/>
          </w:tcPr>
          <w:p>
            <w:pPr>
              <w:spacing w:line="440" w:lineRule="exact"/>
              <w:jc w:val="center"/>
              <w:rPr>
                <w:color w:val="auto"/>
                <w:szCs w:val="21"/>
              </w:rPr>
            </w:pPr>
          </w:p>
        </w:tc>
        <w:tc>
          <w:tcPr>
            <w:tcW w:w="873" w:type="dxa"/>
            <w:vMerge w:val="continue"/>
            <w:vAlign w:val="center"/>
          </w:tcPr>
          <w:p>
            <w:pPr>
              <w:spacing w:line="440" w:lineRule="exact"/>
              <w:jc w:val="center"/>
              <w:rPr>
                <w:color w:val="auto"/>
                <w:szCs w:val="21"/>
              </w:rPr>
            </w:pPr>
          </w:p>
        </w:tc>
        <w:tc>
          <w:tcPr>
            <w:tcW w:w="2654" w:type="dxa"/>
            <w:gridSpan w:val="2"/>
            <w:vAlign w:val="center"/>
          </w:tcPr>
          <w:p>
            <w:pPr>
              <w:spacing w:line="440" w:lineRule="exact"/>
              <w:jc w:val="center"/>
              <w:rPr>
                <w:color w:val="auto"/>
                <w:szCs w:val="21"/>
              </w:rPr>
            </w:pPr>
            <w:r>
              <w:rPr>
                <w:rFonts w:hint="eastAsia"/>
                <w:color w:val="auto"/>
                <w:szCs w:val="21"/>
              </w:rPr>
              <w:t>专业暂估价</w:t>
            </w:r>
          </w:p>
        </w:tc>
        <w:tc>
          <w:tcPr>
            <w:tcW w:w="4488" w:type="dxa"/>
            <w:gridSpan w:val="3"/>
            <w:vAlign w:val="center"/>
          </w:tcPr>
          <w:p>
            <w:pPr>
              <w:spacing w:line="440" w:lineRule="exact"/>
              <w:rPr>
                <w:color w:val="auto"/>
                <w:szCs w:val="21"/>
              </w:rPr>
            </w:pPr>
            <w:r>
              <w:rPr>
                <w:rFonts w:hint="eastAsia"/>
                <w:color w:val="auto"/>
                <w:szCs w:val="21"/>
              </w:rPr>
              <w:t>大写</w:t>
            </w:r>
            <w:r>
              <w:rPr>
                <w:color w:val="auto"/>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Align w:val="center"/>
          </w:tcPr>
          <w:p>
            <w:pPr>
              <w:spacing w:line="440" w:lineRule="exact"/>
              <w:jc w:val="center"/>
              <w:rPr>
                <w:color w:val="auto"/>
                <w:szCs w:val="21"/>
              </w:rPr>
            </w:pPr>
            <w:r>
              <w:rPr>
                <w:rFonts w:hint="eastAsia"/>
                <w:color w:val="auto"/>
                <w:szCs w:val="21"/>
              </w:rPr>
              <w:t>2</w:t>
            </w:r>
          </w:p>
        </w:tc>
        <w:tc>
          <w:tcPr>
            <w:tcW w:w="3527" w:type="dxa"/>
            <w:gridSpan w:val="3"/>
            <w:vAlign w:val="center"/>
          </w:tcPr>
          <w:p>
            <w:pPr>
              <w:spacing w:line="440" w:lineRule="exact"/>
              <w:rPr>
                <w:color w:val="auto"/>
                <w:szCs w:val="21"/>
              </w:rPr>
            </w:pPr>
            <w:r>
              <w:rPr>
                <w:rFonts w:hint="eastAsia"/>
                <w:color w:val="auto"/>
                <w:szCs w:val="21"/>
              </w:rPr>
              <w:t>评标报价（不含不可竞争费用）</w:t>
            </w:r>
          </w:p>
        </w:tc>
        <w:tc>
          <w:tcPr>
            <w:tcW w:w="4488" w:type="dxa"/>
            <w:gridSpan w:val="3"/>
            <w:vAlign w:val="center"/>
          </w:tcPr>
          <w:p>
            <w:pPr>
              <w:spacing w:line="440" w:lineRule="exact"/>
              <w:rPr>
                <w:color w:val="auto"/>
                <w:szCs w:val="21"/>
                <w:u w:val="single"/>
              </w:rPr>
            </w:pPr>
            <w:r>
              <w:rPr>
                <w:rFonts w:hint="eastAsia"/>
                <w:color w:val="auto"/>
                <w:szCs w:val="21"/>
              </w:rPr>
              <w:t>大写</w:t>
            </w:r>
            <w:r>
              <w:rPr>
                <w:color w:val="auto"/>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825" w:type="dxa"/>
            <w:vAlign w:val="center"/>
          </w:tcPr>
          <w:p>
            <w:pPr>
              <w:spacing w:line="440" w:lineRule="exact"/>
              <w:jc w:val="center"/>
              <w:rPr>
                <w:color w:val="auto"/>
                <w:szCs w:val="21"/>
              </w:rPr>
            </w:pPr>
            <w:r>
              <w:rPr>
                <w:rFonts w:hint="eastAsia"/>
                <w:color w:val="auto"/>
                <w:szCs w:val="21"/>
              </w:rPr>
              <w:t>3</w:t>
            </w:r>
          </w:p>
        </w:tc>
        <w:tc>
          <w:tcPr>
            <w:tcW w:w="3527" w:type="dxa"/>
            <w:gridSpan w:val="3"/>
            <w:vAlign w:val="center"/>
          </w:tcPr>
          <w:p>
            <w:pPr>
              <w:spacing w:line="440" w:lineRule="exact"/>
              <w:rPr>
                <w:rFonts w:hint="eastAsia" w:eastAsia="宋体"/>
                <w:color w:val="auto"/>
                <w:lang w:eastAsia="zh-CN"/>
              </w:rPr>
            </w:pPr>
            <w:r>
              <w:rPr>
                <w:rFonts w:hint="eastAsia"/>
                <w:color w:val="auto"/>
              </w:rPr>
              <w:t>变更签证浮动率</w:t>
            </w:r>
            <w:r>
              <w:rPr>
                <w:rFonts w:hint="eastAsia"/>
                <w:color w:val="auto"/>
                <w:lang w:eastAsia="zh-CN"/>
              </w:rPr>
              <w:t>（</w:t>
            </w:r>
            <w:r>
              <w:rPr>
                <w:rFonts w:hint="eastAsia"/>
                <w:color w:val="auto"/>
                <w:lang w:val="en-US" w:eastAsia="zh-CN"/>
              </w:rPr>
              <w:t>%</w:t>
            </w:r>
            <w:r>
              <w:rPr>
                <w:rFonts w:hint="eastAsia"/>
                <w:color w:val="auto"/>
                <w:lang w:eastAsia="zh-CN"/>
              </w:rPr>
              <w:t>）</w:t>
            </w:r>
          </w:p>
        </w:tc>
        <w:tc>
          <w:tcPr>
            <w:tcW w:w="4488" w:type="dxa"/>
            <w:gridSpan w:val="3"/>
            <w:vAlign w:val="center"/>
          </w:tcPr>
          <w:p>
            <w:pPr>
              <w:spacing w:line="440" w:lineRule="exact"/>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825" w:type="dxa"/>
            <w:vAlign w:val="center"/>
          </w:tcPr>
          <w:p>
            <w:pPr>
              <w:spacing w:line="440" w:lineRule="exact"/>
              <w:jc w:val="center"/>
              <w:rPr>
                <w:color w:val="auto"/>
                <w:szCs w:val="21"/>
              </w:rPr>
            </w:pPr>
            <w:r>
              <w:rPr>
                <w:rFonts w:hint="eastAsia"/>
                <w:color w:val="auto"/>
                <w:szCs w:val="21"/>
              </w:rPr>
              <w:t>4</w:t>
            </w:r>
          </w:p>
        </w:tc>
        <w:tc>
          <w:tcPr>
            <w:tcW w:w="3527" w:type="dxa"/>
            <w:gridSpan w:val="3"/>
            <w:vAlign w:val="center"/>
          </w:tcPr>
          <w:p>
            <w:pPr>
              <w:spacing w:line="440" w:lineRule="exact"/>
              <w:rPr>
                <w:color w:val="auto"/>
              </w:rPr>
            </w:pPr>
            <w:r>
              <w:rPr>
                <w:rFonts w:hint="eastAsia"/>
                <w:color w:val="auto"/>
                <w:szCs w:val="21"/>
              </w:rPr>
              <w:t xml:space="preserve">措施费（不含安全文明措施费）  </w:t>
            </w:r>
          </w:p>
        </w:tc>
        <w:tc>
          <w:tcPr>
            <w:tcW w:w="4488" w:type="dxa"/>
            <w:gridSpan w:val="3"/>
            <w:vAlign w:val="center"/>
          </w:tcPr>
          <w:p>
            <w:pPr>
              <w:spacing w:line="440" w:lineRule="exact"/>
              <w:jc w:val="left"/>
              <w:rPr>
                <w:color w:val="auto"/>
                <w:szCs w:val="21"/>
              </w:rPr>
            </w:pPr>
            <w:r>
              <w:rPr>
                <w:rFonts w:hint="eastAsia"/>
                <w:color w:val="auto"/>
                <w:szCs w:val="21"/>
              </w:rPr>
              <w:t>大写</w:t>
            </w:r>
            <w:r>
              <w:rPr>
                <w:color w:val="auto"/>
                <w:szCs w:val="21"/>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Align w:val="center"/>
          </w:tcPr>
          <w:p>
            <w:pPr>
              <w:spacing w:line="440" w:lineRule="exact"/>
              <w:jc w:val="center"/>
              <w:rPr>
                <w:color w:val="auto"/>
                <w:szCs w:val="21"/>
              </w:rPr>
            </w:pPr>
            <w:r>
              <w:rPr>
                <w:rFonts w:hint="eastAsia"/>
                <w:color w:val="auto"/>
                <w:szCs w:val="21"/>
              </w:rPr>
              <w:t>5</w:t>
            </w:r>
          </w:p>
        </w:tc>
        <w:tc>
          <w:tcPr>
            <w:tcW w:w="1443" w:type="dxa"/>
            <w:gridSpan w:val="2"/>
            <w:vAlign w:val="center"/>
          </w:tcPr>
          <w:p>
            <w:pPr>
              <w:spacing w:line="440" w:lineRule="exact"/>
              <w:jc w:val="center"/>
              <w:rPr>
                <w:color w:val="auto"/>
                <w:szCs w:val="21"/>
              </w:rPr>
            </w:pPr>
            <w:r>
              <w:rPr>
                <w:rFonts w:hint="eastAsia"/>
                <w:color w:val="auto"/>
                <w:szCs w:val="21"/>
              </w:rPr>
              <w:t>项目经理</w:t>
            </w:r>
          </w:p>
        </w:tc>
        <w:tc>
          <w:tcPr>
            <w:tcW w:w="2084" w:type="dxa"/>
            <w:vAlign w:val="center"/>
          </w:tcPr>
          <w:p>
            <w:pPr>
              <w:spacing w:line="440" w:lineRule="exact"/>
              <w:jc w:val="center"/>
              <w:rPr>
                <w:color w:val="auto"/>
                <w:szCs w:val="21"/>
              </w:rPr>
            </w:pPr>
          </w:p>
        </w:tc>
        <w:tc>
          <w:tcPr>
            <w:tcW w:w="1982" w:type="dxa"/>
            <w:gridSpan w:val="2"/>
            <w:vAlign w:val="center"/>
          </w:tcPr>
          <w:p>
            <w:pPr>
              <w:spacing w:line="440" w:lineRule="exact"/>
              <w:jc w:val="left"/>
              <w:rPr>
                <w:color w:val="auto"/>
                <w:szCs w:val="21"/>
              </w:rPr>
            </w:pPr>
            <w:r>
              <w:rPr>
                <w:rFonts w:hint="eastAsia"/>
                <w:color w:val="auto"/>
                <w:szCs w:val="21"/>
              </w:rPr>
              <w:t>级别：</w:t>
            </w:r>
          </w:p>
        </w:tc>
        <w:tc>
          <w:tcPr>
            <w:tcW w:w="2506" w:type="dxa"/>
            <w:vAlign w:val="center"/>
          </w:tcPr>
          <w:p>
            <w:pPr>
              <w:spacing w:line="440" w:lineRule="exact"/>
              <w:jc w:val="left"/>
              <w:rPr>
                <w:color w:val="auto"/>
                <w:szCs w:val="21"/>
              </w:rPr>
            </w:pPr>
            <w:r>
              <w:rPr>
                <w:rFonts w:hint="eastAsia"/>
                <w:color w:val="auto"/>
                <w:szCs w:val="21"/>
              </w:rPr>
              <w:t>注册编号：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Align w:val="center"/>
          </w:tcPr>
          <w:p>
            <w:pPr>
              <w:spacing w:line="440" w:lineRule="exact"/>
              <w:jc w:val="center"/>
              <w:rPr>
                <w:color w:val="auto"/>
                <w:szCs w:val="21"/>
              </w:rPr>
            </w:pPr>
            <w:r>
              <w:rPr>
                <w:rFonts w:hint="eastAsia"/>
                <w:color w:val="auto"/>
                <w:szCs w:val="21"/>
              </w:rPr>
              <w:t>6</w:t>
            </w:r>
          </w:p>
        </w:tc>
        <w:tc>
          <w:tcPr>
            <w:tcW w:w="1443" w:type="dxa"/>
            <w:gridSpan w:val="2"/>
            <w:vAlign w:val="center"/>
          </w:tcPr>
          <w:p>
            <w:pPr>
              <w:spacing w:line="440" w:lineRule="exact"/>
              <w:jc w:val="center"/>
              <w:rPr>
                <w:color w:val="auto"/>
                <w:szCs w:val="21"/>
              </w:rPr>
            </w:pPr>
            <w:r>
              <w:rPr>
                <w:rFonts w:hint="eastAsia"/>
                <w:color w:val="auto"/>
                <w:szCs w:val="21"/>
              </w:rPr>
              <w:t>技术负责人</w:t>
            </w:r>
          </w:p>
        </w:tc>
        <w:tc>
          <w:tcPr>
            <w:tcW w:w="2084" w:type="dxa"/>
            <w:vAlign w:val="center"/>
          </w:tcPr>
          <w:p>
            <w:pPr>
              <w:spacing w:line="440" w:lineRule="exact"/>
              <w:jc w:val="center"/>
              <w:rPr>
                <w:color w:val="auto"/>
                <w:szCs w:val="21"/>
              </w:rPr>
            </w:pPr>
          </w:p>
        </w:tc>
        <w:tc>
          <w:tcPr>
            <w:tcW w:w="1982" w:type="dxa"/>
            <w:gridSpan w:val="2"/>
            <w:vAlign w:val="center"/>
          </w:tcPr>
          <w:p>
            <w:pPr>
              <w:spacing w:line="440" w:lineRule="exact"/>
              <w:jc w:val="left"/>
              <w:rPr>
                <w:color w:val="auto"/>
                <w:szCs w:val="21"/>
              </w:rPr>
            </w:pPr>
            <w:r>
              <w:rPr>
                <w:rFonts w:hint="eastAsia"/>
                <w:color w:val="auto"/>
                <w:szCs w:val="21"/>
                <w:lang w:eastAsia="zh-CN"/>
              </w:rPr>
              <w:t>职称</w:t>
            </w:r>
            <w:r>
              <w:rPr>
                <w:rFonts w:hint="eastAsia"/>
                <w:color w:val="auto"/>
                <w:szCs w:val="21"/>
              </w:rPr>
              <w:t>：</w:t>
            </w:r>
          </w:p>
        </w:tc>
        <w:tc>
          <w:tcPr>
            <w:tcW w:w="2506" w:type="dxa"/>
            <w:vAlign w:val="center"/>
          </w:tcPr>
          <w:p>
            <w:pPr>
              <w:spacing w:line="440" w:lineRule="exact"/>
              <w:jc w:val="left"/>
              <w:rPr>
                <w:color w:val="auto"/>
                <w:szCs w:val="21"/>
              </w:rPr>
            </w:pPr>
            <w:r>
              <w:rPr>
                <w:rFonts w:hint="eastAsia"/>
                <w:color w:val="auto"/>
                <w:szCs w:val="21"/>
              </w:rPr>
              <w:t>证书编号：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Align w:val="center"/>
          </w:tcPr>
          <w:p>
            <w:pPr>
              <w:spacing w:line="440" w:lineRule="exact"/>
              <w:jc w:val="center"/>
              <w:rPr>
                <w:color w:val="auto"/>
                <w:szCs w:val="21"/>
              </w:rPr>
            </w:pPr>
            <w:r>
              <w:rPr>
                <w:rFonts w:hint="eastAsia"/>
                <w:color w:val="auto"/>
                <w:szCs w:val="21"/>
              </w:rPr>
              <w:t>6</w:t>
            </w:r>
          </w:p>
        </w:tc>
        <w:tc>
          <w:tcPr>
            <w:tcW w:w="3527" w:type="dxa"/>
            <w:gridSpan w:val="3"/>
            <w:vAlign w:val="center"/>
          </w:tcPr>
          <w:p>
            <w:pPr>
              <w:spacing w:line="440" w:lineRule="exact"/>
              <w:jc w:val="center"/>
              <w:rPr>
                <w:rFonts w:hint="eastAsia" w:eastAsia="宋体"/>
                <w:color w:val="auto"/>
                <w:szCs w:val="21"/>
                <w:lang w:eastAsia="zh-CN"/>
              </w:rPr>
            </w:pPr>
            <w:r>
              <w:rPr>
                <w:rFonts w:hint="eastAsia"/>
                <w:color w:val="auto"/>
                <w:szCs w:val="21"/>
                <w:lang w:eastAsia="zh-CN"/>
              </w:rPr>
              <w:t>工期</w:t>
            </w:r>
          </w:p>
        </w:tc>
        <w:tc>
          <w:tcPr>
            <w:tcW w:w="4488" w:type="dxa"/>
            <w:gridSpan w:val="3"/>
            <w:vAlign w:val="center"/>
          </w:tcPr>
          <w:p>
            <w:pPr>
              <w:spacing w:line="440" w:lineRule="exact"/>
              <w:ind w:firstLine="1260" w:firstLineChars="600"/>
              <w:jc w:val="left"/>
              <w:rPr>
                <w:color w:val="auto"/>
                <w:szCs w:val="21"/>
              </w:rPr>
            </w:pPr>
            <w:r>
              <w:rPr>
                <w:rFonts w:hint="eastAsia"/>
                <w:color w:val="auto"/>
                <w:szCs w:val="21"/>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Align w:val="center"/>
          </w:tcPr>
          <w:p>
            <w:pPr>
              <w:spacing w:line="440" w:lineRule="exact"/>
              <w:jc w:val="center"/>
              <w:rPr>
                <w:color w:val="auto"/>
                <w:szCs w:val="21"/>
              </w:rPr>
            </w:pPr>
            <w:r>
              <w:rPr>
                <w:rFonts w:hint="eastAsia"/>
                <w:color w:val="auto"/>
                <w:szCs w:val="21"/>
              </w:rPr>
              <w:t>7</w:t>
            </w:r>
          </w:p>
        </w:tc>
        <w:tc>
          <w:tcPr>
            <w:tcW w:w="3527" w:type="dxa"/>
            <w:gridSpan w:val="3"/>
            <w:vAlign w:val="center"/>
          </w:tcPr>
          <w:p>
            <w:pPr>
              <w:spacing w:line="440" w:lineRule="exact"/>
              <w:jc w:val="center"/>
              <w:rPr>
                <w:color w:val="auto"/>
                <w:szCs w:val="21"/>
              </w:rPr>
            </w:pPr>
            <w:r>
              <w:rPr>
                <w:rFonts w:hint="eastAsia"/>
                <w:color w:val="auto"/>
                <w:szCs w:val="21"/>
              </w:rPr>
              <w:t>质量标准</w:t>
            </w:r>
          </w:p>
        </w:tc>
        <w:tc>
          <w:tcPr>
            <w:tcW w:w="4488" w:type="dxa"/>
            <w:gridSpan w:val="3"/>
            <w:vAlign w:val="center"/>
          </w:tcPr>
          <w:p>
            <w:pPr>
              <w:spacing w:line="440" w:lineRule="exact"/>
              <w:jc w:val="left"/>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698" w:type="dxa"/>
            <w:gridSpan w:val="2"/>
            <w:vMerge w:val="restart"/>
            <w:vAlign w:val="center"/>
          </w:tcPr>
          <w:p>
            <w:pPr>
              <w:spacing w:line="440" w:lineRule="exact"/>
              <w:jc w:val="center"/>
              <w:rPr>
                <w:color w:val="auto"/>
                <w:szCs w:val="21"/>
              </w:rPr>
            </w:pPr>
            <w:r>
              <w:rPr>
                <w:rFonts w:hint="eastAsia"/>
                <w:color w:val="auto"/>
                <w:szCs w:val="21"/>
              </w:rPr>
              <w:t>农民工工资保障金承诺</w:t>
            </w:r>
          </w:p>
        </w:tc>
        <w:tc>
          <w:tcPr>
            <w:tcW w:w="4366" w:type="dxa"/>
            <w:gridSpan w:val="3"/>
            <w:vAlign w:val="center"/>
          </w:tcPr>
          <w:p>
            <w:pPr>
              <w:spacing w:line="440" w:lineRule="exact"/>
              <w:ind w:firstLine="840" w:firstLineChars="400"/>
              <w:jc w:val="left"/>
              <w:rPr>
                <w:color w:val="auto"/>
                <w:szCs w:val="21"/>
              </w:rPr>
            </w:pPr>
            <w:r>
              <w:rPr>
                <w:rFonts w:hint="eastAsia"/>
                <w:color w:val="auto"/>
                <w:szCs w:val="21"/>
              </w:rPr>
              <w:t>约定</w:t>
            </w:r>
          </w:p>
        </w:tc>
        <w:tc>
          <w:tcPr>
            <w:tcW w:w="2776" w:type="dxa"/>
            <w:gridSpan w:val="2"/>
            <w:vAlign w:val="center"/>
          </w:tcPr>
          <w:p>
            <w:pPr>
              <w:spacing w:line="440" w:lineRule="exact"/>
              <w:ind w:firstLine="840" w:firstLineChars="400"/>
              <w:jc w:val="left"/>
              <w:rPr>
                <w:color w:val="auto"/>
                <w:szCs w:val="21"/>
              </w:rPr>
            </w:pPr>
            <w:r>
              <w:rPr>
                <w:rFonts w:hint="eastAsia"/>
                <w:color w:val="auto"/>
                <w:szCs w:val="21"/>
              </w:rPr>
              <w:t>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1698" w:type="dxa"/>
            <w:gridSpan w:val="2"/>
            <w:vMerge w:val="continue"/>
            <w:vAlign w:val="center"/>
          </w:tcPr>
          <w:p>
            <w:pPr>
              <w:spacing w:line="440" w:lineRule="exact"/>
              <w:jc w:val="center"/>
              <w:rPr>
                <w:color w:val="auto"/>
                <w:szCs w:val="21"/>
              </w:rPr>
            </w:pPr>
          </w:p>
        </w:tc>
        <w:tc>
          <w:tcPr>
            <w:tcW w:w="4366" w:type="dxa"/>
            <w:gridSpan w:val="3"/>
            <w:vAlign w:val="center"/>
          </w:tcPr>
          <w:p>
            <w:pPr>
              <w:spacing w:line="360" w:lineRule="auto"/>
              <w:jc w:val="left"/>
              <w:rPr>
                <w:color w:val="auto"/>
                <w:szCs w:val="21"/>
              </w:rPr>
            </w:pPr>
            <w:r>
              <w:rPr>
                <w:rFonts w:hint="eastAsia"/>
                <w:color w:val="auto"/>
                <w:szCs w:val="21"/>
              </w:rPr>
              <w:t>1. 以 往 所 承 建 工 程 项 目中，是否存在工资的克扣或拖欠情况；</w:t>
            </w:r>
          </w:p>
        </w:tc>
        <w:tc>
          <w:tcPr>
            <w:tcW w:w="2776" w:type="dxa"/>
            <w:gridSpan w:val="2"/>
            <w:vAlign w:val="center"/>
          </w:tcPr>
          <w:p>
            <w:pPr>
              <w:spacing w:line="360"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698" w:type="dxa"/>
            <w:gridSpan w:val="2"/>
            <w:vMerge w:val="continue"/>
            <w:vAlign w:val="center"/>
          </w:tcPr>
          <w:p>
            <w:pPr>
              <w:spacing w:line="440" w:lineRule="exact"/>
              <w:jc w:val="center"/>
              <w:rPr>
                <w:color w:val="auto"/>
                <w:szCs w:val="21"/>
              </w:rPr>
            </w:pPr>
          </w:p>
        </w:tc>
        <w:tc>
          <w:tcPr>
            <w:tcW w:w="4366" w:type="dxa"/>
            <w:gridSpan w:val="3"/>
            <w:vAlign w:val="center"/>
          </w:tcPr>
          <w:p>
            <w:pPr>
              <w:spacing w:line="440" w:lineRule="exact"/>
              <w:jc w:val="left"/>
              <w:rPr>
                <w:color w:val="auto"/>
                <w:szCs w:val="21"/>
              </w:rPr>
            </w:pPr>
            <w:r>
              <w:rPr>
                <w:rFonts w:hint="eastAsia"/>
                <w:color w:val="auto"/>
                <w:szCs w:val="21"/>
              </w:rPr>
              <w:t>2、建筑业企业在竞标时必须在标书中承诺中标后能够及时、足额存入农民工工资保障金。</w:t>
            </w:r>
          </w:p>
        </w:tc>
        <w:tc>
          <w:tcPr>
            <w:tcW w:w="2776" w:type="dxa"/>
            <w:gridSpan w:val="2"/>
            <w:vAlign w:val="center"/>
          </w:tcPr>
          <w:p>
            <w:pPr>
              <w:spacing w:line="440" w:lineRule="exact"/>
              <w:jc w:val="left"/>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698" w:type="dxa"/>
            <w:gridSpan w:val="2"/>
            <w:vMerge w:val="continue"/>
            <w:vAlign w:val="center"/>
          </w:tcPr>
          <w:p>
            <w:pPr>
              <w:spacing w:line="440" w:lineRule="exact"/>
              <w:jc w:val="center"/>
              <w:rPr>
                <w:color w:val="auto"/>
                <w:szCs w:val="21"/>
              </w:rPr>
            </w:pPr>
          </w:p>
        </w:tc>
        <w:tc>
          <w:tcPr>
            <w:tcW w:w="4366" w:type="dxa"/>
            <w:gridSpan w:val="3"/>
            <w:vAlign w:val="center"/>
          </w:tcPr>
          <w:p>
            <w:pPr>
              <w:spacing w:line="440" w:lineRule="exact"/>
              <w:jc w:val="left"/>
              <w:rPr>
                <w:color w:val="auto"/>
                <w:szCs w:val="21"/>
              </w:rPr>
            </w:pPr>
            <w:r>
              <w:rPr>
                <w:rFonts w:hint="eastAsia"/>
                <w:color w:val="auto"/>
                <w:szCs w:val="21"/>
              </w:rPr>
              <w:t>3.其承包的工程项目一旦出现拖欠农民工工资，是否可由建设行政主管部门从工资保障金中先予划支；</w:t>
            </w:r>
          </w:p>
        </w:tc>
        <w:tc>
          <w:tcPr>
            <w:tcW w:w="2776" w:type="dxa"/>
            <w:gridSpan w:val="2"/>
            <w:vAlign w:val="center"/>
          </w:tcPr>
          <w:p>
            <w:pPr>
              <w:spacing w:line="440" w:lineRule="exact"/>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1698" w:type="dxa"/>
            <w:gridSpan w:val="2"/>
            <w:vMerge w:val="continue"/>
            <w:vAlign w:val="center"/>
          </w:tcPr>
          <w:p>
            <w:pPr>
              <w:spacing w:line="440" w:lineRule="exact"/>
              <w:jc w:val="center"/>
              <w:rPr>
                <w:color w:val="auto"/>
                <w:szCs w:val="21"/>
              </w:rPr>
            </w:pPr>
          </w:p>
        </w:tc>
        <w:tc>
          <w:tcPr>
            <w:tcW w:w="7142" w:type="dxa"/>
            <w:gridSpan w:val="5"/>
            <w:vAlign w:val="center"/>
          </w:tcPr>
          <w:p>
            <w:pPr>
              <w:spacing w:line="440" w:lineRule="exact"/>
              <w:jc w:val="left"/>
              <w:rPr>
                <w:color w:val="auto"/>
                <w:szCs w:val="21"/>
              </w:rPr>
            </w:pPr>
            <w:r>
              <w:rPr>
                <w:rFonts w:hint="eastAsia"/>
                <w:color w:val="auto"/>
                <w:szCs w:val="21"/>
              </w:rPr>
              <w:t>投标人提交的投标文件不承诺的，对其实行“一票否决”。</w:t>
            </w:r>
          </w:p>
        </w:tc>
      </w:tr>
    </w:tbl>
    <w:p>
      <w:pPr>
        <w:spacing w:line="360" w:lineRule="auto"/>
        <w:ind w:firstLine="420" w:firstLineChars="200"/>
        <w:jc w:val="right"/>
        <w:rPr>
          <w:rFonts w:ascii="宋体" w:cs="宋体"/>
          <w:color w:val="auto"/>
          <w:szCs w:val="21"/>
        </w:rPr>
      </w:pPr>
      <w:r>
        <w:rPr>
          <w:rFonts w:hint="eastAsia" w:ascii="宋体" w:cs="宋体"/>
          <w:color w:val="auto"/>
          <w:szCs w:val="21"/>
        </w:rPr>
        <w:t>投 标 人：</w:t>
      </w:r>
      <w:r>
        <w:rPr>
          <w:rFonts w:hint="eastAsia" w:ascii="宋体" w:cs="宋体"/>
          <w:color w:val="auto"/>
          <w:szCs w:val="21"/>
          <w:u w:val="single"/>
        </w:rPr>
        <w:t xml:space="preserve">                             （</w:t>
      </w:r>
      <w:r>
        <w:rPr>
          <w:rFonts w:hint="eastAsia"/>
          <w:color w:val="auto"/>
          <w:szCs w:val="21"/>
          <w:u w:val="single"/>
        </w:rPr>
        <w:t>企业电子章</w:t>
      </w:r>
      <w:r>
        <w:rPr>
          <w:rFonts w:hint="eastAsia" w:ascii="宋体" w:cs="宋体"/>
          <w:color w:val="auto"/>
          <w:szCs w:val="21"/>
          <w:u w:val="single"/>
        </w:rPr>
        <w:t>）</w:t>
      </w:r>
    </w:p>
    <w:p>
      <w:pPr>
        <w:spacing w:line="360" w:lineRule="auto"/>
        <w:ind w:firstLine="420" w:firstLineChars="200"/>
        <w:jc w:val="right"/>
        <w:rPr>
          <w:rFonts w:ascii="宋体" w:cs="宋体"/>
          <w:color w:val="auto"/>
          <w:szCs w:val="21"/>
        </w:rPr>
      </w:pPr>
      <w:r>
        <w:rPr>
          <w:rFonts w:hint="eastAsia" w:ascii="宋体" w:cs="宋体"/>
          <w:color w:val="auto"/>
          <w:szCs w:val="21"/>
        </w:rPr>
        <w:t>法定代表人或其委托代理人：</w:t>
      </w:r>
      <w:r>
        <w:rPr>
          <w:rFonts w:hint="eastAsia" w:ascii="宋体" w:cs="宋体"/>
          <w:color w:val="auto"/>
          <w:szCs w:val="21"/>
          <w:u w:val="single"/>
        </w:rPr>
        <w:t xml:space="preserve">                   （签字或盖章）</w:t>
      </w:r>
    </w:p>
    <w:p>
      <w:pPr>
        <w:spacing w:line="360" w:lineRule="auto"/>
        <w:ind w:firstLine="420" w:firstLineChars="200"/>
        <w:jc w:val="right"/>
        <w:rPr>
          <w:rFonts w:ascii="宋体" w:cs="宋体"/>
          <w:color w:val="auto"/>
          <w:kern w:val="0"/>
          <w:sz w:val="28"/>
          <w:szCs w:val="28"/>
        </w:rPr>
      </w:pPr>
      <w:r>
        <w:rPr>
          <w:rFonts w:hint="eastAsia" w:ascii="宋体" w:cs="宋体"/>
          <w:color w:val="auto"/>
          <w:szCs w:val="21"/>
        </w:rPr>
        <w:t xml:space="preserve">        年        月        日</w:t>
      </w:r>
    </w:p>
    <w:p>
      <w:pPr>
        <w:pStyle w:val="6"/>
        <w:jc w:val="center"/>
        <w:rPr>
          <w:rFonts w:ascii="宋体" w:cs="宋体"/>
          <w:color w:val="auto"/>
          <w:kern w:val="0"/>
          <w:sz w:val="28"/>
          <w:szCs w:val="28"/>
        </w:rPr>
      </w:pPr>
      <w:bookmarkStart w:id="522" w:name="_Toc12563"/>
      <w:bookmarkStart w:id="523" w:name="_Toc3428"/>
      <w:bookmarkStart w:id="524" w:name="_Toc16379"/>
      <w:bookmarkStart w:id="525" w:name="_Toc31782"/>
      <w:bookmarkStart w:id="526" w:name="_Toc18416"/>
      <w:bookmarkStart w:id="527" w:name="_Toc23912"/>
      <w:r>
        <w:rPr>
          <w:rFonts w:hint="eastAsia" w:ascii="宋体" w:cs="宋体"/>
          <w:color w:val="auto"/>
          <w:kern w:val="0"/>
          <w:sz w:val="28"/>
          <w:szCs w:val="28"/>
        </w:rPr>
        <w:t>二、法定代表人身份证明</w:t>
      </w:r>
      <w:bookmarkEnd w:id="522"/>
      <w:bookmarkEnd w:id="523"/>
      <w:bookmarkEnd w:id="524"/>
      <w:bookmarkEnd w:id="525"/>
      <w:bookmarkEnd w:id="526"/>
      <w:bookmarkEnd w:id="527"/>
    </w:p>
    <w:p>
      <w:pPr>
        <w:autoSpaceDE w:val="0"/>
        <w:autoSpaceDN w:val="0"/>
        <w:adjustRightInd w:val="0"/>
        <w:spacing w:line="420" w:lineRule="exact"/>
        <w:jc w:val="center"/>
        <w:rPr>
          <w:rFonts w:ascii="宋体" w:cs="宋体"/>
          <w:color w:val="auto"/>
          <w:kern w:val="0"/>
          <w:sz w:val="28"/>
          <w:szCs w:val="28"/>
        </w:rPr>
      </w:pPr>
    </w:p>
    <w:p>
      <w:pPr>
        <w:spacing w:line="360" w:lineRule="auto"/>
        <w:ind w:firstLine="420" w:firstLineChars="200"/>
        <w:rPr>
          <w:rFonts w:ascii="宋体" w:cs="宋体"/>
          <w:color w:val="auto"/>
          <w:szCs w:val="21"/>
        </w:rPr>
      </w:pPr>
    </w:p>
    <w:p>
      <w:pPr>
        <w:spacing w:line="360" w:lineRule="auto"/>
        <w:ind w:firstLine="420" w:firstLineChars="200"/>
        <w:rPr>
          <w:rFonts w:ascii="宋体" w:cs="宋体"/>
          <w:color w:val="auto"/>
          <w:szCs w:val="21"/>
        </w:rPr>
      </w:pPr>
      <w:r>
        <w:rPr>
          <w:rFonts w:hint="eastAsia" w:ascii="宋体" w:cs="宋体"/>
          <w:color w:val="auto"/>
          <w:szCs w:val="21"/>
        </w:rPr>
        <w:t>投标人名称：</w:t>
      </w:r>
    </w:p>
    <w:p>
      <w:pPr>
        <w:spacing w:line="360" w:lineRule="auto"/>
        <w:ind w:firstLine="420" w:firstLineChars="200"/>
        <w:rPr>
          <w:rFonts w:ascii="宋体" w:cs="宋体"/>
          <w:color w:val="auto"/>
          <w:szCs w:val="21"/>
        </w:rPr>
      </w:pPr>
      <w:r>
        <w:rPr>
          <w:rFonts w:hint="eastAsia" w:ascii="宋体" w:cs="宋体"/>
          <w:color w:val="auto"/>
          <w:szCs w:val="21"/>
        </w:rPr>
        <w:t>单位性质：</w:t>
      </w:r>
    </w:p>
    <w:p>
      <w:pPr>
        <w:spacing w:line="360" w:lineRule="auto"/>
        <w:ind w:firstLine="420" w:firstLineChars="200"/>
        <w:rPr>
          <w:rFonts w:ascii="宋体" w:cs="宋体"/>
          <w:color w:val="auto"/>
          <w:szCs w:val="21"/>
        </w:rPr>
      </w:pPr>
      <w:r>
        <w:rPr>
          <w:rFonts w:hint="eastAsia" w:ascii="宋体" w:cs="宋体"/>
          <w:color w:val="auto"/>
          <w:szCs w:val="21"/>
        </w:rPr>
        <w:t xml:space="preserve">地址： </w:t>
      </w:r>
    </w:p>
    <w:p>
      <w:pPr>
        <w:spacing w:line="360" w:lineRule="auto"/>
        <w:ind w:firstLine="420" w:firstLineChars="200"/>
        <w:rPr>
          <w:rFonts w:ascii="宋体" w:cs="宋体"/>
          <w:color w:val="auto"/>
          <w:szCs w:val="21"/>
        </w:rPr>
      </w:pPr>
      <w:r>
        <w:rPr>
          <w:rFonts w:hint="eastAsia" w:ascii="宋体" w:cs="宋体"/>
          <w:color w:val="auto"/>
          <w:szCs w:val="21"/>
        </w:rPr>
        <w:t>成立时间：年月日</w:t>
      </w:r>
    </w:p>
    <w:p>
      <w:pPr>
        <w:spacing w:line="360" w:lineRule="auto"/>
        <w:ind w:firstLine="420" w:firstLineChars="200"/>
        <w:rPr>
          <w:rFonts w:ascii="宋体" w:cs="宋体"/>
          <w:color w:val="auto"/>
          <w:szCs w:val="21"/>
          <w:u w:val="single"/>
        </w:rPr>
      </w:pPr>
      <w:r>
        <w:rPr>
          <w:rFonts w:hint="eastAsia" w:ascii="宋体" w:cs="宋体"/>
          <w:color w:val="auto"/>
          <w:szCs w:val="21"/>
        </w:rPr>
        <w:t>经营期限：</w:t>
      </w:r>
    </w:p>
    <w:p>
      <w:pPr>
        <w:spacing w:line="360" w:lineRule="auto"/>
        <w:ind w:firstLine="420" w:firstLineChars="200"/>
        <w:rPr>
          <w:rFonts w:ascii="宋体" w:cs="宋体"/>
          <w:color w:val="auto"/>
          <w:szCs w:val="21"/>
        </w:rPr>
      </w:pPr>
      <w:r>
        <w:rPr>
          <w:rFonts w:hint="eastAsia" w:ascii="宋体" w:cs="宋体"/>
          <w:color w:val="auto"/>
          <w:szCs w:val="21"/>
        </w:rPr>
        <w:t>姓名：性别：年龄：职务：</w:t>
      </w:r>
    </w:p>
    <w:p>
      <w:pPr>
        <w:spacing w:line="360" w:lineRule="auto"/>
        <w:ind w:firstLine="420" w:firstLineChars="200"/>
        <w:rPr>
          <w:rFonts w:ascii="宋体" w:cs="宋体"/>
          <w:color w:val="auto"/>
          <w:szCs w:val="21"/>
        </w:rPr>
      </w:pPr>
      <w:r>
        <w:rPr>
          <w:rFonts w:hint="eastAsia" w:ascii="宋体" w:cs="宋体"/>
          <w:color w:val="auto"/>
          <w:szCs w:val="21"/>
        </w:rPr>
        <w:t>系</w:t>
      </w:r>
      <w:r>
        <w:rPr>
          <w:rFonts w:hint="eastAsia" w:ascii="宋体" w:cs="宋体"/>
          <w:color w:val="auto"/>
          <w:szCs w:val="21"/>
          <w:u w:val="single"/>
        </w:rPr>
        <w:t xml:space="preserve">                          （投标人名称）</w:t>
      </w:r>
      <w:r>
        <w:rPr>
          <w:rFonts w:hint="eastAsia" w:ascii="宋体" w:cs="宋体"/>
          <w:color w:val="auto"/>
          <w:szCs w:val="21"/>
        </w:rPr>
        <w:t>的法定代表人。</w:t>
      </w:r>
    </w:p>
    <w:p>
      <w:pPr>
        <w:spacing w:line="360" w:lineRule="auto"/>
        <w:ind w:firstLine="420" w:firstLineChars="200"/>
        <w:rPr>
          <w:rFonts w:ascii="宋体" w:cs="宋体"/>
          <w:color w:val="auto"/>
          <w:szCs w:val="21"/>
        </w:rPr>
      </w:pPr>
      <w:r>
        <w:rPr>
          <w:rFonts w:hint="eastAsia" w:ascii="宋体" w:cs="宋体"/>
          <w:color w:val="auto"/>
          <w:szCs w:val="21"/>
        </w:rPr>
        <w:t>附法定代表人身份证。</w:t>
      </w:r>
    </w:p>
    <w:p>
      <w:pPr>
        <w:spacing w:line="360" w:lineRule="auto"/>
        <w:ind w:firstLine="420" w:firstLineChars="200"/>
        <w:rPr>
          <w:rFonts w:ascii="宋体" w:cs="宋体"/>
          <w:color w:val="auto"/>
          <w:szCs w:val="21"/>
        </w:rPr>
      </w:pPr>
      <w:r>
        <w:rPr>
          <w:rFonts w:hint="eastAsia" w:ascii="宋体" w:cs="宋体"/>
          <w:color w:val="auto"/>
          <w:szCs w:val="21"/>
        </w:rPr>
        <w:t>特此证明。</w:t>
      </w:r>
    </w:p>
    <w:p>
      <w:pPr>
        <w:spacing w:line="360" w:lineRule="auto"/>
        <w:ind w:firstLine="420" w:firstLineChars="200"/>
        <w:rPr>
          <w:rFonts w:ascii="宋体" w:cs="宋体"/>
          <w:color w:val="auto"/>
          <w:szCs w:val="21"/>
        </w:rPr>
      </w:pPr>
    </w:p>
    <w:p>
      <w:pPr>
        <w:spacing w:line="360" w:lineRule="auto"/>
        <w:ind w:firstLine="420" w:firstLineChars="200"/>
        <w:rPr>
          <w:rFonts w:ascii="宋体" w:cs="宋体"/>
          <w:color w:val="auto"/>
          <w:szCs w:val="21"/>
        </w:rPr>
      </w:pPr>
    </w:p>
    <w:p>
      <w:pPr>
        <w:spacing w:line="360" w:lineRule="auto"/>
        <w:ind w:firstLine="420" w:firstLineChars="200"/>
        <w:rPr>
          <w:rFonts w:ascii="宋体" w:cs="宋体"/>
          <w:color w:val="auto"/>
          <w:szCs w:val="21"/>
        </w:rPr>
      </w:pPr>
    </w:p>
    <w:p>
      <w:pPr>
        <w:spacing w:line="360" w:lineRule="auto"/>
        <w:ind w:firstLine="420" w:firstLineChars="200"/>
        <w:jc w:val="right"/>
        <w:rPr>
          <w:rFonts w:ascii="宋体" w:cs="宋体"/>
          <w:color w:val="auto"/>
          <w:szCs w:val="21"/>
        </w:rPr>
      </w:pPr>
      <w:r>
        <w:rPr>
          <w:rFonts w:hint="eastAsia" w:ascii="宋体" w:cs="宋体"/>
          <w:color w:val="auto"/>
          <w:szCs w:val="21"/>
        </w:rPr>
        <w:t>投标人：（盖单位公章）</w:t>
      </w:r>
    </w:p>
    <w:p>
      <w:pPr>
        <w:spacing w:line="360" w:lineRule="auto"/>
        <w:ind w:firstLine="420" w:firstLineChars="200"/>
        <w:jc w:val="right"/>
        <w:rPr>
          <w:rFonts w:ascii="宋体" w:cs="宋体"/>
          <w:color w:val="auto"/>
          <w:szCs w:val="21"/>
        </w:rPr>
      </w:pPr>
      <w:r>
        <w:rPr>
          <w:rFonts w:hint="eastAsia" w:ascii="宋体" w:cs="宋体"/>
          <w:color w:val="auto"/>
          <w:szCs w:val="21"/>
        </w:rPr>
        <w:t>年月 日</w:t>
      </w:r>
    </w:p>
    <w:p>
      <w:pPr>
        <w:spacing w:line="360" w:lineRule="auto"/>
        <w:ind w:firstLine="420" w:firstLineChars="200"/>
        <w:rPr>
          <w:rFonts w:ascii="宋体" w:cs="宋体"/>
          <w:color w:val="auto"/>
          <w:szCs w:val="21"/>
        </w:rPr>
      </w:pPr>
    </w:p>
    <w:p>
      <w:pPr>
        <w:autoSpaceDE w:val="0"/>
        <w:autoSpaceDN w:val="0"/>
        <w:adjustRightInd w:val="0"/>
        <w:spacing w:line="420" w:lineRule="exact"/>
        <w:jc w:val="left"/>
        <w:rPr>
          <w:rFonts w:ascii="宋体" w:cs="宋体"/>
          <w:color w:val="auto"/>
          <w:kern w:val="0"/>
          <w:sz w:val="24"/>
        </w:rPr>
      </w:pPr>
    </w:p>
    <w:p>
      <w:pPr>
        <w:pStyle w:val="6"/>
        <w:jc w:val="center"/>
        <w:rPr>
          <w:rFonts w:ascii="宋体" w:cs="宋体"/>
          <w:color w:val="auto"/>
          <w:kern w:val="0"/>
          <w:sz w:val="28"/>
          <w:szCs w:val="28"/>
        </w:rPr>
      </w:pPr>
      <w:bookmarkStart w:id="528" w:name="_Toc1591"/>
      <w:bookmarkStart w:id="529" w:name="_Toc28271"/>
      <w:bookmarkStart w:id="530" w:name="_Toc14903"/>
      <w:bookmarkStart w:id="531" w:name="_Toc21745"/>
      <w:bookmarkStart w:id="532" w:name="_Toc29286"/>
      <w:bookmarkStart w:id="533" w:name="_Toc2741"/>
      <w:r>
        <w:rPr>
          <w:rFonts w:hint="eastAsia" w:ascii="宋体" w:cs="宋体"/>
          <w:color w:val="auto"/>
          <w:kern w:val="0"/>
          <w:sz w:val="28"/>
          <w:szCs w:val="28"/>
        </w:rPr>
        <w:br w:type="page"/>
      </w:r>
      <w:r>
        <w:rPr>
          <w:rFonts w:hint="eastAsia" w:ascii="宋体" w:cs="宋体"/>
          <w:color w:val="auto"/>
          <w:kern w:val="0"/>
          <w:sz w:val="28"/>
          <w:szCs w:val="28"/>
        </w:rPr>
        <w:t>三、授权委托书</w:t>
      </w:r>
      <w:bookmarkEnd w:id="528"/>
      <w:bookmarkEnd w:id="529"/>
      <w:bookmarkEnd w:id="530"/>
      <w:bookmarkEnd w:id="531"/>
      <w:bookmarkEnd w:id="532"/>
      <w:bookmarkEnd w:id="533"/>
    </w:p>
    <w:p>
      <w:pPr>
        <w:autoSpaceDE w:val="0"/>
        <w:autoSpaceDN w:val="0"/>
        <w:adjustRightInd w:val="0"/>
        <w:spacing w:line="420" w:lineRule="exact"/>
        <w:rPr>
          <w:rFonts w:ascii="宋体" w:cs="宋体"/>
          <w:color w:val="auto"/>
          <w:kern w:val="0"/>
          <w:sz w:val="28"/>
          <w:szCs w:val="28"/>
        </w:rPr>
      </w:pPr>
    </w:p>
    <w:p>
      <w:pPr>
        <w:pStyle w:val="65"/>
        <w:rPr>
          <w:rFonts w:hint="eastAsia" w:ascii="宋体" w:hAnsi="宋体" w:eastAsia="宋体" w:cs="宋体"/>
          <w:color w:val="auto"/>
          <w:spacing w:val="14"/>
          <w:sz w:val="21"/>
          <w:szCs w:val="21"/>
        </w:rPr>
      </w:pPr>
      <w:r>
        <w:rPr>
          <w:rFonts w:hint="eastAsia" w:ascii="宋体" w:hAnsi="宋体" w:eastAsia="宋体" w:cs="宋体"/>
          <w:color w:val="auto"/>
          <w:spacing w:val="14"/>
          <w:sz w:val="21"/>
          <w:szCs w:val="21"/>
        </w:rPr>
        <w:t>本人</w:t>
      </w:r>
      <w:r>
        <w:rPr>
          <w:rFonts w:hint="eastAsia" w:ascii="宋体" w:hAnsi="宋体" w:eastAsia="宋体" w:cs="宋体"/>
          <w:color w:val="auto"/>
          <w:spacing w:val="14"/>
          <w:sz w:val="21"/>
          <w:szCs w:val="21"/>
          <w:u w:val="single"/>
        </w:rPr>
        <w:t xml:space="preserve">         </w:t>
      </w:r>
      <w:r>
        <w:rPr>
          <w:rFonts w:hint="eastAsia" w:ascii="宋体" w:hAnsi="宋体" w:eastAsia="宋体" w:cs="宋体"/>
          <w:color w:val="auto"/>
          <w:spacing w:val="14"/>
          <w:sz w:val="21"/>
          <w:szCs w:val="21"/>
        </w:rPr>
        <w:t>（姓名）系</w:t>
      </w:r>
      <w:r>
        <w:rPr>
          <w:rFonts w:hint="eastAsia" w:ascii="宋体" w:hAnsi="宋体" w:eastAsia="宋体" w:cs="宋体"/>
          <w:color w:val="auto"/>
          <w:spacing w:val="14"/>
          <w:sz w:val="21"/>
          <w:szCs w:val="21"/>
          <w:u w:val="single"/>
        </w:rPr>
        <w:t xml:space="preserve">            </w:t>
      </w:r>
      <w:r>
        <w:rPr>
          <w:rFonts w:hint="eastAsia" w:ascii="宋体" w:hAnsi="宋体" w:eastAsia="宋体" w:cs="宋体"/>
          <w:color w:val="auto"/>
          <w:spacing w:val="14"/>
          <w:sz w:val="21"/>
          <w:szCs w:val="21"/>
        </w:rPr>
        <w:t>（投标单位名称）的法定代表人，现授权委托本单位在职员工</w:t>
      </w:r>
      <w:r>
        <w:rPr>
          <w:rFonts w:hint="eastAsia" w:ascii="宋体" w:hAnsi="宋体" w:eastAsia="宋体" w:cs="宋体"/>
          <w:color w:val="auto"/>
          <w:spacing w:val="14"/>
          <w:sz w:val="21"/>
          <w:szCs w:val="21"/>
          <w:u w:val="single"/>
        </w:rPr>
        <w:t xml:space="preserve">       </w:t>
      </w:r>
      <w:r>
        <w:rPr>
          <w:rFonts w:hint="eastAsia" w:ascii="宋体" w:hAnsi="宋体" w:eastAsia="宋体" w:cs="宋体"/>
          <w:color w:val="auto"/>
          <w:spacing w:val="14"/>
          <w:sz w:val="21"/>
          <w:szCs w:val="21"/>
        </w:rPr>
        <w:t>（姓名，职务）（身份证号码：</w:t>
      </w:r>
      <w:r>
        <w:rPr>
          <w:rFonts w:hint="eastAsia" w:ascii="宋体" w:hAnsi="宋体" w:eastAsia="宋体" w:cs="宋体"/>
          <w:color w:val="auto"/>
          <w:spacing w:val="14"/>
          <w:sz w:val="21"/>
          <w:szCs w:val="21"/>
          <w:u w:val="single"/>
        </w:rPr>
        <w:t xml:space="preserve">             </w:t>
      </w:r>
      <w:r>
        <w:rPr>
          <w:rFonts w:hint="eastAsia" w:ascii="宋体" w:hAnsi="宋体" w:eastAsia="宋体" w:cs="宋体"/>
          <w:color w:val="auto"/>
          <w:spacing w:val="14"/>
          <w:sz w:val="21"/>
          <w:szCs w:val="21"/>
        </w:rPr>
        <w:t>、手机号码：</w:t>
      </w:r>
      <w:r>
        <w:rPr>
          <w:rFonts w:hint="eastAsia" w:ascii="宋体" w:hAnsi="宋体" w:eastAsia="宋体" w:cs="宋体"/>
          <w:color w:val="auto"/>
          <w:spacing w:val="14"/>
          <w:sz w:val="21"/>
          <w:szCs w:val="21"/>
          <w:u w:val="single"/>
        </w:rPr>
        <w:t xml:space="preserve">           </w:t>
      </w:r>
      <w:r>
        <w:rPr>
          <w:rFonts w:hint="eastAsia" w:ascii="宋体" w:hAnsi="宋体" w:eastAsia="宋体" w:cs="宋体"/>
          <w:color w:val="auto"/>
          <w:spacing w:val="14"/>
          <w:sz w:val="21"/>
          <w:szCs w:val="21"/>
        </w:rPr>
        <w:t>）作为投标人代表以我方的名义参加贵单位组织的</w:t>
      </w:r>
      <w:r>
        <w:rPr>
          <w:rFonts w:hint="eastAsia" w:ascii="宋体" w:hAnsi="宋体" w:eastAsia="宋体" w:cs="宋体"/>
          <w:color w:val="auto"/>
          <w:spacing w:val="14"/>
          <w:sz w:val="21"/>
          <w:szCs w:val="21"/>
          <w:u w:val="single"/>
        </w:rPr>
        <w:t xml:space="preserve">                  </w:t>
      </w:r>
      <w:r>
        <w:rPr>
          <w:rFonts w:hint="eastAsia" w:ascii="宋体" w:hAnsi="宋体" w:eastAsia="宋体" w:cs="宋体"/>
          <w:color w:val="auto"/>
          <w:spacing w:val="14"/>
          <w:sz w:val="21"/>
          <w:szCs w:val="21"/>
        </w:rPr>
        <w:t>项目（项目编号：</w:t>
      </w:r>
      <w:r>
        <w:rPr>
          <w:rFonts w:hint="eastAsia" w:ascii="宋体" w:hAnsi="宋体" w:eastAsia="宋体" w:cs="宋体"/>
          <w:color w:val="auto"/>
          <w:spacing w:val="14"/>
          <w:sz w:val="21"/>
          <w:szCs w:val="21"/>
          <w:u w:val="single"/>
        </w:rPr>
        <w:t xml:space="preserve">           </w:t>
      </w:r>
      <w:r>
        <w:rPr>
          <w:rFonts w:hint="eastAsia" w:ascii="宋体" w:hAnsi="宋体" w:eastAsia="宋体" w:cs="宋体"/>
          <w:color w:val="auto"/>
          <w:spacing w:val="14"/>
          <w:sz w:val="21"/>
          <w:szCs w:val="21"/>
        </w:rPr>
        <w:t>）的投标活动，并代表我方全权处理一切与之有关的具体事务和签署相关文件，我均予以承认。</w:t>
      </w:r>
    </w:p>
    <w:p>
      <w:pPr>
        <w:pStyle w:val="65"/>
        <w:rPr>
          <w:rFonts w:hint="eastAsia" w:ascii="宋体" w:hAnsi="宋体" w:eastAsia="宋体" w:cs="宋体"/>
          <w:color w:val="auto"/>
          <w:spacing w:val="14"/>
          <w:sz w:val="21"/>
          <w:szCs w:val="21"/>
        </w:rPr>
      </w:pPr>
      <w:r>
        <w:rPr>
          <w:rFonts w:hint="eastAsia" w:ascii="宋体" w:hAnsi="宋体" w:eastAsia="宋体" w:cs="宋体"/>
          <w:color w:val="auto"/>
          <w:spacing w:val="14"/>
          <w:sz w:val="21"/>
          <w:szCs w:val="21"/>
        </w:rPr>
        <w:t>代理人无权转让委托权。</w:t>
      </w:r>
    </w:p>
    <w:p>
      <w:pPr>
        <w:pStyle w:val="65"/>
        <w:rPr>
          <w:rFonts w:hint="eastAsia" w:ascii="宋体" w:hAnsi="宋体" w:eastAsia="宋体" w:cs="宋体"/>
          <w:color w:val="auto"/>
          <w:spacing w:val="14"/>
          <w:sz w:val="21"/>
          <w:szCs w:val="21"/>
        </w:rPr>
      </w:pPr>
      <w:r>
        <w:rPr>
          <w:rFonts w:hint="eastAsia" w:ascii="宋体" w:hAnsi="宋体" w:eastAsia="宋体" w:cs="宋体"/>
          <w:color w:val="auto"/>
          <w:spacing w:val="14"/>
          <w:sz w:val="21"/>
          <w:szCs w:val="21"/>
        </w:rPr>
        <w:t>本授权书至投标有效期结束前始终有效。</w:t>
      </w:r>
    </w:p>
    <w:p>
      <w:pPr>
        <w:pStyle w:val="65"/>
        <w:rPr>
          <w:rFonts w:hint="eastAsia" w:ascii="宋体" w:hAnsi="宋体" w:eastAsia="宋体" w:cs="宋体"/>
          <w:color w:val="auto"/>
          <w:spacing w:val="14"/>
          <w:sz w:val="21"/>
          <w:szCs w:val="21"/>
        </w:rPr>
      </w:pPr>
      <w:r>
        <w:rPr>
          <w:rFonts w:hint="eastAsia" w:ascii="宋体" w:hAnsi="宋体" w:eastAsia="宋体" w:cs="宋体"/>
          <w:color w:val="auto"/>
          <w:spacing w:val="14"/>
          <w:sz w:val="21"/>
          <w:szCs w:val="21"/>
        </w:rPr>
        <w:t>特此声明。</w:t>
      </w:r>
    </w:p>
    <w:p>
      <w:pPr>
        <w:spacing w:line="360" w:lineRule="auto"/>
        <w:ind w:firstLine="420" w:firstLineChars="200"/>
        <w:rPr>
          <w:rFonts w:ascii="宋体" w:cs="宋体"/>
          <w:color w:val="auto"/>
          <w:szCs w:val="21"/>
        </w:rPr>
      </w:pPr>
    </w:p>
    <w:p>
      <w:pPr>
        <w:spacing w:line="360" w:lineRule="auto"/>
        <w:ind w:firstLine="420" w:firstLineChars="200"/>
        <w:rPr>
          <w:rFonts w:ascii="宋体" w:cs="宋体"/>
          <w:color w:val="auto"/>
          <w:szCs w:val="21"/>
        </w:rPr>
      </w:pPr>
    </w:p>
    <w:p>
      <w:pPr>
        <w:spacing w:line="360" w:lineRule="auto"/>
        <w:ind w:left="0" w:leftChars="0" w:firstLine="4200" w:firstLineChars="2000"/>
        <w:jc w:val="both"/>
        <w:rPr>
          <w:rFonts w:ascii="宋体" w:cs="宋体"/>
          <w:color w:val="auto"/>
          <w:szCs w:val="21"/>
        </w:rPr>
      </w:pPr>
      <w:r>
        <w:rPr>
          <w:rFonts w:hint="eastAsia" w:ascii="宋体" w:cs="宋体"/>
          <w:color w:val="auto"/>
          <w:szCs w:val="21"/>
        </w:rPr>
        <w:t>投标人：</w:t>
      </w:r>
      <w:r>
        <w:rPr>
          <w:rFonts w:hint="eastAsia" w:ascii="宋体" w:cs="宋体"/>
          <w:color w:val="auto"/>
          <w:szCs w:val="21"/>
          <w:u w:val="single"/>
        </w:rPr>
        <w:t xml:space="preserve"> （盖单位公章）</w:t>
      </w:r>
    </w:p>
    <w:p>
      <w:pPr>
        <w:spacing w:line="360" w:lineRule="auto"/>
        <w:ind w:left="0" w:leftChars="0" w:firstLine="4200" w:firstLineChars="2000"/>
        <w:jc w:val="both"/>
        <w:rPr>
          <w:rFonts w:ascii="宋体" w:cs="宋体"/>
          <w:color w:val="auto"/>
          <w:szCs w:val="21"/>
        </w:rPr>
      </w:pPr>
      <w:r>
        <w:rPr>
          <w:rFonts w:hint="eastAsia" w:ascii="宋体" w:cs="宋体"/>
          <w:color w:val="auto"/>
          <w:szCs w:val="21"/>
        </w:rPr>
        <w:t>法定代表人：</w:t>
      </w:r>
      <w:r>
        <w:rPr>
          <w:rFonts w:hint="eastAsia" w:ascii="宋体" w:cs="宋体"/>
          <w:color w:val="auto"/>
          <w:szCs w:val="21"/>
          <w:u w:val="single"/>
        </w:rPr>
        <w:t xml:space="preserve">               （签字或盖章）</w:t>
      </w:r>
    </w:p>
    <w:p>
      <w:pPr>
        <w:spacing w:line="360" w:lineRule="auto"/>
        <w:ind w:left="0" w:leftChars="0" w:firstLine="4200" w:firstLineChars="2000"/>
        <w:rPr>
          <w:rFonts w:ascii="宋体" w:cs="宋体"/>
          <w:color w:val="auto"/>
          <w:szCs w:val="21"/>
          <w:u w:val="single"/>
        </w:rPr>
      </w:pPr>
      <w:r>
        <w:rPr>
          <w:rFonts w:hint="eastAsia" w:ascii="宋体" w:cs="宋体"/>
          <w:color w:val="auto"/>
          <w:szCs w:val="21"/>
        </w:rPr>
        <w:t>身份证号码：</w:t>
      </w:r>
    </w:p>
    <w:p>
      <w:pPr>
        <w:spacing w:line="360" w:lineRule="auto"/>
        <w:ind w:left="0" w:leftChars="0" w:firstLine="4200" w:firstLineChars="2000"/>
        <w:jc w:val="both"/>
        <w:rPr>
          <w:rFonts w:ascii="宋体" w:cs="宋体"/>
          <w:color w:val="auto"/>
          <w:szCs w:val="21"/>
          <w:u w:val="single"/>
        </w:rPr>
      </w:pPr>
      <w:r>
        <w:rPr>
          <w:rFonts w:hint="eastAsia" w:ascii="宋体" w:cs="宋体"/>
          <w:color w:val="auto"/>
          <w:szCs w:val="21"/>
        </w:rPr>
        <w:t>委托代理人：</w:t>
      </w:r>
      <w:r>
        <w:rPr>
          <w:rFonts w:hint="eastAsia" w:ascii="宋体" w:cs="宋体"/>
          <w:color w:val="auto"/>
          <w:szCs w:val="21"/>
          <w:u w:val="single"/>
        </w:rPr>
        <w:t xml:space="preserve">          （签字或盖章）</w:t>
      </w:r>
    </w:p>
    <w:p>
      <w:pPr>
        <w:spacing w:line="360" w:lineRule="auto"/>
        <w:ind w:left="0" w:leftChars="0" w:firstLine="4200" w:firstLineChars="2000"/>
        <w:rPr>
          <w:rFonts w:ascii="宋体" w:cs="宋体"/>
          <w:color w:val="auto"/>
          <w:szCs w:val="21"/>
          <w:u w:val="single"/>
        </w:rPr>
      </w:pPr>
      <w:r>
        <w:rPr>
          <w:rFonts w:hint="eastAsia" w:ascii="宋体" w:cs="宋体"/>
          <w:color w:val="auto"/>
          <w:szCs w:val="21"/>
        </w:rPr>
        <w:t xml:space="preserve">身份证号码： </w:t>
      </w:r>
    </w:p>
    <w:p>
      <w:pPr>
        <w:spacing w:line="360" w:lineRule="auto"/>
        <w:ind w:left="0" w:leftChars="0" w:firstLine="4200" w:firstLineChars="2000"/>
        <w:jc w:val="both"/>
        <w:rPr>
          <w:rFonts w:ascii="宋体" w:cs="宋体"/>
          <w:color w:val="auto"/>
          <w:szCs w:val="21"/>
        </w:rPr>
      </w:pPr>
      <w:r>
        <w:rPr>
          <w:rFonts w:hint="eastAsia" w:ascii="宋体" w:cs="宋体"/>
          <w:color w:val="auto"/>
          <w:szCs w:val="21"/>
        </w:rPr>
        <w:t>年 月 日</w:t>
      </w: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pStyle w:val="6"/>
        <w:jc w:val="center"/>
        <w:rPr>
          <w:rFonts w:ascii="宋体" w:cs="宋体"/>
          <w:color w:val="auto"/>
          <w:kern w:val="0"/>
          <w:sz w:val="28"/>
          <w:szCs w:val="28"/>
        </w:rPr>
      </w:pPr>
      <w:bookmarkStart w:id="534" w:name="_Toc13931"/>
      <w:bookmarkStart w:id="535" w:name="_Toc32078"/>
      <w:bookmarkStart w:id="536" w:name="_Toc19295"/>
      <w:bookmarkStart w:id="537" w:name="_Toc12353"/>
      <w:bookmarkStart w:id="538" w:name="_Toc29508"/>
      <w:bookmarkStart w:id="539" w:name="_Toc19270"/>
      <w:r>
        <w:rPr>
          <w:rFonts w:hint="eastAsia" w:ascii="宋体" w:cs="宋体"/>
          <w:color w:val="auto"/>
          <w:kern w:val="0"/>
          <w:sz w:val="28"/>
          <w:szCs w:val="28"/>
        </w:rPr>
        <w:br w:type="page"/>
      </w:r>
      <w:r>
        <w:rPr>
          <w:rFonts w:hint="eastAsia" w:ascii="宋体" w:cs="宋体"/>
          <w:color w:val="auto"/>
          <w:kern w:val="0"/>
          <w:sz w:val="28"/>
          <w:szCs w:val="28"/>
        </w:rPr>
        <w:t>四、投标保证金</w:t>
      </w:r>
      <w:bookmarkEnd w:id="534"/>
      <w:bookmarkEnd w:id="535"/>
      <w:bookmarkEnd w:id="536"/>
      <w:bookmarkEnd w:id="537"/>
      <w:bookmarkEnd w:id="538"/>
      <w:bookmarkEnd w:id="539"/>
    </w:p>
    <w:p>
      <w:pPr>
        <w:autoSpaceDE w:val="0"/>
        <w:autoSpaceDN w:val="0"/>
        <w:adjustRightInd w:val="0"/>
        <w:spacing w:line="420" w:lineRule="exact"/>
        <w:jc w:val="center"/>
        <w:rPr>
          <w:rFonts w:ascii="宋体" w:cs="宋体"/>
          <w:color w:val="auto"/>
          <w:kern w:val="0"/>
          <w:sz w:val="24"/>
        </w:rPr>
      </w:pPr>
    </w:p>
    <w:p>
      <w:pPr>
        <w:autoSpaceDE w:val="0"/>
        <w:autoSpaceDN w:val="0"/>
        <w:adjustRightInd w:val="0"/>
        <w:spacing w:line="420" w:lineRule="exact"/>
        <w:jc w:val="center"/>
        <w:rPr>
          <w:rFonts w:ascii="宋体" w:cs="宋体"/>
          <w:color w:val="auto"/>
          <w:kern w:val="0"/>
          <w:sz w:val="24"/>
        </w:rPr>
      </w:pPr>
      <w:r>
        <w:rPr>
          <w:rFonts w:ascii="宋体" w:cs="宋体"/>
          <w:color w:val="auto"/>
          <w:kern w:val="0"/>
          <w:sz w:val="24"/>
          <w:lang w:val="zh-CN"/>
        </w:rPr>
        <w:pict>
          <v:shape id="_x0000_s1027" o:spid="_x0000_s1027" o:spt="202" type="#_x0000_t202" style="position:absolute;left:0pt;margin-left:90pt;margin-top:14.05pt;height:104.65pt;width:290.2pt;z-index:251659264;mso-width-relative:page;mso-height-relative:page;" filled="f" coordsize="21600,21600" o:gfxdata="UEsDBAoAAAAAAIdO4kAAAAAAAAAAAAAAAAAEAAAAZHJzL1BLAwQUAAAACACHTuJAPF8EqdkAAAAK&#10;AQAADwAAAGRycy9kb3ducmV2LnhtbE2PzWrDMBCE74W+g9hCb43kxCTGsRxKoVBoL3X6c1WsjW1i&#10;rYylJPbbd3tqjzM7zH5T7CbXiwuOofOkIVkoEEi1tx01Gj72zw8ZiBANWdN7Qg0zBtiVtzeFya2/&#10;0jteqtgILqGQGw1tjEMuZahbdCYs/IDEt6MfnYksx0ba0Vy53PVyqdRaOtMRf2jNgE8t1qfq7DQM&#10;9VdoVqY7Tp/p6+Pw8j3TWzVrfX+XqC2IiFP8C8MvPqNDyUwHfyYbRM86U7wlalhmCQgObNYqBXFg&#10;Y7VJQZaF/D+h/AFQSwMEFAAAAAgAh07iQDOuyIDxAQAAxwMAAA4AAABkcnMvZTJvRG9jLnhtbK1T&#10;S27bMBDdF+gdCO5ryUocJILlAK2bboq2QNIDjPmRiPIHkrHkC7Q36Kqb7nsunyND2nH62RRFvaBH&#10;nKc3M++NlteT0WQrQlTOdnQ+qykRljmubN/Rj3c3Ly4piQksB+2s6OhORHq9ev5sOfpWNG5wmotA&#10;kMTGdvQdHVLybVVFNggDcea8sJiULhhI+Bj6igcYkd3oqqnri2p0gfvgmIgRb9eHJF0VfikFS++l&#10;jCIR3VHsLZUzlHOTz2q1hLYP4AfFjm3AP3RhQFkseqJaQwJyH9QfVEax4KKTacacqZyUiokyA04z&#10;r3+b5nYAL8osKE70J5ni/6Nl77YfAlG8ow0lFgxatP/6Zf/tx/77Z9JkeUYfW0TdesSl6aWb0ObH&#10;+4iXeepJBpP/cR6CeRR6dxJXTIkwvDy7uFwszjHFMDc/a67qxSLzVE+v+xDTG+EMyUFHA7pXRIXt&#10;25gO0EdIrmbdjdK6OKgtGbHE+VWzwAKAiyQ1JAyNx9ESmvvpbjhaFJ1WPL+ZOWLoN690IFvIC1J+&#10;x6Z+geWya4jDAVdSGQatUUmEEg0C+GvLSdp5FNHittPckxGcEi3w48hRQSZQ+m+QqIy2KFB24KB0&#10;jtK0mZAmhxvHd+jKvQ+qH1Cw4kuB47YUZY+bndfx5+dC+vT9rR4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PF8EqdkAAAAKAQAADwAAAAAAAAABACAAAAAiAAAAZHJzL2Rvd25yZXYueG1sUEsBAhQA&#10;FAAAAAgAh07iQDOuyIDxAQAAxwMAAA4AAAAAAAAAAQAgAAAAKAEAAGRycy9lMm9Eb2MueG1sUEsF&#10;BgAAAAAGAAYAWQEAAIsFAAAAAA==&#10;">
            <v:path/>
            <v:fill on="f" focussize="0,0"/>
            <v:stroke weight="2.75pt" linestyle="thickThin"/>
            <v:imagedata o:title=""/>
            <o:lock v:ext="edit"/>
            <v:textbox>
              <w:txbxContent>
                <w:p>
                  <w:r>
                    <w:rPr>
                      <w:rFonts w:hint="eastAsia"/>
                    </w:rPr>
                    <w:t>投标人按规定缴纳投标保证金或</w:t>
                  </w:r>
                  <w:r>
                    <w:rPr>
                      <w:rFonts w:hint="eastAsia"/>
                      <w:lang w:eastAsia="zh-CN"/>
                    </w:rPr>
                    <w:t>电子</w:t>
                  </w:r>
                  <w:r>
                    <w:rPr>
                      <w:rFonts w:hint="eastAsia"/>
                    </w:rPr>
                    <w:t>保函，提交投标保证金的须附保证金转账凭证扫描件，并附基本账户开户许可证或基本存款账户信息原件扫描件。</w:t>
                  </w:r>
                </w:p>
              </w:txbxContent>
            </v:textbox>
          </v:shape>
        </w:pict>
      </w: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spacing w:line="440" w:lineRule="exact"/>
        <w:ind w:firstLine="2158" w:firstLineChars="1028"/>
        <w:rPr>
          <w:rFonts w:ascii="宋体" w:hAnsi="宋体" w:cs="宋体"/>
          <w:color w:val="auto"/>
          <w:szCs w:val="21"/>
        </w:rPr>
      </w:pPr>
      <w:r>
        <w:rPr>
          <w:rFonts w:hint="eastAsia" w:ascii="宋体" w:hAnsi="宋体" w:cs="宋体"/>
          <w:color w:val="auto"/>
          <w:szCs w:val="21"/>
        </w:rPr>
        <w:t>投标人（企业电子章）：</w:t>
      </w:r>
    </w:p>
    <w:p>
      <w:pPr>
        <w:spacing w:line="440" w:lineRule="exact"/>
        <w:ind w:firstLine="2158" w:firstLineChars="1028"/>
        <w:rPr>
          <w:rFonts w:ascii="宋体" w:hAnsi="宋体" w:cs="宋体"/>
          <w:color w:val="auto"/>
          <w:szCs w:val="21"/>
        </w:rPr>
      </w:pPr>
      <w:r>
        <w:rPr>
          <w:rFonts w:hint="eastAsia" w:ascii="宋体" w:hAnsi="宋体" w:cs="宋体"/>
          <w:color w:val="auto"/>
          <w:szCs w:val="21"/>
        </w:rPr>
        <w:t>法定代表人（</w:t>
      </w:r>
      <w:r>
        <w:rPr>
          <w:rFonts w:hint="eastAsia" w:ascii="宋体" w:cs="宋体"/>
          <w:color w:val="auto"/>
          <w:szCs w:val="21"/>
        </w:rPr>
        <w:t>签字或盖章</w:t>
      </w:r>
      <w:r>
        <w:rPr>
          <w:rFonts w:hint="eastAsia" w:ascii="宋体" w:hAnsi="宋体" w:cs="宋体"/>
          <w:color w:val="auto"/>
          <w:szCs w:val="21"/>
        </w:rPr>
        <w:t>）：</w:t>
      </w:r>
    </w:p>
    <w:p>
      <w:pPr>
        <w:spacing w:line="440" w:lineRule="exact"/>
        <w:ind w:firstLine="4888" w:firstLineChars="2328"/>
        <w:rPr>
          <w:rFonts w:ascii="宋体" w:hAnsi="宋体" w:cs="宋体"/>
          <w:color w:val="auto"/>
          <w:szCs w:val="21"/>
        </w:rPr>
      </w:pPr>
      <w:r>
        <w:rPr>
          <w:rFonts w:hint="eastAsia" w:ascii="宋体" w:hAnsi="宋体" w:cs="宋体"/>
          <w:color w:val="auto"/>
          <w:szCs w:val="21"/>
        </w:rPr>
        <w:t>年月日</w:t>
      </w:r>
    </w:p>
    <w:p>
      <w:pPr>
        <w:spacing w:line="440" w:lineRule="exact"/>
        <w:rPr>
          <w:rFonts w:ascii="宋体" w:hAnsi="宋体" w:cs="宋体"/>
          <w:color w:val="auto"/>
          <w:szCs w:val="21"/>
        </w:rPr>
      </w:pPr>
    </w:p>
    <w:p>
      <w:pPr>
        <w:autoSpaceDE w:val="0"/>
        <w:autoSpaceDN w:val="0"/>
        <w:adjustRightInd w:val="0"/>
        <w:spacing w:line="420" w:lineRule="exact"/>
        <w:jc w:val="left"/>
        <w:rPr>
          <w:rFonts w:ascii="宋体" w:cs="宋体"/>
          <w:color w:val="auto"/>
          <w:kern w:val="0"/>
          <w:sz w:val="24"/>
        </w:rPr>
      </w:pPr>
    </w:p>
    <w:p>
      <w:pPr>
        <w:spacing w:line="360" w:lineRule="auto"/>
        <w:jc w:val="center"/>
        <w:rPr>
          <w:rFonts w:ascii="宋体" w:cs="宋体"/>
          <w:b/>
          <w:bCs/>
          <w:color w:val="auto"/>
          <w:kern w:val="0"/>
          <w:sz w:val="28"/>
          <w:szCs w:val="28"/>
        </w:rPr>
      </w:pPr>
      <w:bookmarkStart w:id="540" w:name="_Toc6470"/>
      <w:bookmarkStart w:id="541" w:name="_Toc26100"/>
      <w:bookmarkStart w:id="542" w:name="_Toc12683"/>
      <w:bookmarkStart w:id="543" w:name="_Toc5921"/>
      <w:bookmarkStart w:id="544" w:name="_Toc22744"/>
      <w:bookmarkStart w:id="545" w:name="_Toc28970"/>
      <w:r>
        <w:rPr>
          <w:rFonts w:hint="eastAsia" w:ascii="宋体" w:cs="宋体"/>
          <w:b/>
          <w:bCs/>
          <w:color w:val="auto"/>
          <w:kern w:val="0"/>
          <w:sz w:val="28"/>
          <w:szCs w:val="28"/>
        </w:rPr>
        <w:br w:type="page"/>
      </w:r>
      <w:r>
        <w:rPr>
          <w:rFonts w:hint="eastAsia" w:ascii="宋体" w:cs="宋体"/>
          <w:b/>
          <w:bCs/>
          <w:color w:val="auto"/>
          <w:kern w:val="0"/>
          <w:sz w:val="28"/>
          <w:szCs w:val="28"/>
        </w:rPr>
        <w:t>五、已标价工程量清单</w:t>
      </w:r>
      <w:bookmarkEnd w:id="540"/>
      <w:bookmarkEnd w:id="541"/>
      <w:bookmarkEnd w:id="542"/>
      <w:bookmarkEnd w:id="543"/>
      <w:bookmarkEnd w:id="544"/>
      <w:bookmarkEnd w:id="545"/>
    </w:p>
    <w:p>
      <w:pPr>
        <w:spacing w:line="360" w:lineRule="auto"/>
        <w:ind w:firstLine="420" w:firstLineChars="200"/>
        <w:rPr>
          <w:rFonts w:ascii="宋体" w:cs="宋体"/>
          <w:color w:val="auto"/>
          <w:szCs w:val="21"/>
        </w:rPr>
      </w:pPr>
    </w:p>
    <w:p>
      <w:pPr>
        <w:spacing w:line="360" w:lineRule="auto"/>
        <w:rPr>
          <w:rFonts w:ascii="宋体" w:cs="宋体"/>
          <w:color w:val="auto"/>
          <w:kern w:val="0"/>
          <w:sz w:val="24"/>
        </w:rPr>
      </w:pPr>
    </w:p>
    <w:p>
      <w:pPr>
        <w:pStyle w:val="6"/>
        <w:jc w:val="center"/>
        <w:rPr>
          <w:rFonts w:ascii="宋体" w:cs="宋体"/>
          <w:color w:val="auto"/>
          <w:kern w:val="0"/>
          <w:sz w:val="24"/>
        </w:rPr>
      </w:pPr>
      <w:bookmarkStart w:id="546" w:name="_Toc21070"/>
      <w:bookmarkStart w:id="547" w:name="_Toc32562"/>
      <w:bookmarkStart w:id="548" w:name="_Toc22731"/>
      <w:bookmarkStart w:id="549" w:name="_Toc17138"/>
      <w:bookmarkStart w:id="550" w:name="_Toc25022"/>
      <w:bookmarkStart w:id="551" w:name="_Toc17968"/>
      <w:r>
        <w:rPr>
          <w:rFonts w:hint="eastAsia" w:ascii="宋体" w:cs="宋体"/>
          <w:color w:val="auto"/>
          <w:kern w:val="0"/>
          <w:sz w:val="28"/>
          <w:szCs w:val="28"/>
        </w:rPr>
        <w:br w:type="page"/>
      </w:r>
      <w:r>
        <w:rPr>
          <w:rFonts w:hint="eastAsia" w:ascii="宋体" w:cs="宋体"/>
          <w:color w:val="auto"/>
          <w:kern w:val="0"/>
          <w:sz w:val="28"/>
          <w:szCs w:val="28"/>
        </w:rPr>
        <w:t>六、施工组织设计</w:t>
      </w:r>
      <w:bookmarkEnd w:id="546"/>
      <w:bookmarkEnd w:id="547"/>
      <w:bookmarkEnd w:id="548"/>
      <w:bookmarkEnd w:id="549"/>
      <w:bookmarkEnd w:id="550"/>
      <w:bookmarkEnd w:id="551"/>
    </w:p>
    <w:p>
      <w:pPr>
        <w:spacing w:line="360" w:lineRule="auto"/>
        <w:ind w:firstLine="420" w:firstLineChars="200"/>
        <w:rPr>
          <w:rFonts w:ascii="宋体" w:cs="宋体"/>
          <w:color w:val="auto"/>
          <w:szCs w:val="21"/>
        </w:rPr>
      </w:pPr>
      <w:r>
        <w:rPr>
          <w:rFonts w:hint="eastAsia" w:ascii="宋体" w:cs="宋体"/>
          <w:color w:val="auto"/>
          <w:szCs w:val="21"/>
        </w:rPr>
        <w:t>1. 投标人编制施工组织设计的要求：编制时应采用文字并结合图表形式说明施工方法；拟投入本标段的主要施工设备情况、拟配备本标段的试验和检测仪器设备情况、劳动力计划等；结合工程特点提出切实可行的工程质量、安全生产、文明施工、工程进度、技术组织措施，同时应对关键工序、复杂环节重点提出相应技术措施，如冬雨季施工技术、减少噪音、降低环境污染、地下管线及其他地上地下设施的保护加固措施等。</w:t>
      </w:r>
    </w:p>
    <w:p>
      <w:pPr>
        <w:spacing w:line="360" w:lineRule="auto"/>
        <w:ind w:firstLine="420" w:firstLineChars="200"/>
        <w:rPr>
          <w:rFonts w:ascii="宋体" w:cs="宋体"/>
          <w:color w:val="auto"/>
          <w:szCs w:val="21"/>
        </w:rPr>
      </w:pPr>
      <w:r>
        <w:rPr>
          <w:rFonts w:hint="eastAsia" w:ascii="宋体" w:cs="宋体"/>
          <w:color w:val="auto"/>
          <w:szCs w:val="21"/>
        </w:rPr>
        <w:t>2. 施工组织设计除采用文字表述外可附下列图表，图表及格式要求附后。</w:t>
      </w:r>
    </w:p>
    <w:p>
      <w:pPr>
        <w:spacing w:line="360" w:lineRule="auto"/>
        <w:ind w:firstLine="420" w:firstLineChars="200"/>
        <w:rPr>
          <w:rFonts w:ascii="宋体" w:cs="宋体"/>
          <w:color w:val="auto"/>
          <w:szCs w:val="21"/>
        </w:rPr>
      </w:pPr>
      <w:r>
        <w:rPr>
          <w:rFonts w:hint="eastAsia" w:ascii="宋体" w:cs="宋体"/>
          <w:color w:val="auto"/>
          <w:szCs w:val="21"/>
        </w:rPr>
        <w:t>附表一 拟投入本标段的主要施工设备表</w:t>
      </w:r>
    </w:p>
    <w:p>
      <w:pPr>
        <w:spacing w:line="360" w:lineRule="auto"/>
        <w:ind w:firstLine="420" w:firstLineChars="200"/>
        <w:rPr>
          <w:rFonts w:ascii="宋体" w:cs="宋体"/>
          <w:color w:val="auto"/>
          <w:szCs w:val="21"/>
        </w:rPr>
      </w:pPr>
      <w:r>
        <w:rPr>
          <w:rFonts w:hint="eastAsia" w:ascii="宋体" w:cs="宋体"/>
          <w:color w:val="auto"/>
          <w:szCs w:val="21"/>
        </w:rPr>
        <w:t>附表二 拟配备本标段的试验和检测仪器设备表</w:t>
      </w:r>
    </w:p>
    <w:p>
      <w:pPr>
        <w:spacing w:line="360" w:lineRule="auto"/>
        <w:ind w:firstLine="420" w:firstLineChars="200"/>
        <w:rPr>
          <w:rFonts w:ascii="宋体" w:cs="宋体"/>
          <w:color w:val="auto"/>
          <w:szCs w:val="21"/>
        </w:rPr>
      </w:pPr>
      <w:r>
        <w:rPr>
          <w:rFonts w:hint="eastAsia" w:ascii="宋体" w:cs="宋体"/>
          <w:color w:val="auto"/>
          <w:szCs w:val="21"/>
        </w:rPr>
        <w:t>附表三 劳动力计划表</w:t>
      </w:r>
    </w:p>
    <w:p>
      <w:pPr>
        <w:spacing w:line="360" w:lineRule="auto"/>
        <w:ind w:firstLine="420" w:firstLineChars="200"/>
        <w:rPr>
          <w:rFonts w:ascii="宋体" w:cs="宋体"/>
          <w:color w:val="auto"/>
          <w:szCs w:val="21"/>
        </w:rPr>
      </w:pPr>
      <w:r>
        <w:rPr>
          <w:rFonts w:hint="eastAsia" w:ascii="宋体" w:cs="宋体"/>
          <w:color w:val="auto"/>
          <w:szCs w:val="21"/>
        </w:rPr>
        <w:t>附表四 计划开、竣工日期和施工进度网络图</w:t>
      </w:r>
    </w:p>
    <w:p>
      <w:pPr>
        <w:spacing w:line="360" w:lineRule="auto"/>
        <w:ind w:firstLine="420" w:firstLineChars="200"/>
        <w:rPr>
          <w:rFonts w:ascii="宋体" w:cs="宋体"/>
          <w:color w:val="auto"/>
          <w:szCs w:val="21"/>
        </w:rPr>
      </w:pPr>
      <w:r>
        <w:rPr>
          <w:rFonts w:hint="eastAsia" w:ascii="宋体" w:cs="宋体"/>
          <w:color w:val="auto"/>
          <w:szCs w:val="21"/>
        </w:rPr>
        <w:t>附表五 施工总平面图</w:t>
      </w:r>
    </w:p>
    <w:p>
      <w:pPr>
        <w:spacing w:line="360" w:lineRule="auto"/>
        <w:ind w:firstLine="420" w:firstLineChars="200"/>
        <w:rPr>
          <w:rFonts w:ascii="宋体" w:cs="宋体"/>
          <w:color w:val="auto"/>
          <w:szCs w:val="21"/>
        </w:rPr>
      </w:pPr>
      <w:r>
        <w:rPr>
          <w:rFonts w:hint="eastAsia" w:ascii="宋体" w:cs="宋体"/>
          <w:color w:val="auto"/>
          <w:szCs w:val="21"/>
        </w:rPr>
        <w:t>附表六 临时用地表</w:t>
      </w:r>
    </w:p>
    <w:p>
      <w:pPr>
        <w:spacing w:line="360" w:lineRule="auto"/>
        <w:ind w:firstLine="420" w:firstLineChars="200"/>
        <w:rPr>
          <w:rFonts w:ascii="宋体" w:cs="宋体"/>
          <w:color w:val="auto"/>
          <w:szCs w:val="21"/>
        </w:rPr>
      </w:pPr>
    </w:p>
    <w:p>
      <w:pPr>
        <w:spacing w:line="360" w:lineRule="auto"/>
        <w:ind w:firstLine="420" w:firstLineChars="200"/>
        <w:rPr>
          <w:rFonts w:ascii="宋体" w:cs="宋体"/>
          <w:color w:val="auto"/>
          <w:szCs w:val="21"/>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b/>
          <w:color w:val="auto"/>
          <w:kern w:val="0"/>
          <w:sz w:val="24"/>
        </w:rPr>
      </w:pPr>
      <w:r>
        <w:rPr>
          <w:rFonts w:hint="eastAsia" w:ascii="宋体" w:cs="宋体"/>
          <w:color w:val="auto"/>
          <w:kern w:val="0"/>
          <w:sz w:val="24"/>
        </w:rPr>
        <w:br w:type="page"/>
      </w:r>
      <w:bookmarkStart w:id="552" w:name="_Toc18166"/>
      <w:bookmarkStart w:id="553" w:name="_Toc28579"/>
      <w:bookmarkStart w:id="554" w:name="_Toc5631"/>
      <w:bookmarkStart w:id="555" w:name="_Toc31233"/>
      <w:bookmarkStart w:id="556" w:name="_Toc3814"/>
      <w:bookmarkStart w:id="557" w:name="_Toc22397"/>
      <w:r>
        <w:rPr>
          <w:rFonts w:hint="eastAsia" w:ascii="宋体" w:cs="宋体"/>
          <w:b/>
          <w:color w:val="auto"/>
          <w:kern w:val="0"/>
          <w:sz w:val="24"/>
        </w:rPr>
        <w:t>附表一：拟投入本项目的主要施工设备表</w:t>
      </w:r>
      <w:bookmarkEnd w:id="552"/>
      <w:bookmarkEnd w:id="553"/>
      <w:bookmarkEnd w:id="554"/>
      <w:bookmarkEnd w:id="555"/>
      <w:bookmarkEnd w:id="556"/>
      <w:bookmarkEnd w:id="557"/>
    </w:p>
    <w:p>
      <w:pPr>
        <w:autoSpaceDE w:val="0"/>
        <w:autoSpaceDN w:val="0"/>
        <w:adjustRightInd w:val="0"/>
        <w:spacing w:line="420" w:lineRule="exact"/>
        <w:jc w:val="left"/>
        <w:rPr>
          <w:rFonts w:ascii="宋体" w:cs="宋体"/>
          <w:color w:val="auto"/>
          <w:kern w:val="0"/>
          <w:sz w:val="24"/>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211"/>
        <w:gridCol w:w="931"/>
        <w:gridCol w:w="931"/>
        <w:gridCol w:w="932"/>
        <w:gridCol w:w="932"/>
        <w:gridCol w:w="1201"/>
        <w:gridCol w:w="662"/>
        <w:gridCol w:w="932"/>
        <w:gridCol w:w="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序号</w:t>
            </w:r>
          </w:p>
        </w:tc>
        <w:tc>
          <w:tcPr>
            <w:tcW w:w="1211"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设备名称</w:t>
            </w:r>
          </w:p>
        </w:tc>
        <w:tc>
          <w:tcPr>
            <w:tcW w:w="931"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型号</w:t>
            </w:r>
          </w:p>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规格</w:t>
            </w:r>
          </w:p>
        </w:tc>
        <w:tc>
          <w:tcPr>
            <w:tcW w:w="931"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数量</w:t>
            </w:r>
          </w:p>
        </w:tc>
        <w:tc>
          <w:tcPr>
            <w:tcW w:w="932"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国别</w:t>
            </w:r>
          </w:p>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产地</w:t>
            </w:r>
          </w:p>
        </w:tc>
        <w:tc>
          <w:tcPr>
            <w:tcW w:w="932"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制造</w:t>
            </w:r>
          </w:p>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年份</w:t>
            </w:r>
          </w:p>
        </w:tc>
        <w:tc>
          <w:tcPr>
            <w:tcW w:w="1201"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额定功率</w:t>
            </w:r>
          </w:p>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（KW）</w:t>
            </w:r>
          </w:p>
        </w:tc>
        <w:tc>
          <w:tcPr>
            <w:tcW w:w="662"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生产</w:t>
            </w:r>
          </w:p>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能力</w:t>
            </w:r>
          </w:p>
        </w:tc>
        <w:tc>
          <w:tcPr>
            <w:tcW w:w="932"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用于施</w:t>
            </w:r>
          </w:p>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工部位</w:t>
            </w:r>
          </w:p>
        </w:tc>
        <w:tc>
          <w:tcPr>
            <w:tcW w:w="932"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650" w:type="dxa"/>
            <w:vAlign w:val="center"/>
          </w:tcPr>
          <w:p>
            <w:pPr>
              <w:autoSpaceDE w:val="0"/>
              <w:autoSpaceDN w:val="0"/>
              <w:adjustRightInd w:val="0"/>
              <w:spacing w:line="420" w:lineRule="exact"/>
              <w:jc w:val="center"/>
              <w:rPr>
                <w:rFonts w:ascii="宋体" w:cs="宋体"/>
                <w:color w:val="auto"/>
                <w:kern w:val="0"/>
                <w:sz w:val="24"/>
              </w:rPr>
            </w:pPr>
          </w:p>
        </w:tc>
        <w:tc>
          <w:tcPr>
            <w:tcW w:w="121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1"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1201" w:type="dxa"/>
            <w:vAlign w:val="center"/>
          </w:tcPr>
          <w:p>
            <w:pPr>
              <w:autoSpaceDE w:val="0"/>
              <w:autoSpaceDN w:val="0"/>
              <w:adjustRightInd w:val="0"/>
              <w:spacing w:line="420" w:lineRule="exact"/>
              <w:jc w:val="center"/>
              <w:rPr>
                <w:rFonts w:ascii="宋体" w:cs="宋体"/>
                <w:color w:val="auto"/>
                <w:kern w:val="0"/>
                <w:sz w:val="24"/>
              </w:rPr>
            </w:pPr>
          </w:p>
        </w:tc>
        <w:tc>
          <w:tcPr>
            <w:tcW w:w="66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c>
          <w:tcPr>
            <w:tcW w:w="932" w:type="dxa"/>
            <w:vAlign w:val="center"/>
          </w:tcPr>
          <w:p>
            <w:pPr>
              <w:autoSpaceDE w:val="0"/>
              <w:autoSpaceDN w:val="0"/>
              <w:adjustRightInd w:val="0"/>
              <w:spacing w:line="420" w:lineRule="exact"/>
              <w:jc w:val="center"/>
              <w:rPr>
                <w:rFonts w:ascii="宋体" w:cs="宋体"/>
                <w:color w:val="auto"/>
                <w:kern w:val="0"/>
                <w:sz w:val="24"/>
              </w:rPr>
            </w:pPr>
          </w:p>
        </w:tc>
      </w:tr>
    </w:tbl>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18"/>
          <w:szCs w:val="18"/>
        </w:rPr>
      </w:pPr>
    </w:p>
    <w:p>
      <w:pPr>
        <w:pStyle w:val="6"/>
        <w:rPr>
          <w:rFonts w:ascii="宋体" w:cs="宋体"/>
          <w:b w:val="0"/>
          <w:color w:val="auto"/>
          <w:kern w:val="0"/>
          <w:sz w:val="24"/>
        </w:rPr>
      </w:pPr>
      <w:bookmarkStart w:id="558" w:name="_Toc18636"/>
      <w:bookmarkStart w:id="559" w:name="_Toc9903"/>
      <w:bookmarkStart w:id="560" w:name="_Toc19972"/>
      <w:bookmarkStart w:id="561" w:name="_Toc11757"/>
      <w:bookmarkStart w:id="562" w:name="_Toc11001"/>
      <w:bookmarkStart w:id="563" w:name="_Toc7029"/>
      <w:r>
        <w:rPr>
          <w:rFonts w:hint="eastAsia" w:ascii="宋体" w:cs="宋体"/>
          <w:b w:val="0"/>
          <w:color w:val="auto"/>
          <w:kern w:val="0"/>
          <w:sz w:val="24"/>
        </w:rPr>
        <w:t>附表二：拟配备本项目的试验和检测仪器设备表</w:t>
      </w:r>
      <w:bookmarkEnd w:id="558"/>
      <w:bookmarkEnd w:id="559"/>
      <w:bookmarkEnd w:id="560"/>
      <w:bookmarkEnd w:id="561"/>
      <w:bookmarkEnd w:id="562"/>
      <w:bookmarkEnd w:id="563"/>
    </w:p>
    <w:p>
      <w:pPr>
        <w:autoSpaceDE w:val="0"/>
        <w:autoSpaceDN w:val="0"/>
        <w:adjustRightInd w:val="0"/>
        <w:spacing w:line="420" w:lineRule="exact"/>
        <w:jc w:val="left"/>
        <w:rPr>
          <w:rFonts w:ascii="宋体" w:cs="宋体"/>
          <w:color w:val="auto"/>
          <w:kern w:val="0"/>
          <w:sz w:val="24"/>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1227"/>
        <w:gridCol w:w="1026"/>
        <w:gridCol w:w="1026"/>
        <w:gridCol w:w="1025"/>
        <w:gridCol w:w="884"/>
        <w:gridCol w:w="1166"/>
        <w:gridCol w:w="1026"/>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jc w:val="center"/>
        </w:trPr>
        <w:tc>
          <w:tcPr>
            <w:tcW w:w="823"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序号</w:t>
            </w:r>
          </w:p>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仪器设备</w:t>
            </w:r>
          </w:p>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名称</w:t>
            </w:r>
          </w:p>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型号</w:t>
            </w:r>
          </w:p>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规格</w:t>
            </w:r>
          </w:p>
        </w:tc>
        <w:tc>
          <w:tcPr>
            <w:tcW w:w="1026"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数量</w:t>
            </w:r>
          </w:p>
        </w:tc>
        <w:tc>
          <w:tcPr>
            <w:tcW w:w="1025"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国别</w:t>
            </w:r>
          </w:p>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产地</w:t>
            </w:r>
          </w:p>
        </w:tc>
        <w:tc>
          <w:tcPr>
            <w:tcW w:w="884"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制造</w:t>
            </w:r>
          </w:p>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年份</w:t>
            </w:r>
          </w:p>
        </w:tc>
        <w:tc>
          <w:tcPr>
            <w:tcW w:w="1166"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已使用台</w:t>
            </w:r>
          </w:p>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时数</w:t>
            </w:r>
          </w:p>
        </w:tc>
        <w:tc>
          <w:tcPr>
            <w:tcW w:w="1026"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用途</w:t>
            </w:r>
          </w:p>
        </w:tc>
        <w:tc>
          <w:tcPr>
            <w:tcW w:w="1026"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823" w:type="dxa"/>
            <w:vAlign w:val="center"/>
          </w:tcPr>
          <w:p>
            <w:pPr>
              <w:autoSpaceDE w:val="0"/>
              <w:autoSpaceDN w:val="0"/>
              <w:adjustRightInd w:val="0"/>
              <w:spacing w:line="420" w:lineRule="exact"/>
              <w:jc w:val="center"/>
              <w:rPr>
                <w:rFonts w:ascii="宋体" w:cs="宋体"/>
                <w:color w:val="auto"/>
                <w:kern w:val="0"/>
                <w:sz w:val="24"/>
              </w:rPr>
            </w:pPr>
          </w:p>
        </w:tc>
        <w:tc>
          <w:tcPr>
            <w:tcW w:w="1227"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5" w:type="dxa"/>
            <w:vAlign w:val="center"/>
          </w:tcPr>
          <w:p>
            <w:pPr>
              <w:autoSpaceDE w:val="0"/>
              <w:autoSpaceDN w:val="0"/>
              <w:adjustRightInd w:val="0"/>
              <w:spacing w:line="420" w:lineRule="exact"/>
              <w:jc w:val="center"/>
              <w:rPr>
                <w:rFonts w:ascii="宋体" w:cs="宋体"/>
                <w:color w:val="auto"/>
                <w:kern w:val="0"/>
                <w:sz w:val="24"/>
              </w:rPr>
            </w:pPr>
          </w:p>
        </w:tc>
        <w:tc>
          <w:tcPr>
            <w:tcW w:w="884" w:type="dxa"/>
            <w:vAlign w:val="center"/>
          </w:tcPr>
          <w:p>
            <w:pPr>
              <w:autoSpaceDE w:val="0"/>
              <w:autoSpaceDN w:val="0"/>
              <w:adjustRightInd w:val="0"/>
              <w:spacing w:line="420" w:lineRule="exact"/>
              <w:jc w:val="center"/>
              <w:rPr>
                <w:rFonts w:ascii="宋体" w:cs="宋体"/>
                <w:color w:val="auto"/>
                <w:kern w:val="0"/>
                <w:sz w:val="24"/>
              </w:rPr>
            </w:pPr>
          </w:p>
        </w:tc>
        <w:tc>
          <w:tcPr>
            <w:tcW w:w="116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c>
          <w:tcPr>
            <w:tcW w:w="1026" w:type="dxa"/>
            <w:vAlign w:val="center"/>
          </w:tcPr>
          <w:p>
            <w:pPr>
              <w:autoSpaceDE w:val="0"/>
              <w:autoSpaceDN w:val="0"/>
              <w:adjustRightInd w:val="0"/>
              <w:spacing w:line="420" w:lineRule="exact"/>
              <w:jc w:val="center"/>
              <w:rPr>
                <w:rFonts w:ascii="宋体" w:cs="宋体"/>
                <w:color w:val="auto"/>
                <w:kern w:val="0"/>
                <w:sz w:val="24"/>
              </w:rPr>
            </w:pPr>
          </w:p>
        </w:tc>
      </w:tr>
    </w:tbl>
    <w:p>
      <w:pPr>
        <w:autoSpaceDE w:val="0"/>
        <w:autoSpaceDN w:val="0"/>
        <w:adjustRightInd w:val="0"/>
        <w:spacing w:line="420" w:lineRule="exact"/>
        <w:jc w:val="left"/>
        <w:rPr>
          <w:rFonts w:ascii="宋体" w:cs="宋体"/>
          <w:color w:val="auto"/>
          <w:kern w:val="0"/>
          <w:sz w:val="24"/>
        </w:rPr>
      </w:pPr>
    </w:p>
    <w:p>
      <w:pPr>
        <w:pStyle w:val="6"/>
        <w:spacing w:before="0"/>
        <w:rPr>
          <w:rFonts w:ascii="宋体" w:cs="宋体"/>
          <w:b w:val="0"/>
          <w:color w:val="auto"/>
          <w:kern w:val="0"/>
        </w:rPr>
      </w:pPr>
      <w:r>
        <w:rPr>
          <w:rFonts w:hint="eastAsia" w:ascii="宋体" w:cs="宋体"/>
          <w:b w:val="0"/>
          <w:color w:val="auto"/>
          <w:kern w:val="0"/>
          <w:szCs w:val="21"/>
        </w:rPr>
        <w:br w:type="page"/>
      </w:r>
      <w:bookmarkStart w:id="564" w:name="_Toc6986"/>
      <w:bookmarkStart w:id="565" w:name="_Toc24103"/>
      <w:bookmarkStart w:id="566" w:name="_Toc31513"/>
      <w:bookmarkStart w:id="567" w:name="_Toc10437"/>
      <w:bookmarkStart w:id="568" w:name="_Toc19361"/>
      <w:bookmarkStart w:id="569" w:name="_Toc16888"/>
      <w:r>
        <w:rPr>
          <w:rFonts w:hint="eastAsia" w:ascii="宋体" w:cs="宋体"/>
          <w:b w:val="0"/>
          <w:color w:val="auto"/>
          <w:kern w:val="0"/>
          <w:sz w:val="24"/>
        </w:rPr>
        <w:t>附表三：劳动力计划表</w:t>
      </w:r>
      <w:bookmarkEnd w:id="564"/>
      <w:bookmarkEnd w:id="565"/>
      <w:bookmarkEnd w:id="566"/>
      <w:bookmarkEnd w:id="567"/>
      <w:bookmarkEnd w:id="568"/>
      <w:bookmarkEnd w:id="569"/>
    </w:p>
    <w:p>
      <w:pPr>
        <w:autoSpaceDE w:val="0"/>
        <w:autoSpaceDN w:val="0"/>
        <w:adjustRightInd w:val="0"/>
        <w:spacing w:line="420" w:lineRule="exact"/>
        <w:jc w:val="right"/>
        <w:rPr>
          <w:rFonts w:ascii="宋体" w:cs="宋体"/>
          <w:color w:val="auto"/>
          <w:kern w:val="0"/>
          <w:szCs w:val="21"/>
        </w:rPr>
      </w:pPr>
      <w:r>
        <w:rPr>
          <w:rFonts w:hint="eastAsia" w:ascii="宋体" w:cs="宋体"/>
          <w:color w:val="auto"/>
          <w:kern w:val="0"/>
          <w:szCs w:val="21"/>
        </w:rPr>
        <w:t>单位：人</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1164"/>
        <w:gridCol w:w="1165"/>
        <w:gridCol w:w="1165"/>
        <w:gridCol w:w="1165"/>
        <w:gridCol w:w="1165"/>
        <w:gridCol w:w="1165"/>
        <w:gridCol w:w="1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工种</w:t>
            </w:r>
          </w:p>
        </w:tc>
        <w:tc>
          <w:tcPr>
            <w:tcW w:w="8157" w:type="dxa"/>
            <w:gridSpan w:val="7"/>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4"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5" w:type="dxa"/>
            <w:vAlign w:val="center"/>
          </w:tcPr>
          <w:p>
            <w:pPr>
              <w:autoSpaceDE w:val="0"/>
              <w:autoSpaceDN w:val="0"/>
              <w:adjustRightInd w:val="0"/>
              <w:spacing w:line="420" w:lineRule="exact"/>
              <w:jc w:val="center"/>
              <w:rPr>
                <w:rFonts w:ascii="宋体" w:cs="宋体"/>
                <w:color w:val="auto"/>
                <w:kern w:val="0"/>
                <w:szCs w:val="21"/>
              </w:rPr>
            </w:pPr>
          </w:p>
        </w:tc>
        <w:tc>
          <w:tcPr>
            <w:tcW w:w="1168" w:type="dxa"/>
            <w:vAlign w:val="center"/>
          </w:tcPr>
          <w:p>
            <w:pPr>
              <w:autoSpaceDE w:val="0"/>
              <w:autoSpaceDN w:val="0"/>
              <w:adjustRightInd w:val="0"/>
              <w:spacing w:line="420" w:lineRule="exact"/>
              <w:jc w:val="center"/>
              <w:rPr>
                <w:rFonts w:ascii="宋体" w:cs="宋体"/>
                <w:color w:val="auto"/>
                <w:kern w:val="0"/>
                <w:szCs w:val="21"/>
              </w:rPr>
            </w:pPr>
          </w:p>
        </w:tc>
      </w:tr>
    </w:tbl>
    <w:p>
      <w:pPr>
        <w:rPr>
          <w:rFonts w:ascii="宋体" w:cs="宋体"/>
          <w:color w:val="auto"/>
          <w:szCs w:val="21"/>
        </w:rPr>
      </w:pPr>
      <w:bookmarkStart w:id="570" w:name="_Toc4077"/>
      <w:bookmarkStart w:id="571" w:name="_Toc4259"/>
      <w:bookmarkStart w:id="572" w:name="_Toc7730"/>
      <w:bookmarkStart w:id="573" w:name="_Toc14978"/>
      <w:bookmarkStart w:id="574" w:name="_Toc21027"/>
      <w:bookmarkStart w:id="575" w:name="_Toc6020"/>
      <w:r>
        <w:rPr>
          <w:rFonts w:hint="eastAsia" w:ascii="宋体" w:cs="宋体"/>
          <w:color w:val="auto"/>
          <w:szCs w:val="21"/>
        </w:rPr>
        <w:br w:type="page"/>
      </w:r>
    </w:p>
    <w:p>
      <w:pPr>
        <w:spacing w:line="360" w:lineRule="auto"/>
        <w:ind w:firstLine="420" w:firstLineChars="200"/>
        <w:rPr>
          <w:rFonts w:ascii="宋体" w:cs="宋体"/>
          <w:color w:val="auto"/>
          <w:szCs w:val="21"/>
        </w:rPr>
      </w:pPr>
      <w:r>
        <w:rPr>
          <w:rFonts w:hint="eastAsia" w:ascii="宋体" w:cs="宋体"/>
          <w:color w:val="auto"/>
          <w:szCs w:val="21"/>
        </w:rPr>
        <w:t>附表四：计划开、竣工日期和施工进度网络图</w:t>
      </w:r>
      <w:bookmarkEnd w:id="570"/>
      <w:bookmarkEnd w:id="571"/>
      <w:bookmarkEnd w:id="572"/>
      <w:bookmarkEnd w:id="573"/>
      <w:bookmarkEnd w:id="574"/>
      <w:bookmarkEnd w:id="575"/>
    </w:p>
    <w:p>
      <w:pPr>
        <w:spacing w:line="360" w:lineRule="auto"/>
        <w:ind w:firstLine="420" w:firstLineChars="200"/>
        <w:rPr>
          <w:rFonts w:ascii="宋体" w:cs="宋体"/>
          <w:color w:val="auto"/>
          <w:szCs w:val="21"/>
        </w:rPr>
      </w:pPr>
      <w:r>
        <w:rPr>
          <w:rFonts w:hint="eastAsia" w:ascii="宋体" w:cs="宋体"/>
          <w:color w:val="auto"/>
          <w:szCs w:val="21"/>
        </w:rPr>
        <w:t>1. 投标人应递交施工进度网络图或施工进度表，说明按招标文件要求的计划工期进行施工的各个关键日期。</w:t>
      </w:r>
    </w:p>
    <w:p>
      <w:pPr>
        <w:spacing w:line="360" w:lineRule="auto"/>
        <w:ind w:firstLine="420" w:firstLineChars="200"/>
        <w:rPr>
          <w:rFonts w:ascii="宋体" w:cs="宋体"/>
          <w:color w:val="auto"/>
          <w:szCs w:val="21"/>
        </w:rPr>
      </w:pPr>
      <w:r>
        <w:rPr>
          <w:rFonts w:hint="eastAsia" w:ascii="宋体" w:cs="宋体"/>
          <w:color w:val="auto"/>
          <w:szCs w:val="21"/>
        </w:rPr>
        <w:t>2. 施工进度表可采用网络图表示。</w:t>
      </w:r>
    </w:p>
    <w:p>
      <w:pPr>
        <w:spacing w:line="360" w:lineRule="auto"/>
        <w:ind w:firstLine="420" w:firstLineChars="200"/>
        <w:rPr>
          <w:rFonts w:ascii="宋体" w:cs="宋体"/>
          <w:color w:val="auto"/>
          <w:szCs w:val="21"/>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spacing w:line="360" w:lineRule="auto"/>
        <w:ind w:firstLine="420" w:firstLineChars="200"/>
        <w:rPr>
          <w:rFonts w:ascii="宋体" w:cs="宋体"/>
          <w:color w:val="auto"/>
          <w:szCs w:val="21"/>
        </w:rPr>
      </w:pPr>
      <w:bookmarkStart w:id="576" w:name="_Toc9150"/>
      <w:bookmarkStart w:id="577" w:name="_Toc9971"/>
      <w:bookmarkStart w:id="578" w:name="_Toc24292"/>
      <w:bookmarkStart w:id="579" w:name="_Toc28505"/>
      <w:bookmarkStart w:id="580" w:name="_Toc21259"/>
      <w:bookmarkStart w:id="581" w:name="_Toc14100"/>
      <w:r>
        <w:rPr>
          <w:rFonts w:hint="eastAsia" w:ascii="宋体" w:cs="宋体"/>
          <w:color w:val="auto"/>
          <w:szCs w:val="21"/>
        </w:rPr>
        <w:br w:type="page"/>
      </w:r>
      <w:r>
        <w:rPr>
          <w:rFonts w:hint="eastAsia" w:ascii="宋体" w:cs="宋体"/>
          <w:color w:val="auto"/>
          <w:szCs w:val="21"/>
        </w:rPr>
        <w:t>附表五：施工总平面图</w:t>
      </w:r>
      <w:bookmarkEnd w:id="576"/>
      <w:bookmarkEnd w:id="577"/>
      <w:bookmarkEnd w:id="578"/>
      <w:bookmarkEnd w:id="579"/>
      <w:bookmarkEnd w:id="580"/>
      <w:bookmarkEnd w:id="581"/>
    </w:p>
    <w:p>
      <w:pPr>
        <w:autoSpaceDE w:val="0"/>
        <w:autoSpaceDN w:val="0"/>
        <w:adjustRightInd w:val="0"/>
        <w:spacing w:line="420" w:lineRule="exact"/>
        <w:jc w:val="left"/>
        <w:rPr>
          <w:rFonts w:ascii="宋体" w:cs="宋体"/>
          <w:color w:val="auto"/>
          <w:kern w:val="0"/>
          <w:sz w:val="24"/>
        </w:rPr>
      </w:pPr>
    </w:p>
    <w:p>
      <w:pPr>
        <w:pStyle w:val="3"/>
        <w:rPr>
          <w:color w:val="auto"/>
        </w:rPr>
      </w:pPr>
    </w:p>
    <w:p>
      <w:pPr>
        <w:autoSpaceDE w:val="0"/>
        <w:autoSpaceDN w:val="0"/>
        <w:adjustRightInd w:val="0"/>
        <w:spacing w:line="420" w:lineRule="exact"/>
        <w:jc w:val="left"/>
        <w:rPr>
          <w:rFonts w:ascii="宋体" w:cs="宋体"/>
          <w:color w:val="auto"/>
          <w:kern w:val="0"/>
          <w:sz w:val="24"/>
        </w:rPr>
      </w:pPr>
    </w:p>
    <w:p>
      <w:pPr>
        <w:spacing w:line="360" w:lineRule="auto"/>
        <w:ind w:firstLine="420" w:firstLineChars="200"/>
        <w:rPr>
          <w:rFonts w:ascii="宋体" w:cs="宋体"/>
          <w:color w:val="auto"/>
          <w:szCs w:val="21"/>
        </w:rPr>
      </w:pPr>
      <w:r>
        <w:rPr>
          <w:rFonts w:hint="eastAsia" w:ascii="宋体" w:cs="宋体"/>
          <w:color w:val="auto"/>
          <w:szCs w:val="21"/>
        </w:rPr>
        <w:t>投标人应递交一份施工总平面图，绘出现场临时设施布置图表并附文字说明，说明临时设施、加工车间、现场办公、设备及仓储、供电、供水、卫生、生活、道路、消防等设施的情况和布置。</w:t>
      </w:r>
    </w:p>
    <w:p>
      <w:pPr>
        <w:spacing w:line="360" w:lineRule="auto"/>
        <w:ind w:firstLine="420" w:firstLineChars="200"/>
        <w:rPr>
          <w:rFonts w:ascii="宋体" w:cs="宋体"/>
          <w:color w:val="auto"/>
          <w:szCs w:val="21"/>
        </w:rPr>
      </w:pPr>
    </w:p>
    <w:p>
      <w:pPr>
        <w:spacing w:line="360" w:lineRule="auto"/>
        <w:ind w:firstLine="420" w:firstLineChars="200"/>
        <w:rPr>
          <w:rFonts w:ascii="宋体" w:cs="宋体"/>
          <w:color w:val="auto"/>
          <w:szCs w:val="21"/>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spacing w:line="360" w:lineRule="auto"/>
        <w:ind w:firstLine="480" w:firstLineChars="200"/>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pStyle w:val="6"/>
        <w:rPr>
          <w:rFonts w:ascii="宋体" w:cs="宋体"/>
          <w:b w:val="0"/>
          <w:color w:val="auto"/>
          <w:kern w:val="0"/>
          <w:sz w:val="24"/>
        </w:rPr>
      </w:pPr>
      <w:bookmarkStart w:id="582" w:name="_Toc3482"/>
      <w:bookmarkStart w:id="583" w:name="_Toc9045"/>
      <w:bookmarkStart w:id="584" w:name="_Toc981"/>
      <w:bookmarkStart w:id="585" w:name="_Toc16633"/>
      <w:bookmarkStart w:id="586" w:name="_Toc11833"/>
      <w:bookmarkStart w:id="587" w:name="_Toc4439"/>
      <w:r>
        <w:rPr>
          <w:rFonts w:hint="eastAsia" w:ascii="宋体" w:cs="宋体"/>
          <w:b w:val="0"/>
          <w:color w:val="auto"/>
          <w:kern w:val="0"/>
          <w:sz w:val="24"/>
        </w:rPr>
        <w:t>附表六：临时用地表</w:t>
      </w:r>
      <w:bookmarkEnd w:id="582"/>
      <w:bookmarkEnd w:id="583"/>
      <w:bookmarkEnd w:id="584"/>
      <w:bookmarkEnd w:id="585"/>
      <w:bookmarkEnd w:id="586"/>
      <w:bookmarkEnd w:id="587"/>
    </w:p>
    <w:p>
      <w:pPr>
        <w:autoSpaceDE w:val="0"/>
        <w:autoSpaceDN w:val="0"/>
        <w:adjustRightInd w:val="0"/>
        <w:spacing w:line="420" w:lineRule="exact"/>
        <w:jc w:val="left"/>
        <w:rPr>
          <w:rFonts w:ascii="宋体" w:cs="宋体"/>
          <w:color w:val="auto"/>
          <w:kern w:val="0"/>
          <w:sz w:val="24"/>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8"/>
        <w:gridCol w:w="2328"/>
        <w:gridCol w:w="2329"/>
        <w:gridCol w:w="2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 w:val="24"/>
              </w:rPr>
              <w:t>用 途</w:t>
            </w:r>
          </w:p>
        </w:tc>
        <w:tc>
          <w:tcPr>
            <w:tcW w:w="2328"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 w:val="24"/>
              </w:rPr>
              <w:t>面 积（平方米）</w:t>
            </w:r>
          </w:p>
        </w:tc>
        <w:tc>
          <w:tcPr>
            <w:tcW w:w="2329"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 w:val="24"/>
              </w:rPr>
              <w:t>位 置</w:t>
            </w:r>
          </w:p>
        </w:tc>
        <w:tc>
          <w:tcPr>
            <w:tcW w:w="2329"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 w:val="24"/>
              </w:rPr>
              <w:t>需用时间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8"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c>
          <w:tcPr>
            <w:tcW w:w="2329" w:type="dxa"/>
            <w:vAlign w:val="center"/>
          </w:tcPr>
          <w:p>
            <w:pPr>
              <w:autoSpaceDE w:val="0"/>
              <w:autoSpaceDN w:val="0"/>
              <w:adjustRightInd w:val="0"/>
              <w:spacing w:line="420" w:lineRule="exact"/>
              <w:jc w:val="center"/>
              <w:rPr>
                <w:rFonts w:ascii="宋体" w:cs="宋体"/>
                <w:color w:val="auto"/>
                <w:kern w:val="0"/>
                <w:sz w:val="24"/>
              </w:rPr>
            </w:pPr>
          </w:p>
        </w:tc>
      </w:tr>
    </w:tbl>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18"/>
          <w:szCs w:val="18"/>
        </w:rPr>
      </w:pPr>
    </w:p>
    <w:p>
      <w:pPr>
        <w:autoSpaceDE w:val="0"/>
        <w:autoSpaceDN w:val="0"/>
        <w:adjustRightInd w:val="0"/>
        <w:spacing w:line="420" w:lineRule="exact"/>
        <w:jc w:val="left"/>
        <w:rPr>
          <w:rFonts w:ascii="宋体" w:cs="宋体"/>
          <w:color w:val="auto"/>
          <w:kern w:val="0"/>
          <w:sz w:val="28"/>
          <w:szCs w:val="28"/>
        </w:rPr>
      </w:pPr>
    </w:p>
    <w:p>
      <w:pPr>
        <w:pStyle w:val="6"/>
        <w:jc w:val="center"/>
        <w:rPr>
          <w:rFonts w:ascii="宋体" w:cs="宋体"/>
          <w:color w:val="auto"/>
          <w:kern w:val="0"/>
          <w:sz w:val="28"/>
          <w:szCs w:val="28"/>
        </w:rPr>
      </w:pPr>
      <w:bookmarkStart w:id="588" w:name="_Toc18109"/>
      <w:bookmarkStart w:id="589" w:name="_Toc11991"/>
      <w:bookmarkStart w:id="590" w:name="_Toc25042"/>
      <w:bookmarkStart w:id="591" w:name="_Toc23925"/>
      <w:bookmarkStart w:id="592" w:name="_Toc23084"/>
      <w:bookmarkStart w:id="593" w:name="_Toc22060"/>
      <w:r>
        <w:rPr>
          <w:rFonts w:hint="eastAsia" w:ascii="宋体" w:cs="宋体"/>
          <w:color w:val="auto"/>
          <w:kern w:val="0"/>
          <w:sz w:val="28"/>
          <w:szCs w:val="28"/>
        </w:rPr>
        <w:t>七、</w:t>
      </w:r>
      <w:bookmarkEnd w:id="588"/>
      <w:bookmarkEnd w:id="589"/>
      <w:bookmarkEnd w:id="590"/>
      <w:bookmarkEnd w:id="591"/>
      <w:bookmarkEnd w:id="592"/>
      <w:bookmarkEnd w:id="593"/>
      <w:r>
        <w:rPr>
          <w:rFonts w:hint="eastAsia" w:ascii="宋体" w:cs="宋体"/>
          <w:color w:val="auto"/>
          <w:kern w:val="0"/>
          <w:sz w:val="28"/>
          <w:szCs w:val="28"/>
        </w:rPr>
        <w:t>投标人基本情况</w:t>
      </w:r>
    </w:p>
    <w:p>
      <w:pPr>
        <w:autoSpaceDE w:val="0"/>
        <w:autoSpaceDN w:val="0"/>
        <w:adjustRightInd w:val="0"/>
        <w:spacing w:line="360" w:lineRule="auto"/>
        <w:jc w:val="left"/>
        <w:rPr>
          <w:rFonts w:ascii="宋体" w:cs="宋体"/>
          <w:color w:val="auto"/>
          <w:kern w:val="0"/>
          <w:sz w:val="28"/>
          <w:szCs w:val="28"/>
        </w:rPr>
      </w:pPr>
      <w:r>
        <w:rPr>
          <w:rFonts w:hint="eastAsia" w:ascii="宋体" w:cs="宋体"/>
          <w:color w:val="auto"/>
          <w:kern w:val="0"/>
          <w:sz w:val="28"/>
          <w:szCs w:val="28"/>
        </w:rPr>
        <w:t>（一）投标人基本情况表</w:t>
      </w:r>
    </w:p>
    <w:p>
      <w:pPr>
        <w:pStyle w:val="4"/>
        <w:rPr>
          <w:color w:val="auto"/>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1107"/>
        <w:gridCol w:w="1330"/>
        <w:gridCol w:w="1331"/>
        <w:gridCol w:w="1106"/>
        <w:gridCol w:w="225"/>
        <w:gridCol w:w="1331"/>
        <w:gridCol w:w="1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投标人名称</w:t>
            </w:r>
          </w:p>
        </w:tc>
        <w:tc>
          <w:tcPr>
            <w:tcW w:w="7761" w:type="dxa"/>
            <w:gridSpan w:val="7"/>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注册地址</w:t>
            </w:r>
          </w:p>
        </w:tc>
        <w:tc>
          <w:tcPr>
            <w:tcW w:w="3768" w:type="dxa"/>
            <w:gridSpan w:val="3"/>
            <w:vAlign w:val="center"/>
          </w:tcPr>
          <w:p>
            <w:pPr>
              <w:autoSpaceDE w:val="0"/>
              <w:autoSpaceDN w:val="0"/>
              <w:adjustRightInd w:val="0"/>
              <w:spacing w:line="360" w:lineRule="auto"/>
              <w:jc w:val="center"/>
              <w:rPr>
                <w:rFonts w:ascii="宋体" w:cs="宋体"/>
                <w:color w:val="auto"/>
                <w:kern w:val="0"/>
                <w:sz w:val="24"/>
              </w:rPr>
            </w:pPr>
          </w:p>
        </w:tc>
        <w:tc>
          <w:tcPr>
            <w:tcW w:w="1331" w:type="dxa"/>
            <w:gridSpan w:val="2"/>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邮政编码</w:t>
            </w:r>
          </w:p>
        </w:tc>
        <w:tc>
          <w:tcPr>
            <w:tcW w:w="2662" w:type="dxa"/>
            <w:gridSpan w:val="2"/>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1552" w:type="dxa"/>
            <w:vMerge w:val="restart"/>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联系方式</w:t>
            </w:r>
          </w:p>
        </w:tc>
        <w:tc>
          <w:tcPr>
            <w:tcW w:w="1107"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联系人</w:t>
            </w:r>
          </w:p>
        </w:tc>
        <w:tc>
          <w:tcPr>
            <w:tcW w:w="2661" w:type="dxa"/>
            <w:gridSpan w:val="2"/>
            <w:vAlign w:val="center"/>
          </w:tcPr>
          <w:p>
            <w:pPr>
              <w:autoSpaceDE w:val="0"/>
              <w:autoSpaceDN w:val="0"/>
              <w:adjustRightInd w:val="0"/>
              <w:spacing w:line="360" w:lineRule="auto"/>
              <w:jc w:val="center"/>
              <w:rPr>
                <w:rFonts w:ascii="宋体" w:cs="宋体"/>
                <w:color w:val="auto"/>
                <w:kern w:val="0"/>
                <w:sz w:val="24"/>
              </w:rPr>
            </w:pPr>
          </w:p>
        </w:tc>
        <w:tc>
          <w:tcPr>
            <w:tcW w:w="1331" w:type="dxa"/>
            <w:gridSpan w:val="2"/>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电 话</w:t>
            </w:r>
          </w:p>
        </w:tc>
        <w:tc>
          <w:tcPr>
            <w:tcW w:w="2662" w:type="dxa"/>
            <w:gridSpan w:val="2"/>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 w:hRule="atLeast"/>
          <w:jc w:val="center"/>
        </w:trPr>
        <w:tc>
          <w:tcPr>
            <w:tcW w:w="1552" w:type="dxa"/>
            <w:vMerge w:val="continue"/>
            <w:vAlign w:val="center"/>
          </w:tcPr>
          <w:p>
            <w:pPr>
              <w:rPr>
                <w:color w:val="auto"/>
              </w:rPr>
            </w:pPr>
          </w:p>
        </w:tc>
        <w:tc>
          <w:tcPr>
            <w:tcW w:w="1107"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传  真</w:t>
            </w:r>
          </w:p>
        </w:tc>
        <w:tc>
          <w:tcPr>
            <w:tcW w:w="2661" w:type="dxa"/>
            <w:gridSpan w:val="2"/>
            <w:vAlign w:val="center"/>
          </w:tcPr>
          <w:p>
            <w:pPr>
              <w:autoSpaceDE w:val="0"/>
              <w:autoSpaceDN w:val="0"/>
              <w:adjustRightInd w:val="0"/>
              <w:spacing w:line="360" w:lineRule="auto"/>
              <w:jc w:val="center"/>
              <w:rPr>
                <w:rFonts w:ascii="宋体" w:cs="宋体"/>
                <w:color w:val="auto"/>
                <w:kern w:val="0"/>
                <w:sz w:val="24"/>
              </w:rPr>
            </w:pPr>
          </w:p>
        </w:tc>
        <w:tc>
          <w:tcPr>
            <w:tcW w:w="1331" w:type="dxa"/>
            <w:gridSpan w:val="2"/>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网 址</w:t>
            </w:r>
          </w:p>
        </w:tc>
        <w:tc>
          <w:tcPr>
            <w:tcW w:w="2662" w:type="dxa"/>
            <w:gridSpan w:val="2"/>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组织结构</w:t>
            </w:r>
          </w:p>
        </w:tc>
        <w:tc>
          <w:tcPr>
            <w:tcW w:w="7761" w:type="dxa"/>
            <w:gridSpan w:val="7"/>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法定代表人</w:t>
            </w:r>
          </w:p>
        </w:tc>
        <w:tc>
          <w:tcPr>
            <w:tcW w:w="1107"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姓名</w:t>
            </w:r>
          </w:p>
        </w:tc>
        <w:tc>
          <w:tcPr>
            <w:tcW w:w="1330" w:type="dxa"/>
            <w:vAlign w:val="center"/>
          </w:tcPr>
          <w:p>
            <w:pPr>
              <w:autoSpaceDE w:val="0"/>
              <w:autoSpaceDN w:val="0"/>
              <w:adjustRightInd w:val="0"/>
              <w:spacing w:line="360" w:lineRule="auto"/>
              <w:jc w:val="center"/>
              <w:rPr>
                <w:rFonts w:ascii="宋体" w:cs="宋体"/>
                <w:color w:val="auto"/>
                <w:kern w:val="0"/>
                <w:sz w:val="24"/>
              </w:rPr>
            </w:pPr>
          </w:p>
        </w:tc>
        <w:tc>
          <w:tcPr>
            <w:tcW w:w="1331"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技术职称</w:t>
            </w:r>
          </w:p>
        </w:tc>
        <w:tc>
          <w:tcPr>
            <w:tcW w:w="1331" w:type="dxa"/>
            <w:gridSpan w:val="2"/>
            <w:vAlign w:val="center"/>
          </w:tcPr>
          <w:p>
            <w:pPr>
              <w:autoSpaceDE w:val="0"/>
              <w:autoSpaceDN w:val="0"/>
              <w:adjustRightInd w:val="0"/>
              <w:spacing w:line="360" w:lineRule="auto"/>
              <w:jc w:val="center"/>
              <w:rPr>
                <w:rFonts w:ascii="宋体" w:cs="宋体"/>
                <w:color w:val="auto"/>
                <w:kern w:val="0"/>
                <w:sz w:val="24"/>
              </w:rPr>
            </w:pPr>
          </w:p>
        </w:tc>
        <w:tc>
          <w:tcPr>
            <w:tcW w:w="1331"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电话</w:t>
            </w:r>
          </w:p>
        </w:tc>
        <w:tc>
          <w:tcPr>
            <w:tcW w:w="1331" w:type="dxa"/>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技术负责人</w:t>
            </w:r>
          </w:p>
        </w:tc>
        <w:tc>
          <w:tcPr>
            <w:tcW w:w="1107"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姓名</w:t>
            </w:r>
          </w:p>
        </w:tc>
        <w:tc>
          <w:tcPr>
            <w:tcW w:w="1330" w:type="dxa"/>
            <w:vAlign w:val="center"/>
          </w:tcPr>
          <w:p>
            <w:pPr>
              <w:autoSpaceDE w:val="0"/>
              <w:autoSpaceDN w:val="0"/>
              <w:adjustRightInd w:val="0"/>
              <w:spacing w:line="360" w:lineRule="auto"/>
              <w:jc w:val="center"/>
              <w:rPr>
                <w:rFonts w:ascii="宋体" w:cs="宋体"/>
                <w:color w:val="auto"/>
                <w:kern w:val="0"/>
                <w:sz w:val="24"/>
              </w:rPr>
            </w:pPr>
          </w:p>
        </w:tc>
        <w:tc>
          <w:tcPr>
            <w:tcW w:w="1331"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技术职称</w:t>
            </w:r>
          </w:p>
        </w:tc>
        <w:tc>
          <w:tcPr>
            <w:tcW w:w="1331" w:type="dxa"/>
            <w:gridSpan w:val="2"/>
            <w:vAlign w:val="center"/>
          </w:tcPr>
          <w:p>
            <w:pPr>
              <w:autoSpaceDE w:val="0"/>
              <w:autoSpaceDN w:val="0"/>
              <w:adjustRightInd w:val="0"/>
              <w:spacing w:line="360" w:lineRule="auto"/>
              <w:jc w:val="center"/>
              <w:rPr>
                <w:rFonts w:ascii="宋体" w:cs="宋体"/>
                <w:color w:val="auto"/>
                <w:kern w:val="0"/>
                <w:sz w:val="24"/>
              </w:rPr>
            </w:pPr>
          </w:p>
        </w:tc>
        <w:tc>
          <w:tcPr>
            <w:tcW w:w="1331"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电话</w:t>
            </w:r>
          </w:p>
        </w:tc>
        <w:tc>
          <w:tcPr>
            <w:tcW w:w="1331" w:type="dxa"/>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成立时间</w:t>
            </w:r>
          </w:p>
        </w:tc>
        <w:tc>
          <w:tcPr>
            <w:tcW w:w="3768" w:type="dxa"/>
            <w:gridSpan w:val="3"/>
            <w:vAlign w:val="center"/>
          </w:tcPr>
          <w:p>
            <w:pPr>
              <w:autoSpaceDE w:val="0"/>
              <w:autoSpaceDN w:val="0"/>
              <w:adjustRightInd w:val="0"/>
              <w:spacing w:line="360" w:lineRule="auto"/>
              <w:jc w:val="center"/>
              <w:rPr>
                <w:rFonts w:ascii="宋体" w:cs="宋体"/>
                <w:color w:val="auto"/>
                <w:kern w:val="0"/>
                <w:sz w:val="24"/>
              </w:rPr>
            </w:pPr>
          </w:p>
        </w:tc>
        <w:tc>
          <w:tcPr>
            <w:tcW w:w="3993" w:type="dxa"/>
            <w:gridSpan w:val="4"/>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企业资质等级</w:t>
            </w:r>
          </w:p>
        </w:tc>
        <w:tc>
          <w:tcPr>
            <w:tcW w:w="3768" w:type="dxa"/>
            <w:gridSpan w:val="3"/>
            <w:vAlign w:val="center"/>
          </w:tcPr>
          <w:p>
            <w:pPr>
              <w:autoSpaceDE w:val="0"/>
              <w:autoSpaceDN w:val="0"/>
              <w:adjustRightInd w:val="0"/>
              <w:spacing w:line="360" w:lineRule="auto"/>
              <w:jc w:val="center"/>
              <w:rPr>
                <w:rFonts w:ascii="宋体" w:cs="宋体"/>
                <w:color w:val="auto"/>
                <w:kern w:val="0"/>
                <w:sz w:val="24"/>
              </w:rPr>
            </w:pPr>
          </w:p>
        </w:tc>
        <w:tc>
          <w:tcPr>
            <w:tcW w:w="1106" w:type="dxa"/>
            <w:vMerge w:val="restart"/>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其中</w:t>
            </w:r>
          </w:p>
        </w:tc>
        <w:tc>
          <w:tcPr>
            <w:tcW w:w="1556" w:type="dxa"/>
            <w:gridSpan w:val="2"/>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项目经理</w:t>
            </w:r>
          </w:p>
        </w:tc>
        <w:tc>
          <w:tcPr>
            <w:tcW w:w="1331" w:type="dxa"/>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营业执照号</w:t>
            </w:r>
          </w:p>
        </w:tc>
        <w:tc>
          <w:tcPr>
            <w:tcW w:w="3768" w:type="dxa"/>
            <w:gridSpan w:val="3"/>
            <w:vAlign w:val="center"/>
          </w:tcPr>
          <w:p>
            <w:pPr>
              <w:autoSpaceDE w:val="0"/>
              <w:autoSpaceDN w:val="0"/>
              <w:adjustRightInd w:val="0"/>
              <w:spacing w:line="360" w:lineRule="auto"/>
              <w:jc w:val="center"/>
              <w:rPr>
                <w:rFonts w:ascii="宋体" w:cs="宋体"/>
                <w:color w:val="auto"/>
                <w:kern w:val="0"/>
                <w:sz w:val="24"/>
              </w:rPr>
            </w:pPr>
          </w:p>
        </w:tc>
        <w:tc>
          <w:tcPr>
            <w:tcW w:w="1106" w:type="dxa"/>
            <w:vMerge w:val="continue"/>
            <w:vAlign w:val="center"/>
          </w:tcPr>
          <w:p>
            <w:pPr>
              <w:rPr>
                <w:color w:val="auto"/>
              </w:rPr>
            </w:pPr>
          </w:p>
        </w:tc>
        <w:tc>
          <w:tcPr>
            <w:tcW w:w="1556" w:type="dxa"/>
            <w:gridSpan w:val="2"/>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高级职称人员</w:t>
            </w:r>
          </w:p>
        </w:tc>
        <w:tc>
          <w:tcPr>
            <w:tcW w:w="1331" w:type="dxa"/>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注册资金</w:t>
            </w:r>
          </w:p>
        </w:tc>
        <w:tc>
          <w:tcPr>
            <w:tcW w:w="1107" w:type="dxa"/>
            <w:vAlign w:val="center"/>
          </w:tcPr>
          <w:p>
            <w:pPr>
              <w:autoSpaceDE w:val="0"/>
              <w:autoSpaceDN w:val="0"/>
              <w:adjustRightInd w:val="0"/>
              <w:spacing w:line="360" w:lineRule="auto"/>
              <w:jc w:val="center"/>
              <w:rPr>
                <w:rFonts w:ascii="宋体" w:cs="宋体"/>
                <w:color w:val="auto"/>
                <w:kern w:val="0"/>
                <w:sz w:val="24"/>
              </w:rPr>
            </w:pPr>
          </w:p>
        </w:tc>
        <w:tc>
          <w:tcPr>
            <w:tcW w:w="1330" w:type="dxa"/>
            <w:vAlign w:val="center"/>
          </w:tcPr>
          <w:p>
            <w:pPr>
              <w:autoSpaceDE w:val="0"/>
              <w:autoSpaceDN w:val="0"/>
              <w:adjustRightInd w:val="0"/>
              <w:spacing w:line="360" w:lineRule="auto"/>
              <w:jc w:val="center"/>
              <w:rPr>
                <w:rFonts w:ascii="宋体" w:cs="宋体"/>
                <w:color w:val="auto"/>
                <w:kern w:val="0"/>
                <w:sz w:val="24"/>
              </w:rPr>
            </w:pPr>
          </w:p>
        </w:tc>
        <w:tc>
          <w:tcPr>
            <w:tcW w:w="1331" w:type="dxa"/>
            <w:vAlign w:val="center"/>
          </w:tcPr>
          <w:p>
            <w:pPr>
              <w:autoSpaceDE w:val="0"/>
              <w:autoSpaceDN w:val="0"/>
              <w:adjustRightInd w:val="0"/>
              <w:spacing w:line="360" w:lineRule="auto"/>
              <w:jc w:val="center"/>
              <w:rPr>
                <w:rFonts w:ascii="宋体" w:cs="宋体"/>
                <w:color w:val="auto"/>
                <w:kern w:val="0"/>
                <w:sz w:val="24"/>
              </w:rPr>
            </w:pPr>
          </w:p>
        </w:tc>
        <w:tc>
          <w:tcPr>
            <w:tcW w:w="1106" w:type="dxa"/>
            <w:vMerge w:val="continue"/>
            <w:vAlign w:val="center"/>
          </w:tcPr>
          <w:p>
            <w:pPr>
              <w:rPr>
                <w:color w:val="auto"/>
              </w:rPr>
            </w:pPr>
          </w:p>
        </w:tc>
        <w:tc>
          <w:tcPr>
            <w:tcW w:w="1556" w:type="dxa"/>
            <w:gridSpan w:val="2"/>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中级职称人员</w:t>
            </w:r>
          </w:p>
        </w:tc>
        <w:tc>
          <w:tcPr>
            <w:tcW w:w="1331" w:type="dxa"/>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开户银行</w:t>
            </w:r>
          </w:p>
        </w:tc>
        <w:tc>
          <w:tcPr>
            <w:tcW w:w="1107" w:type="dxa"/>
            <w:vAlign w:val="center"/>
          </w:tcPr>
          <w:p>
            <w:pPr>
              <w:autoSpaceDE w:val="0"/>
              <w:autoSpaceDN w:val="0"/>
              <w:adjustRightInd w:val="0"/>
              <w:spacing w:line="360" w:lineRule="auto"/>
              <w:jc w:val="center"/>
              <w:rPr>
                <w:rFonts w:ascii="宋体" w:cs="宋体"/>
                <w:color w:val="auto"/>
                <w:kern w:val="0"/>
                <w:sz w:val="24"/>
              </w:rPr>
            </w:pPr>
          </w:p>
        </w:tc>
        <w:tc>
          <w:tcPr>
            <w:tcW w:w="1330" w:type="dxa"/>
            <w:vAlign w:val="center"/>
          </w:tcPr>
          <w:p>
            <w:pPr>
              <w:autoSpaceDE w:val="0"/>
              <w:autoSpaceDN w:val="0"/>
              <w:adjustRightInd w:val="0"/>
              <w:spacing w:line="360" w:lineRule="auto"/>
              <w:jc w:val="center"/>
              <w:rPr>
                <w:rFonts w:ascii="宋体" w:cs="宋体"/>
                <w:color w:val="auto"/>
                <w:kern w:val="0"/>
                <w:sz w:val="24"/>
              </w:rPr>
            </w:pPr>
          </w:p>
        </w:tc>
        <w:tc>
          <w:tcPr>
            <w:tcW w:w="1331" w:type="dxa"/>
            <w:vAlign w:val="center"/>
          </w:tcPr>
          <w:p>
            <w:pPr>
              <w:autoSpaceDE w:val="0"/>
              <w:autoSpaceDN w:val="0"/>
              <w:adjustRightInd w:val="0"/>
              <w:spacing w:line="360" w:lineRule="auto"/>
              <w:jc w:val="center"/>
              <w:rPr>
                <w:rFonts w:ascii="宋体" w:cs="宋体"/>
                <w:color w:val="auto"/>
                <w:kern w:val="0"/>
                <w:sz w:val="24"/>
              </w:rPr>
            </w:pPr>
          </w:p>
        </w:tc>
        <w:tc>
          <w:tcPr>
            <w:tcW w:w="1106" w:type="dxa"/>
            <w:vMerge w:val="continue"/>
            <w:vAlign w:val="center"/>
          </w:tcPr>
          <w:p>
            <w:pPr>
              <w:rPr>
                <w:color w:val="auto"/>
              </w:rPr>
            </w:pPr>
          </w:p>
        </w:tc>
        <w:tc>
          <w:tcPr>
            <w:tcW w:w="1556" w:type="dxa"/>
            <w:gridSpan w:val="2"/>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初级职称人员</w:t>
            </w:r>
          </w:p>
        </w:tc>
        <w:tc>
          <w:tcPr>
            <w:tcW w:w="1331" w:type="dxa"/>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账号</w:t>
            </w:r>
          </w:p>
        </w:tc>
        <w:tc>
          <w:tcPr>
            <w:tcW w:w="1107" w:type="dxa"/>
            <w:vAlign w:val="center"/>
          </w:tcPr>
          <w:p>
            <w:pPr>
              <w:autoSpaceDE w:val="0"/>
              <w:autoSpaceDN w:val="0"/>
              <w:adjustRightInd w:val="0"/>
              <w:spacing w:line="360" w:lineRule="auto"/>
              <w:jc w:val="center"/>
              <w:rPr>
                <w:rFonts w:ascii="宋体" w:cs="宋体"/>
                <w:color w:val="auto"/>
                <w:kern w:val="0"/>
                <w:sz w:val="24"/>
              </w:rPr>
            </w:pPr>
          </w:p>
        </w:tc>
        <w:tc>
          <w:tcPr>
            <w:tcW w:w="1330" w:type="dxa"/>
            <w:vAlign w:val="center"/>
          </w:tcPr>
          <w:p>
            <w:pPr>
              <w:autoSpaceDE w:val="0"/>
              <w:autoSpaceDN w:val="0"/>
              <w:adjustRightInd w:val="0"/>
              <w:spacing w:line="360" w:lineRule="auto"/>
              <w:jc w:val="center"/>
              <w:rPr>
                <w:rFonts w:ascii="宋体" w:cs="宋体"/>
                <w:color w:val="auto"/>
                <w:kern w:val="0"/>
                <w:sz w:val="24"/>
              </w:rPr>
            </w:pPr>
          </w:p>
        </w:tc>
        <w:tc>
          <w:tcPr>
            <w:tcW w:w="1331" w:type="dxa"/>
            <w:vAlign w:val="center"/>
          </w:tcPr>
          <w:p>
            <w:pPr>
              <w:autoSpaceDE w:val="0"/>
              <w:autoSpaceDN w:val="0"/>
              <w:adjustRightInd w:val="0"/>
              <w:spacing w:line="360" w:lineRule="auto"/>
              <w:jc w:val="center"/>
              <w:rPr>
                <w:rFonts w:ascii="宋体" w:cs="宋体"/>
                <w:color w:val="auto"/>
                <w:kern w:val="0"/>
                <w:sz w:val="24"/>
              </w:rPr>
            </w:pPr>
          </w:p>
        </w:tc>
        <w:tc>
          <w:tcPr>
            <w:tcW w:w="1106" w:type="dxa"/>
            <w:vMerge w:val="continue"/>
            <w:vAlign w:val="center"/>
          </w:tcPr>
          <w:p>
            <w:pPr>
              <w:rPr>
                <w:color w:val="auto"/>
              </w:rPr>
            </w:pPr>
          </w:p>
        </w:tc>
        <w:tc>
          <w:tcPr>
            <w:tcW w:w="1556" w:type="dxa"/>
            <w:gridSpan w:val="2"/>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技 工</w:t>
            </w:r>
          </w:p>
        </w:tc>
        <w:tc>
          <w:tcPr>
            <w:tcW w:w="1331" w:type="dxa"/>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6"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经营范围</w:t>
            </w:r>
          </w:p>
        </w:tc>
        <w:tc>
          <w:tcPr>
            <w:tcW w:w="7761" w:type="dxa"/>
            <w:gridSpan w:val="7"/>
            <w:vAlign w:val="center"/>
          </w:tcPr>
          <w:p>
            <w:pPr>
              <w:autoSpaceDE w:val="0"/>
              <w:autoSpaceDN w:val="0"/>
              <w:adjustRightInd w:val="0"/>
              <w:spacing w:line="360" w:lineRule="auto"/>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552" w:type="dxa"/>
            <w:vAlign w:val="center"/>
          </w:tcPr>
          <w:p>
            <w:pPr>
              <w:autoSpaceDE w:val="0"/>
              <w:autoSpaceDN w:val="0"/>
              <w:adjustRightInd w:val="0"/>
              <w:spacing w:line="360" w:lineRule="auto"/>
              <w:jc w:val="center"/>
              <w:rPr>
                <w:rFonts w:ascii="宋体" w:cs="宋体"/>
                <w:color w:val="auto"/>
                <w:kern w:val="0"/>
                <w:sz w:val="24"/>
              </w:rPr>
            </w:pPr>
            <w:r>
              <w:rPr>
                <w:rFonts w:hint="eastAsia" w:ascii="宋体" w:cs="宋体"/>
                <w:color w:val="auto"/>
                <w:kern w:val="0"/>
                <w:szCs w:val="21"/>
              </w:rPr>
              <w:t>备注</w:t>
            </w:r>
          </w:p>
        </w:tc>
        <w:tc>
          <w:tcPr>
            <w:tcW w:w="7761" w:type="dxa"/>
            <w:gridSpan w:val="7"/>
            <w:vAlign w:val="center"/>
          </w:tcPr>
          <w:p>
            <w:pPr>
              <w:autoSpaceDE w:val="0"/>
              <w:autoSpaceDN w:val="0"/>
              <w:adjustRightInd w:val="0"/>
              <w:spacing w:line="360" w:lineRule="auto"/>
              <w:jc w:val="center"/>
              <w:rPr>
                <w:rFonts w:ascii="宋体" w:cs="宋体"/>
                <w:color w:val="auto"/>
                <w:kern w:val="0"/>
                <w:sz w:val="24"/>
              </w:rPr>
            </w:pPr>
          </w:p>
        </w:tc>
      </w:tr>
    </w:tbl>
    <w:p>
      <w:pPr>
        <w:autoSpaceDE w:val="0"/>
        <w:autoSpaceDN w:val="0"/>
        <w:adjustRightInd w:val="0"/>
        <w:spacing w:line="360" w:lineRule="auto"/>
        <w:rPr>
          <w:rFonts w:ascii="宋体" w:cs="宋体"/>
          <w:color w:val="auto"/>
          <w:kern w:val="0"/>
          <w:sz w:val="22"/>
          <w:szCs w:val="22"/>
        </w:rPr>
      </w:pPr>
      <w:r>
        <w:rPr>
          <w:rFonts w:hint="eastAsia" w:ascii="宋体" w:cs="宋体"/>
          <w:color w:val="auto"/>
          <w:kern w:val="0"/>
          <w:sz w:val="22"/>
          <w:szCs w:val="22"/>
        </w:rPr>
        <w:t>注：后附</w:t>
      </w:r>
      <w:r>
        <w:rPr>
          <w:rFonts w:hint="eastAsia" w:ascii="宋体" w:cs="宋体"/>
          <w:color w:val="auto"/>
          <w:kern w:val="0"/>
          <w:sz w:val="22"/>
          <w:szCs w:val="22"/>
          <w:lang w:eastAsia="zh-CN"/>
        </w:rPr>
        <w:t>相关证明资料</w:t>
      </w:r>
      <w:r>
        <w:rPr>
          <w:rFonts w:hint="eastAsia" w:ascii="宋体" w:cs="宋体"/>
          <w:color w:val="auto"/>
          <w:kern w:val="0"/>
          <w:sz w:val="22"/>
          <w:szCs w:val="22"/>
        </w:rPr>
        <w:t>。</w:t>
      </w:r>
    </w:p>
    <w:p>
      <w:pPr>
        <w:autoSpaceDE w:val="0"/>
        <w:autoSpaceDN w:val="0"/>
        <w:adjustRightInd w:val="0"/>
        <w:spacing w:line="360" w:lineRule="auto"/>
        <w:rPr>
          <w:rFonts w:ascii="宋体" w:cs="宋体"/>
          <w:color w:val="auto"/>
          <w:kern w:val="0"/>
          <w:sz w:val="28"/>
          <w:szCs w:val="28"/>
        </w:rPr>
      </w:pPr>
      <w:r>
        <w:rPr>
          <w:rFonts w:hint="eastAsia" w:ascii="宋体" w:cs="宋体"/>
          <w:color w:val="auto"/>
          <w:kern w:val="0"/>
          <w:sz w:val="28"/>
          <w:szCs w:val="28"/>
        </w:rPr>
        <w:t>(二)近年财务状况表</w:t>
      </w: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18"/>
          <w:szCs w:val="18"/>
        </w:rPr>
      </w:pPr>
    </w:p>
    <w:p>
      <w:pPr>
        <w:autoSpaceDE w:val="0"/>
        <w:autoSpaceDN w:val="0"/>
        <w:adjustRightInd w:val="0"/>
        <w:spacing w:line="360" w:lineRule="auto"/>
        <w:jc w:val="left"/>
        <w:rPr>
          <w:rFonts w:ascii="宋体" w:cs="宋体"/>
          <w:color w:val="auto"/>
          <w:kern w:val="0"/>
          <w:sz w:val="18"/>
          <w:szCs w:val="18"/>
        </w:rPr>
      </w:pPr>
    </w:p>
    <w:p>
      <w:pPr>
        <w:autoSpaceDE w:val="0"/>
        <w:autoSpaceDN w:val="0"/>
        <w:adjustRightInd w:val="0"/>
        <w:spacing w:line="360" w:lineRule="auto"/>
        <w:jc w:val="left"/>
        <w:rPr>
          <w:rFonts w:ascii="宋体" w:cs="宋体"/>
          <w:color w:val="auto"/>
          <w:kern w:val="0"/>
          <w:sz w:val="18"/>
          <w:szCs w:val="18"/>
        </w:rPr>
      </w:pPr>
    </w:p>
    <w:p>
      <w:pPr>
        <w:autoSpaceDE w:val="0"/>
        <w:autoSpaceDN w:val="0"/>
        <w:adjustRightInd w:val="0"/>
        <w:spacing w:line="360" w:lineRule="auto"/>
        <w:jc w:val="left"/>
        <w:rPr>
          <w:rFonts w:ascii="宋体" w:cs="宋体"/>
          <w:color w:val="auto"/>
          <w:kern w:val="0"/>
          <w:sz w:val="18"/>
          <w:szCs w:val="18"/>
        </w:rPr>
      </w:pPr>
    </w:p>
    <w:p>
      <w:pPr>
        <w:autoSpaceDE w:val="0"/>
        <w:autoSpaceDN w:val="0"/>
        <w:adjustRightInd w:val="0"/>
        <w:spacing w:line="360" w:lineRule="auto"/>
        <w:jc w:val="left"/>
        <w:rPr>
          <w:rFonts w:ascii="宋体" w:cs="宋体"/>
          <w:color w:val="auto"/>
          <w:kern w:val="0"/>
          <w:sz w:val="18"/>
          <w:szCs w:val="18"/>
        </w:rPr>
      </w:pPr>
    </w:p>
    <w:p>
      <w:pPr>
        <w:autoSpaceDE w:val="0"/>
        <w:autoSpaceDN w:val="0"/>
        <w:adjustRightInd w:val="0"/>
        <w:spacing w:line="360" w:lineRule="auto"/>
        <w:jc w:val="left"/>
        <w:rPr>
          <w:rFonts w:ascii="宋体" w:cs="宋体"/>
          <w:color w:val="auto"/>
          <w:kern w:val="0"/>
          <w:sz w:val="28"/>
          <w:szCs w:val="28"/>
        </w:rPr>
      </w:pPr>
    </w:p>
    <w:p>
      <w:pPr>
        <w:autoSpaceDE w:val="0"/>
        <w:autoSpaceDN w:val="0"/>
        <w:adjustRightInd w:val="0"/>
        <w:spacing w:line="360" w:lineRule="auto"/>
        <w:jc w:val="left"/>
        <w:rPr>
          <w:rFonts w:ascii="宋体" w:cs="宋体"/>
          <w:color w:val="auto"/>
          <w:kern w:val="0"/>
          <w:sz w:val="24"/>
        </w:rPr>
      </w:pPr>
      <w:r>
        <w:rPr>
          <w:rFonts w:hint="eastAsia" w:ascii="宋体" w:cs="宋体"/>
          <w:color w:val="auto"/>
          <w:kern w:val="0"/>
          <w:sz w:val="28"/>
          <w:szCs w:val="28"/>
        </w:rPr>
        <w:t>（三）近年完成的类似项目情况表</w:t>
      </w:r>
    </w:p>
    <w:tbl>
      <w:tblPr>
        <w:tblStyle w:val="17"/>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项目名称</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项目所在地</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发包人名称</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发包人地址</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发包人电话</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合同价格</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开工日期</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竣工日期</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承担的工作</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工程质量</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项目经理</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技术负责人</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总监理工程师及电话</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项目描述</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备注</w:t>
            </w:r>
          </w:p>
        </w:tc>
        <w:tc>
          <w:tcPr>
            <w:tcW w:w="7200" w:type="dxa"/>
            <w:vAlign w:val="center"/>
          </w:tcPr>
          <w:p>
            <w:pPr>
              <w:autoSpaceDE w:val="0"/>
              <w:autoSpaceDN w:val="0"/>
              <w:adjustRightInd w:val="0"/>
              <w:spacing w:line="360" w:lineRule="auto"/>
              <w:jc w:val="center"/>
              <w:rPr>
                <w:rFonts w:ascii="宋体" w:cs="宋体"/>
                <w:color w:val="auto"/>
                <w:kern w:val="0"/>
                <w:szCs w:val="21"/>
              </w:rPr>
            </w:pPr>
          </w:p>
        </w:tc>
      </w:tr>
    </w:tbl>
    <w:p>
      <w:pPr>
        <w:autoSpaceDE w:val="0"/>
        <w:autoSpaceDN w:val="0"/>
        <w:adjustRightInd w:val="0"/>
        <w:spacing w:line="360" w:lineRule="auto"/>
        <w:rPr>
          <w:rFonts w:hint="eastAsia" w:ascii="宋体" w:eastAsia="宋体" w:cs="宋体"/>
          <w:color w:val="auto"/>
          <w:kern w:val="0"/>
          <w:sz w:val="22"/>
          <w:szCs w:val="22"/>
          <w:lang w:eastAsia="zh-CN"/>
        </w:rPr>
      </w:pPr>
      <w:r>
        <w:rPr>
          <w:rFonts w:hint="eastAsia" w:ascii="宋体" w:cs="宋体"/>
          <w:color w:val="auto"/>
          <w:kern w:val="0"/>
          <w:sz w:val="22"/>
          <w:szCs w:val="22"/>
        </w:rPr>
        <w:t>注：后附</w:t>
      </w:r>
      <w:r>
        <w:rPr>
          <w:rFonts w:hint="eastAsia" w:ascii="宋体" w:cs="宋体"/>
          <w:color w:val="auto"/>
          <w:kern w:val="0"/>
          <w:sz w:val="22"/>
          <w:szCs w:val="22"/>
          <w:lang w:eastAsia="zh-CN"/>
        </w:rPr>
        <w:t>相关证明资料</w:t>
      </w:r>
    </w:p>
    <w:p>
      <w:pPr>
        <w:autoSpaceDE w:val="0"/>
        <w:autoSpaceDN w:val="0"/>
        <w:adjustRightInd w:val="0"/>
        <w:spacing w:line="360" w:lineRule="auto"/>
        <w:jc w:val="left"/>
        <w:rPr>
          <w:rFonts w:ascii="宋体" w:cs="宋体"/>
          <w:color w:val="auto"/>
          <w:kern w:val="0"/>
          <w:sz w:val="28"/>
          <w:szCs w:val="28"/>
        </w:rPr>
      </w:pPr>
    </w:p>
    <w:p>
      <w:pPr>
        <w:autoSpaceDE w:val="0"/>
        <w:autoSpaceDN w:val="0"/>
        <w:adjustRightInd w:val="0"/>
        <w:spacing w:line="360" w:lineRule="auto"/>
        <w:jc w:val="left"/>
        <w:rPr>
          <w:rFonts w:ascii="宋体" w:cs="宋体"/>
          <w:color w:val="auto"/>
          <w:kern w:val="0"/>
          <w:sz w:val="28"/>
          <w:szCs w:val="28"/>
        </w:rPr>
      </w:pPr>
      <w:r>
        <w:rPr>
          <w:rFonts w:hint="eastAsia" w:ascii="宋体" w:cs="宋体"/>
          <w:color w:val="auto"/>
          <w:kern w:val="0"/>
          <w:sz w:val="28"/>
          <w:szCs w:val="28"/>
        </w:rPr>
        <w:t>（四）正在施工的和新承接的项目情况表</w:t>
      </w:r>
    </w:p>
    <w:p>
      <w:pPr>
        <w:autoSpaceDE w:val="0"/>
        <w:autoSpaceDN w:val="0"/>
        <w:adjustRightInd w:val="0"/>
        <w:spacing w:line="360" w:lineRule="auto"/>
        <w:jc w:val="left"/>
        <w:rPr>
          <w:rFonts w:ascii="宋体" w:cs="宋体"/>
          <w:color w:val="auto"/>
          <w:kern w:val="0"/>
          <w:szCs w:val="21"/>
        </w:rPr>
      </w:pPr>
    </w:p>
    <w:tbl>
      <w:tblPr>
        <w:tblStyle w:val="17"/>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7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项目名称</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项目所在地</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发包人名称</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发包人地址</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发包人电话</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签约合同价</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开工日期</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计划竣工日期</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承担的工作</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工程质量</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项目经理</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技术负责人</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总监理工程师及电话</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项目描述</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340" w:type="dxa"/>
            <w:vAlign w:val="center"/>
          </w:tcPr>
          <w:p>
            <w:pPr>
              <w:autoSpaceDE w:val="0"/>
              <w:autoSpaceDN w:val="0"/>
              <w:adjustRightInd w:val="0"/>
              <w:spacing w:line="360" w:lineRule="auto"/>
              <w:jc w:val="center"/>
              <w:rPr>
                <w:rFonts w:ascii="宋体" w:cs="宋体"/>
                <w:color w:val="auto"/>
                <w:kern w:val="0"/>
                <w:szCs w:val="21"/>
              </w:rPr>
            </w:pPr>
            <w:r>
              <w:rPr>
                <w:rFonts w:hint="eastAsia" w:ascii="宋体" w:cs="宋体"/>
                <w:color w:val="auto"/>
                <w:kern w:val="0"/>
                <w:szCs w:val="21"/>
              </w:rPr>
              <w:t>备注</w:t>
            </w:r>
          </w:p>
        </w:tc>
        <w:tc>
          <w:tcPr>
            <w:tcW w:w="7215" w:type="dxa"/>
            <w:vAlign w:val="center"/>
          </w:tcPr>
          <w:p>
            <w:pPr>
              <w:autoSpaceDE w:val="0"/>
              <w:autoSpaceDN w:val="0"/>
              <w:adjustRightInd w:val="0"/>
              <w:spacing w:line="360" w:lineRule="auto"/>
              <w:jc w:val="center"/>
              <w:rPr>
                <w:rFonts w:ascii="宋体" w:cs="宋体"/>
                <w:color w:val="auto"/>
                <w:kern w:val="0"/>
                <w:szCs w:val="21"/>
              </w:rPr>
            </w:pPr>
          </w:p>
        </w:tc>
      </w:tr>
    </w:tbl>
    <w:p>
      <w:pPr>
        <w:autoSpaceDE w:val="0"/>
        <w:autoSpaceDN w:val="0"/>
        <w:adjustRightInd w:val="0"/>
        <w:spacing w:line="360" w:lineRule="auto"/>
        <w:rPr>
          <w:rFonts w:ascii="宋体" w:cs="宋体"/>
          <w:color w:val="auto"/>
          <w:kern w:val="0"/>
          <w:sz w:val="22"/>
          <w:szCs w:val="22"/>
        </w:rPr>
      </w:pPr>
      <w:r>
        <w:rPr>
          <w:rFonts w:hint="eastAsia" w:ascii="宋体" w:cs="宋体"/>
          <w:color w:val="auto"/>
          <w:kern w:val="0"/>
          <w:sz w:val="22"/>
          <w:szCs w:val="22"/>
        </w:rPr>
        <w:t>注：后附</w:t>
      </w:r>
      <w:r>
        <w:rPr>
          <w:rFonts w:hint="eastAsia" w:ascii="宋体" w:cs="宋体"/>
          <w:color w:val="auto"/>
          <w:kern w:val="0"/>
          <w:sz w:val="22"/>
          <w:szCs w:val="22"/>
          <w:lang w:eastAsia="zh-CN"/>
        </w:rPr>
        <w:t>相关证明资料</w:t>
      </w: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8"/>
          <w:szCs w:val="28"/>
        </w:rPr>
      </w:pPr>
      <w:r>
        <w:rPr>
          <w:rFonts w:hint="eastAsia" w:ascii="宋体" w:cs="宋体"/>
          <w:color w:val="auto"/>
          <w:kern w:val="0"/>
          <w:sz w:val="28"/>
          <w:szCs w:val="28"/>
        </w:rPr>
        <w:t>（五）近年发生的诉讼及仲裁情况（如有）</w:t>
      </w: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autoSpaceDE w:val="0"/>
        <w:autoSpaceDN w:val="0"/>
        <w:adjustRightInd w:val="0"/>
        <w:spacing w:line="360" w:lineRule="auto"/>
        <w:jc w:val="left"/>
        <w:rPr>
          <w:rFonts w:ascii="宋体" w:cs="宋体"/>
          <w:color w:val="auto"/>
          <w:kern w:val="0"/>
          <w:sz w:val="24"/>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rPr>
          <w:rFonts w:ascii="宋体" w:cs="宋体"/>
          <w:color w:val="auto"/>
        </w:rPr>
      </w:pPr>
    </w:p>
    <w:p>
      <w:pPr>
        <w:pStyle w:val="6"/>
        <w:jc w:val="center"/>
        <w:rPr>
          <w:rFonts w:ascii="宋体" w:cs="宋体"/>
          <w:color w:val="auto"/>
          <w:kern w:val="0"/>
          <w:sz w:val="28"/>
          <w:szCs w:val="28"/>
        </w:rPr>
      </w:pPr>
      <w:bookmarkStart w:id="594" w:name="_Toc14202"/>
      <w:bookmarkStart w:id="595" w:name="_Toc1967"/>
      <w:bookmarkStart w:id="596" w:name="_Toc24961"/>
      <w:bookmarkStart w:id="597" w:name="_Toc2869"/>
      <w:bookmarkStart w:id="598" w:name="_Toc30038"/>
      <w:bookmarkStart w:id="599" w:name="_Toc25708"/>
      <w:r>
        <w:rPr>
          <w:rFonts w:hint="eastAsia" w:ascii="宋体" w:cs="宋体"/>
          <w:color w:val="auto"/>
          <w:kern w:val="0"/>
          <w:sz w:val="28"/>
          <w:szCs w:val="28"/>
        </w:rPr>
        <w:t>八、项目管理机构</w:t>
      </w:r>
      <w:bookmarkEnd w:id="594"/>
      <w:bookmarkEnd w:id="595"/>
      <w:bookmarkEnd w:id="596"/>
      <w:bookmarkEnd w:id="597"/>
      <w:bookmarkEnd w:id="598"/>
      <w:bookmarkEnd w:id="599"/>
    </w:p>
    <w:p>
      <w:pPr>
        <w:numPr>
          <w:ilvl w:val="0"/>
          <w:numId w:val="13"/>
        </w:numPr>
        <w:autoSpaceDE w:val="0"/>
        <w:autoSpaceDN w:val="0"/>
        <w:adjustRightInd w:val="0"/>
        <w:spacing w:line="420" w:lineRule="exact"/>
        <w:jc w:val="left"/>
        <w:rPr>
          <w:rFonts w:ascii="宋体" w:cs="宋体"/>
          <w:color w:val="auto"/>
          <w:kern w:val="0"/>
          <w:sz w:val="28"/>
          <w:szCs w:val="28"/>
        </w:rPr>
      </w:pPr>
      <w:r>
        <w:rPr>
          <w:rFonts w:hint="eastAsia" w:ascii="宋体" w:cs="宋体"/>
          <w:color w:val="auto"/>
          <w:kern w:val="0"/>
          <w:sz w:val="28"/>
          <w:szCs w:val="28"/>
        </w:rPr>
        <w:t>项目管理机构组成表</w:t>
      </w:r>
    </w:p>
    <w:p>
      <w:pPr>
        <w:autoSpaceDE w:val="0"/>
        <w:autoSpaceDN w:val="0"/>
        <w:adjustRightInd w:val="0"/>
        <w:spacing w:line="420" w:lineRule="exact"/>
        <w:jc w:val="left"/>
        <w:rPr>
          <w:rFonts w:ascii="宋体" w:cs="宋体"/>
          <w:color w:val="auto"/>
          <w:kern w:val="0"/>
          <w:sz w:val="24"/>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4"/>
        <w:gridCol w:w="1034"/>
        <w:gridCol w:w="1035"/>
        <w:gridCol w:w="1157"/>
        <w:gridCol w:w="913"/>
        <w:gridCol w:w="1035"/>
        <w:gridCol w:w="1035"/>
        <w:gridCol w:w="1169"/>
        <w:gridCol w:w="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 w:hRule="atLeast"/>
          <w:jc w:val="center"/>
        </w:trPr>
        <w:tc>
          <w:tcPr>
            <w:tcW w:w="1034" w:type="dxa"/>
            <w:vMerge w:val="restart"/>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职务</w:t>
            </w:r>
          </w:p>
        </w:tc>
        <w:tc>
          <w:tcPr>
            <w:tcW w:w="1034" w:type="dxa"/>
            <w:vMerge w:val="restart"/>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姓名</w:t>
            </w:r>
          </w:p>
        </w:tc>
        <w:tc>
          <w:tcPr>
            <w:tcW w:w="1035" w:type="dxa"/>
            <w:vMerge w:val="restart"/>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职称</w:t>
            </w:r>
          </w:p>
        </w:tc>
        <w:tc>
          <w:tcPr>
            <w:tcW w:w="5309" w:type="dxa"/>
            <w:gridSpan w:val="5"/>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执业或职业资格证明</w:t>
            </w:r>
          </w:p>
        </w:tc>
        <w:tc>
          <w:tcPr>
            <w:tcW w:w="901"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1034" w:type="dxa"/>
            <w:vMerge w:val="continue"/>
            <w:vAlign w:val="center"/>
          </w:tcPr>
          <w:p>
            <w:pPr>
              <w:rPr>
                <w:color w:val="auto"/>
              </w:rPr>
            </w:pPr>
          </w:p>
        </w:tc>
        <w:tc>
          <w:tcPr>
            <w:tcW w:w="1034" w:type="dxa"/>
            <w:vMerge w:val="continue"/>
            <w:vAlign w:val="center"/>
          </w:tcPr>
          <w:p>
            <w:pPr>
              <w:rPr>
                <w:color w:val="auto"/>
              </w:rPr>
            </w:pPr>
          </w:p>
        </w:tc>
        <w:tc>
          <w:tcPr>
            <w:tcW w:w="1035" w:type="dxa"/>
            <w:vMerge w:val="continue"/>
            <w:vAlign w:val="center"/>
          </w:tcPr>
          <w:p>
            <w:pPr>
              <w:rPr>
                <w:color w:val="auto"/>
              </w:rPr>
            </w:pPr>
          </w:p>
        </w:tc>
        <w:tc>
          <w:tcPr>
            <w:tcW w:w="1157"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证书名称</w:t>
            </w:r>
          </w:p>
        </w:tc>
        <w:tc>
          <w:tcPr>
            <w:tcW w:w="913"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级别</w:t>
            </w:r>
          </w:p>
        </w:tc>
        <w:tc>
          <w:tcPr>
            <w:tcW w:w="1035"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证号</w:t>
            </w:r>
          </w:p>
        </w:tc>
        <w:tc>
          <w:tcPr>
            <w:tcW w:w="1035"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专业</w:t>
            </w:r>
          </w:p>
        </w:tc>
        <w:tc>
          <w:tcPr>
            <w:tcW w:w="1169" w:type="dxa"/>
            <w:vAlign w:val="center"/>
          </w:tcPr>
          <w:p>
            <w:pPr>
              <w:autoSpaceDE w:val="0"/>
              <w:autoSpaceDN w:val="0"/>
              <w:adjustRightInd w:val="0"/>
              <w:spacing w:line="420" w:lineRule="exact"/>
              <w:jc w:val="center"/>
              <w:rPr>
                <w:rFonts w:ascii="宋体" w:cs="宋体"/>
                <w:color w:val="auto"/>
                <w:kern w:val="0"/>
                <w:sz w:val="24"/>
              </w:rPr>
            </w:pPr>
            <w:r>
              <w:rPr>
                <w:rFonts w:hint="eastAsia" w:ascii="宋体" w:cs="宋体"/>
                <w:color w:val="auto"/>
                <w:kern w:val="0"/>
                <w:szCs w:val="21"/>
              </w:rPr>
              <w:t>养老保险</w:t>
            </w:r>
          </w:p>
        </w:tc>
        <w:tc>
          <w:tcPr>
            <w:tcW w:w="901"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57" w:type="dxa"/>
            <w:vAlign w:val="center"/>
          </w:tcPr>
          <w:p>
            <w:pPr>
              <w:autoSpaceDE w:val="0"/>
              <w:autoSpaceDN w:val="0"/>
              <w:adjustRightInd w:val="0"/>
              <w:spacing w:line="420" w:lineRule="exact"/>
              <w:jc w:val="center"/>
              <w:rPr>
                <w:rFonts w:ascii="宋体" w:cs="宋体"/>
                <w:color w:val="auto"/>
                <w:kern w:val="0"/>
                <w:sz w:val="24"/>
              </w:rPr>
            </w:pPr>
          </w:p>
        </w:tc>
        <w:tc>
          <w:tcPr>
            <w:tcW w:w="913"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69" w:type="dxa"/>
            <w:vAlign w:val="center"/>
          </w:tcPr>
          <w:p>
            <w:pPr>
              <w:autoSpaceDE w:val="0"/>
              <w:autoSpaceDN w:val="0"/>
              <w:adjustRightInd w:val="0"/>
              <w:spacing w:line="420" w:lineRule="exact"/>
              <w:jc w:val="center"/>
              <w:rPr>
                <w:rFonts w:ascii="宋体" w:cs="宋体"/>
                <w:color w:val="auto"/>
                <w:kern w:val="0"/>
                <w:sz w:val="24"/>
              </w:rPr>
            </w:pPr>
          </w:p>
        </w:tc>
        <w:tc>
          <w:tcPr>
            <w:tcW w:w="901"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57" w:type="dxa"/>
            <w:vAlign w:val="center"/>
          </w:tcPr>
          <w:p>
            <w:pPr>
              <w:autoSpaceDE w:val="0"/>
              <w:autoSpaceDN w:val="0"/>
              <w:adjustRightInd w:val="0"/>
              <w:spacing w:line="420" w:lineRule="exact"/>
              <w:jc w:val="center"/>
              <w:rPr>
                <w:rFonts w:ascii="宋体" w:cs="宋体"/>
                <w:color w:val="auto"/>
                <w:kern w:val="0"/>
                <w:sz w:val="24"/>
              </w:rPr>
            </w:pPr>
          </w:p>
        </w:tc>
        <w:tc>
          <w:tcPr>
            <w:tcW w:w="913"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69" w:type="dxa"/>
            <w:vAlign w:val="center"/>
          </w:tcPr>
          <w:p>
            <w:pPr>
              <w:autoSpaceDE w:val="0"/>
              <w:autoSpaceDN w:val="0"/>
              <w:adjustRightInd w:val="0"/>
              <w:spacing w:line="420" w:lineRule="exact"/>
              <w:jc w:val="center"/>
              <w:rPr>
                <w:rFonts w:ascii="宋体" w:cs="宋体"/>
                <w:color w:val="auto"/>
                <w:kern w:val="0"/>
                <w:sz w:val="24"/>
              </w:rPr>
            </w:pPr>
          </w:p>
        </w:tc>
        <w:tc>
          <w:tcPr>
            <w:tcW w:w="901"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57" w:type="dxa"/>
            <w:vAlign w:val="center"/>
          </w:tcPr>
          <w:p>
            <w:pPr>
              <w:autoSpaceDE w:val="0"/>
              <w:autoSpaceDN w:val="0"/>
              <w:adjustRightInd w:val="0"/>
              <w:spacing w:line="420" w:lineRule="exact"/>
              <w:jc w:val="center"/>
              <w:rPr>
                <w:rFonts w:ascii="宋体" w:cs="宋体"/>
                <w:color w:val="auto"/>
                <w:kern w:val="0"/>
                <w:sz w:val="24"/>
              </w:rPr>
            </w:pPr>
          </w:p>
        </w:tc>
        <w:tc>
          <w:tcPr>
            <w:tcW w:w="913"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69" w:type="dxa"/>
            <w:vAlign w:val="center"/>
          </w:tcPr>
          <w:p>
            <w:pPr>
              <w:autoSpaceDE w:val="0"/>
              <w:autoSpaceDN w:val="0"/>
              <w:adjustRightInd w:val="0"/>
              <w:spacing w:line="420" w:lineRule="exact"/>
              <w:jc w:val="center"/>
              <w:rPr>
                <w:rFonts w:ascii="宋体" w:cs="宋体"/>
                <w:color w:val="auto"/>
                <w:kern w:val="0"/>
                <w:sz w:val="24"/>
              </w:rPr>
            </w:pPr>
          </w:p>
        </w:tc>
        <w:tc>
          <w:tcPr>
            <w:tcW w:w="901"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57" w:type="dxa"/>
            <w:vAlign w:val="center"/>
          </w:tcPr>
          <w:p>
            <w:pPr>
              <w:autoSpaceDE w:val="0"/>
              <w:autoSpaceDN w:val="0"/>
              <w:adjustRightInd w:val="0"/>
              <w:spacing w:line="420" w:lineRule="exact"/>
              <w:jc w:val="center"/>
              <w:rPr>
                <w:rFonts w:ascii="宋体" w:cs="宋体"/>
                <w:color w:val="auto"/>
                <w:kern w:val="0"/>
                <w:sz w:val="24"/>
              </w:rPr>
            </w:pPr>
          </w:p>
        </w:tc>
        <w:tc>
          <w:tcPr>
            <w:tcW w:w="913"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69" w:type="dxa"/>
            <w:vAlign w:val="center"/>
          </w:tcPr>
          <w:p>
            <w:pPr>
              <w:autoSpaceDE w:val="0"/>
              <w:autoSpaceDN w:val="0"/>
              <w:adjustRightInd w:val="0"/>
              <w:spacing w:line="420" w:lineRule="exact"/>
              <w:jc w:val="center"/>
              <w:rPr>
                <w:rFonts w:ascii="宋体" w:cs="宋体"/>
                <w:color w:val="auto"/>
                <w:kern w:val="0"/>
                <w:sz w:val="24"/>
              </w:rPr>
            </w:pPr>
          </w:p>
        </w:tc>
        <w:tc>
          <w:tcPr>
            <w:tcW w:w="901"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57" w:type="dxa"/>
            <w:vAlign w:val="center"/>
          </w:tcPr>
          <w:p>
            <w:pPr>
              <w:autoSpaceDE w:val="0"/>
              <w:autoSpaceDN w:val="0"/>
              <w:adjustRightInd w:val="0"/>
              <w:spacing w:line="420" w:lineRule="exact"/>
              <w:jc w:val="center"/>
              <w:rPr>
                <w:rFonts w:ascii="宋体" w:cs="宋体"/>
                <w:color w:val="auto"/>
                <w:kern w:val="0"/>
                <w:sz w:val="24"/>
              </w:rPr>
            </w:pPr>
          </w:p>
        </w:tc>
        <w:tc>
          <w:tcPr>
            <w:tcW w:w="913"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69" w:type="dxa"/>
            <w:vAlign w:val="center"/>
          </w:tcPr>
          <w:p>
            <w:pPr>
              <w:autoSpaceDE w:val="0"/>
              <w:autoSpaceDN w:val="0"/>
              <w:adjustRightInd w:val="0"/>
              <w:spacing w:line="420" w:lineRule="exact"/>
              <w:jc w:val="center"/>
              <w:rPr>
                <w:rFonts w:ascii="宋体" w:cs="宋体"/>
                <w:color w:val="auto"/>
                <w:kern w:val="0"/>
                <w:sz w:val="24"/>
              </w:rPr>
            </w:pPr>
          </w:p>
        </w:tc>
        <w:tc>
          <w:tcPr>
            <w:tcW w:w="901"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57" w:type="dxa"/>
            <w:vAlign w:val="center"/>
          </w:tcPr>
          <w:p>
            <w:pPr>
              <w:autoSpaceDE w:val="0"/>
              <w:autoSpaceDN w:val="0"/>
              <w:adjustRightInd w:val="0"/>
              <w:spacing w:line="420" w:lineRule="exact"/>
              <w:jc w:val="center"/>
              <w:rPr>
                <w:rFonts w:ascii="宋体" w:cs="宋体"/>
                <w:color w:val="auto"/>
                <w:kern w:val="0"/>
                <w:sz w:val="24"/>
              </w:rPr>
            </w:pPr>
          </w:p>
        </w:tc>
        <w:tc>
          <w:tcPr>
            <w:tcW w:w="913"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69" w:type="dxa"/>
            <w:vAlign w:val="center"/>
          </w:tcPr>
          <w:p>
            <w:pPr>
              <w:autoSpaceDE w:val="0"/>
              <w:autoSpaceDN w:val="0"/>
              <w:adjustRightInd w:val="0"/>
              <w:spacing w:line="420" w:lineRule="exact"/>
              <w:jc w:val="center"/>
              <w:rPr>
                <w:rFonts w:ascii="宋体" w:cs="宋体"/>
                <w:color w:val="auto"/>
                <w:kern w:val="0"/>
                <w:sz w:val="24"/>
              </w:rPr>
            </w:pPr>
          </w:p>
        </w:tc>
        <w:tc>
          <w:tcPr>
            <w:tcW w:w="901"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57" w:type="dxa"/>
            <w:vAlign w:val="center"/>
          </w:tcPr>
          <w:p>
            <w:pPr>
              <w:autoSpaceDE w:val="0"/>
              <w:autoSpaceDN w:val="0"/>
              <w:adjustRightInd w:val="0"/>
              <w:spacing w:line="420" w:lineRule="exact"/>
              <w:jc w:val="center"/>
              <w:rPr>
                <w:rFonts w:ascii="宋体" w:cs="宋体"/>
                <w:color w:val="auto"/>
                <w:kern w:val="0"/>
                <w:sz w:val="24"/>
              </w:rPr>
            </w:pPr>
          </w:p>
        </w:tc>
        <w:tc>
          <w:tcPr>
            <w:tcW w:w="913"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69" w:type="dxa"/>
            <w:vAlign w:val="center"/>
          </w:tcPr>
          <w:p>
            <w:pPr>
              <w:autoSpaceDE w:val="0"/>
              <w:autoSpaceDN w:val="0"/>
              <w:adjustRightInd w:val="0"/>
              <w:spacing w:line="420" w:lineRule="exact"/>
              <w:jc w:val="center"/>
              <w:rPr>
                <w:rFonts w:ascii="宋体" w:cs="宋体"/>
                <w:color w:val="auto"/>
                <w:kern w:val="0"/>
                <w:sz w:val="24"/>
              </w:rPr>
            </w:pPr>
          </w:p>
        </w:tc>
        <w:tc>
          <w:tcPr>
            <w:tcW w:w="901"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57" w:type="dxa"/>
            <w:vAlign w:val="center"/>
          </w:tcPr>
          <w:p>
            <w:pPr>
              <w:autoSpaceDE w:val="0"/>
              <w:autoSpaceDN w:val="0"/>
              <w:adjustRightInd w:val="0"/>
              <w:spacing w:line="420" w:lineRule="exact"/>
              <w:jc w:val="center"/>
              <w:rPr>
                <w:rFonts w:ascii="宋体" w:cs="宋体"/>
                <w:color w:val="auto"/>
                <w:kern w:val="0"/>
                <w:sz w:val="24"/>
              </w:rPr>
            </w:pPr>
          </w:p>
        </w:tc>
        <w:tc>
          <w:tcPr>
            <w:tcW w:w="913"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69" w:type="dxa"/>
            <w:vAlign w:val="center"/>
          </w:tcPr>
          <w:p>
            <w:pPr>
              <w:autoSpaceDE w:val="0"/>
              <w:autoSpaceDN w:val="0"/>
              <w:adjustRightInd w:val="0"/>
              <w:spacing w:line="420" w:lineRule="exact"/>
              <w:jc w:val="center"/>
              <w:rPr>
                <w:rFonts w:ascii="宋体" w:cs="宋体"/>
                <w:color w:val="auto"/>
                <w:kern w:val="0"/>
                <w:sz w:val="24"/>
              </w:rPr>
            </w:pPr>
          </w:p>
        </w:tc>
        <w:tc>
          <w:tcPr>
            <w:tcW w:w="901"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57" w:type="dxa"/>
            <w:vAlign w:val="center"/>
          </w:tcPr>
          <w:p>
            <w:pPr>
              <w:autoSpaceDE w:val="0"/>
              <w:autoSpaceDN w:val="0"/>
              <w:adjustRightInd w:val="0"/>
              <w:spacing w:line="420" w:lineRule="exact"/>
              <w:jc w:val="center"/>
              <w:rPr>
                <w:rFonts w:ascii="宋体" w:cs="宋体"/>
                <w:color w:val="auto"/>
                <w:kern w:val="0"/>
                <w:sz w:val="24"/>
              </w:rPr>
            </w:pPr>
          </w:p>
        </w:tc>
        <w:tc>
          <w:tcPr>
            <w:tcW w:w="913"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69" w:type="dxa"/>
            <w:vAlign w:val="center"/>
          </w:tcPr>
          <w:p>
            <w:pPr>
              <w:autoSpaceDE w:val="0"/>
              <w:autoSpaceDN w:val="0"/>
              <w:adjustRightInd w:val="0"/>
              <w:spacing w:line="420" w:lineRule="exact"/>
              <w:jc w:val="center"/>
              <w:rPr>
                <w:rFonts w:ascii="宋体" w:cs="宋体"/>
                <w:color w:val="auto"/>
                <w:kern w:val="0"/>
                <w:sz w:val="24"/>
              </w:rPr>
            </w:pPr>
          </w:p>
        </w:tc>
        <w:tc>
          <w:tcPr>
            <w:tcW w:w="901" w:type="dxa"/>
            <w:vAlign w:val="center"/>
          </w:tcPr>
          <w:p>
            <w:pPr>
              <w:autoSpaceDE w:val="0"/>
              <w:autoSpaceDN w:val="0"/>
              <w:adjustRightInd w:val="0"/>
              <w:spacing w:line="420" w:lineRule="exact"/>
              <w:jc w:val="center"/>
              <w:rPr>
                <w:rFonts w:asci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4"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57" w:type="dxa"/>
            <w:vAlign w:val="center"/>
          </w:tcPr>
          <w:p>
            <w:pPr>
              <w:autoSpaceDE w:val="0"/>
              <w:autoSpaceDN w:val="0"/>
              <w:adjustRightInd w:val="0"/>
              <w:spacing w:line="420" w:lineRule="exact"/>
              <w:jc w:val="center"/>
              <w:rPr>
                <w:rFonts w:ascii="宋体" w:cs="宋体"/>
                <w:color w:val="auto"/>
                <w:kern w:val="0"/>
                <w:sz w:val="24"/>
              </w:rPr>
            </w:pPr>
          </w:p>
        </w:tc>
        <w:tc>
          <w:tcPr>
            <w:tcW w:w="913"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035" w:type="dxa"/>
            <w:vAlign w:val="center"/>
          </w:tcPr>
          <w:p>
            <w:pPr>
              <w:autoSpaceDE w:val="0"/>
              <w:autoSpaceDN w:val="0"/>
              <w:adjustRightInd w:val="0"/>
              <w:spacing w:line="420" w:lineRule="exact"/>
              <w:jc w:val="center"/>
              <w:rPr>
                <w:rFonts w:ascii="宋体" w:cs="宋体"/>
                <w:color w:val="auto"/>
                <w:kern w:val="0"/>
                <w:sz w:val="24"/>
              </w:rPr>
            </w:pPr>
          </w:p>
        </w:tc>
        <w:tc>
          <w:tcPr>
            <w:tcW w:w="1169" w:type="dxa"/>
            <w:vAlign w:val="center"/>
          </w:tcPr>
          <w:p>
            <w:pPr>
              <w:autoSpaceDE w:val="0"/>
              <w:autoSpaceDN w:val="0"/>
              <w:adjustRightInd w:val="0"/>
              <w:spacing w:line="420" w:lineRule="exact"/>
              <w:jc w:val="center"/>
              <w:rPr>
                <w:rFonts w:ascii="宋体" w:cs="宋体"/>
                <w:color w:val="auto"/>
                <w:kern w:val="0"/>
                <w:sz w:val="24"/>
              </w:rPr>
            </w:pPr>
          </w:p>
        </w:tc>
        <w:tc>
          <w:tcPr>
            <w:tcW w:w="901" w:type="dxa"/>
            <w:vAlign w:val="center"/>
          </w:tcPr>
          <w:p>
            <w:pPr>
              <w:autoSpaceDE w:val="0"/>
              <w:autoSpaceDN w:val="0"/>
              <w:adjustRightInd w:val="0"/>
              <w:spacing w:line="420" w:lineRule="exact"/>
              <w:jc w:val="center"/>
              <w:rPr>
                <w:rFonts w:ascii="宋体" w:cs="宋体"/>
                <w:color w:val="auto"/>
                <w:kern w:val="0"/>
                <w:sz w:val="24"/>
              </w:rPr>
            </w:pPr>
          </w:p>
        </w:tc>
      </w:tr>
    </w:tbl>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 w:val="24"/>
        </w:rPr>
      </w:pPr>
    </w:p>
    <w:p>
      <w:pPr>
        <w:pStyle w:val="4"/>
        <w:rPr>
          <w:color w:val="auto"/>
        </w:rPr>
      </w:pPr>
    </w:p>
    <w:p>
      <w:pPr>
        <w:pStyle w:val="4"/>
        <w:rPr>
          <w:color w:val="auto"/>
        </w:rPr>
      </w:pPr>
    </w:p>
    <w:p>
      <w:pPr>
        <w:pStyle w:val="4"/>
        <w:rPr>
          <w:color w:val="auto"/>
        </w:rPr>
      </w:pPr>
    </w:p>
    <w:p>
      <w:pPr>
        <w:pStyle w:val="4"/>
        <w:rPr>
          <w:color w:val="auto"/>
        </w:rPr>
      </w:pPr>
    </w:p>
    <w:p>
      <w:pPr>
        <w:pStyle w:val="4"/>
        <w:rPr>
          <w:color w:val="auto"/>
        </w:rPr>
      </w:pPr>
    </w:p>
    <w:p>
      <w:pPr>
        <w:pStyle w:val="4"/>
        <w:rPr>
          <w:color w:val="auto"/>
        </w:rPr>
      </w:pPr>
    </w:p>
    <w:p>
      <w:pPr>
        <w:numPr>
          <w:ilvl w:val="0"/>
          <w:numId w:val="13"/>
        </w:numPr>
        <w:autoSpaceDE w:val="0"/>
        <w:autoSpaceDN w:val="0"/>
        <w:adjustRightInd w:val="0"/>
        <w:spacing w:line="420" w:lineRule="exact"/>
        <w:jc w:val="left"/>
        <w:rPr>
          <w:rFonts w:ascii="宋体" w:cs="宋体"/>
          <w:color w:val="auto"/>
          <w:kern w:val="0"/>
          <w:sz w:val="28"/>
          <w:szCs w:val="28"/>
        </w:rPr>
      </w:pPr>
      <w:r>
        <w:rPr>
          <w:rFonts w:hint="eastAsia" w:ascii="宋体" w:cs="宋体"/>
          <w:color w:val="auto"/>
          <w:kern w:val="0"/>
          <w:sz w:val="28"/>
          <w:szCs w:val="28"/>
        </w:rPr>
        <w:t>主要人员简历表</w:t>
      </w:r>
    </w:p>
    <w:p>
      <w:pPr>
        <w:autoSpaceDE w:val="0"/>
        <w:autoSpaceDN w:val="0"/>
        <w:adjustRightInd w:val="0"/>
        <w:spacing w:line="420" w:lineRule="exact"/>
        <w:jc w:val="left"/>
        <w:rPr>
          <w:rFonts w:ascii="宋体" w:cs="宋体"/>
          <w:color w:val="auto"/>
          <w:kern w:val="0"/>
          <w:sz w:val="24"/>
        </w:rPr>
      </w:pPr>
    </w:p>
    <w:p>
      <w:pPr>
        <w:autoSpaceDE w:val="0"/>
        <w:autoSpaceDN w:val="0"/>
        <w:adjustRightInd w:val="0"/>
        <w:spacing w:line="420" w:lineRule="exact"/>
        <w:jc w:val="left"/>
        <w:rPr>
          <w:rFonts w:ascii="宋体" w:cs="宋体"/>
          <w:color w:val="auto"/>
          <w:kern w:val="0"/>
          <w:szCs w:val="21"/>
          <w:highlight w:val="yellow"/>
        </w:rPr>
      </w:pPr>
      <w:r>
        <w:rPr>
          <w:rFonts w:hint="eastAsia" w:ascii="宋体" w:cs="宋体"/>
          <w:color w:val="auto"/>
          <w:kern w:val="0"/>
          <w:szCs w:val="21"/>
        </w:rPr>
        <w:t>“主要人员简历表”中的项目经理应附注册建造师证、身份证、职称证（如有）、学历证（如有）、社</w:t>
      </w:r>
      <w:r>
        <w:rPr>
          <w:rFonts w:hint="eastAsia" w:ascii="宋体" w:cs="宋体"/>
          <w:color w:val="auto"/>
          <w:kern w:val="0"/>
          <w:szCs w:val="21"/>
          <w:lang w:eastAsia="zh-CN"/>
        </w:rPr>
        <w:t>会</w:t>
      </w:r>
      <w:r>
        <w:rPr>
          <w:rFonts w:hint="eastAsia" w:ascii="宋体" w:cs="宋体"/>
          <w:color w:val="auto"/>
          <w:kern w:val="0"/>
          <w:szCs w:val="21"/>
        </w:rPr>
        <w:t>保险等资料，管理过的项目业绩须附合同及中标通知书（如有）；</w:t>
      </w:r>
    </w:p>
    <w:p>
      <w:pPr>
        <w:autoSpaceDE w:val="0"/>
        <w:autoSpaceDN w:val="0"/>
        <w:adjustRightInd w:val="0"/>
        <w:spacing w:line="420" w:lineRule="exact"/>
        <w:jc w:val="left"/>
        <w:rPr>
          <w:rFonts w:ascii="宋体" w:cs="宋体"/>
          <w:color w:val="auto"/>
          <w:kern w:val="0"/>
          <w:szCs w:val="21"/>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8"/>
        <w:gridCol w:w="781"/>
        <w:gridCol w:w="778"/>
        <w:gridCol w:w="1563"/>
        <w:gridCol w:w="1560"/>
        <w:gridCol w:w="780"/>
        <w:gridCol w:w="1072"/>
        <w:gridCol w:w="1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1558"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姓 名</w:t>
            </w:r>
          </w:p>
        </w:tc>
        <w:tc>
          <w:tcPr>
            <w:tcW w:w="1559" w:type="dxa"/>
            <w:gridSpan w:val="2"/>
            <w:vAlign w:val="center"/>
          </w:tcPr>
          <w:p>
            <w:pPr>
              <w:autoSpaceDE w:val="0"/>
              <w:autoSpaceDN w:val="0"/>
              <w:adjustRightInd w:val="0"/>
              <w:spacing w:line="420" w:lineRule="exact"/>
              <w:jc w:val="center"/>
              <w:rPr>
                <w:rFonts w:ascii="宋体" w:cs="宋体"/>
                <w:color w:val="auto"/>
                <w:kern w:val="0"/>
                <w:szCs w:val="21"/>
              </w:rPr>
            </w:pPr>
          </w:p>
        </w:tc>
        <w:tc>
          <w:tcPr>
            <w:tcW w:w="1563"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年 龄</w:t>
            </w:r>
          </w:p>
        </w:tc>
        <w:tc>
          <w:tcPr>
            <w:tcW w:w="1560" w:type="dxa"/>
            <w:vAlign w:val="center"/>
          </w:tcPr>
          <w:p>
            <w:pPr>
              <w:autoSpaceDE w:val="0"/>
              <w:autoSpaceDN w:val="0"/>
              <w:adjustRightInd w:val="0"/>
              <w:spacing w:line="420" w:lineRule="exact"/>
              <w:jc w:val="center"/>
              <w:rPr>
                <w:rFonts w:ascii="宋体" w:cs="宋体"/>
                <w:color w:val="auto"/>
                <w:kern w:val="0"/>
                <w:szCs w:val="21"/>
              </w:rPr>
            </w:pPr>
          </w:p>
        </w:tc>
        <w:tc>
          <w:tcPr>
            <w:tcW w:w="1852" w:type="dxa"/>
            <w:gridSpan w:val="2"/>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学 历</w:t>
            </w:r>
          </w:p>
        </w:tc>
        <w:tc>
          <w:tcPr>
            <w:tcW w:w="1270"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1558"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职 称</w:t>
            </w:r>
          </w:p>
        </w:tc>
        <w:tc>
          <w:tcPr>
            <w:tcW w:w="1559" w:type="dxa"/>
            <w:gridSpan w:val="2"/>
            <w:vAlign w:val="center"/>
          </w:tcPr>
          <w:p>
            <w:pPr>
              <w:autoSpaceDE w:val="0"/>
              <w:autoSpaceDN w:val="0"/>
              <w:adjustRightInd w:val="0"/>
              <w:spacing w:line="420" w:lineRule="exact"/>
              <w:jc w:val="center"/>
              <w:rPr>
                <w:rFonts w:ascii="宋体" w:cs="宋体"/>
                <w:color w:val="auto"/>
                <w:kern w:val="0"/>
                <w:szCs w:val="21"/>
              </w:rPr>
            </w:pPr>
          </w:p>
        </w:tc>
        <w:tc>
          <w:tcPr>
            <w:tcW w:w="1563"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职 务</w:t>
            </w:r>
          </w:p>
        </w:tc>
        <w:tc>
          <w:tcPr>
            <w:tcW w:w="1560" w:type="dxa"/>
            <w:vAlign w:val="center"/>
          </w:tcPr>
          <w:p>
            <w:pPr>
              <w:autoSpaceDE w:val="0"/>
              <w:autoSpaceDN w:val="0"/>
              <w:adjustRightInd w:val="0"/>
              <w:spacing w:line="420" w:lineRule="exact"/>
              <w:jc w:val="center"/>
              <w:rPr>
                <w:rFonts w:ascii="宋体" w:cs="宋体"/>
                <w:color w:val="auto"/>
                <w:kern w:val="0"/>
                <w:szCs w:val="21"/>
              </w:rPr>
            </w:pPr>
          </w:p>
        </w:tc>
        <w:tc>
          <w:tcPr>
            <w:tcW w:w="1852" w:type="dxa"/>
            <w:gridSpan w:val="2"/>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拟在本合同任职</w:t>
            </w:r>
          </w:p>
        </w:tc>
        <w:tc>
          <w:tcPr>
            <w:tcW w:w="1270" w:type="dxa"/>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1558" w:type="dxa"/>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毕业学校</w:t>
            </w:r>
          </w:p>
        </w:tc>
        <w:tc>
          <w:tcPr>
            <w:tcW w:w="7804" w:type="dxa"/>
            <w:gridSpan w:val="7"/>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9362" w:type="dxa"/>
            <w:gridSpan w:val="8"/>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2339" w:type="dxa"/>
            <w:gridSpan w:val="2"/>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时 间</w:t>
            </w:r>
          </w:p>
        </w:tc>
        <w:tc>
          <w:tcPr>
            <w:tcW w:w="2341" w:type="dxa"/>
            <w:gridSpan w:val="2"/>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参加过的类似项目</w:t>
            </w:r>
          </w:p>
        </w:tc>
        <w:tc>
          <w:tcPr>
            <w:tcW w:w="2340" w:type="dxa"/>
            <w:gridSpan w:val="2"/>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担任职务</w:t>
            </w:r>
          </w:p>
        </w:tc>
        <w:tc>
          <w:tcPr>
            <w:tcW w:w="2342" w:type="dxa"/>
            <w:gridSpan w:val="2"/>
            <w:vAlign w:val="center"/>
          </w:tcPr>
          <w:p>
            <w:pPr>
              <w:autoSpaceDE w:val="0"/>
              <w:autoSpaceDN w:val="0"/>
              <w:adjustRightInd w:val="0"/>
              <w:spacing w:line="420" w:lineRule="exact"/>
              <w:jc w:val="center"/>
              <w:rPr>
                <w:rFonts w:ascii="宋体" w:cs="宋体"/>
                <w:color w:val="auto"/>
                <w:kern w:val="0"/>
                <w:szCs w:val="21"/>
              </w:rPr>
            </w:pPr>
            <w:r>
              <w:rPr>
                <w:rFonts w:hint="eastAsia" w:ascii="宋体" w:cs="宋体"/>
                <w:color w:val="auto"/>
                <w:kern w:val="0"/>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2339"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1"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0"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2" w:type="dxa"/>
            <w:gridSpan w:val="2"/>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2339"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1"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0"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2" w:type="dxa"/>
            <w:gridSpan w:val="2"/>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2339"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1"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0"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2" w:type="dxa"/>
            <w:gridSpan w:val="2"/>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2339"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1"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0"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2" w:type="dxa"/>
            <w:gridSpan w:val="2"/>
            <w:vAlign w:val="center"/>
          </w:tcPr>
          <w:p>
            <w:pPr>
              <w:autoSpaceDE w:val="0"/>
              <w:autoSpaceDN w:val="0"/>
              <w:adjustRightInd w:val="0"/>
              <w:spacing w:line="420" w:lineRule="exact"/>
              <w:jc w:val="center"/>
              <w:rPr>
                <w:rFonts w:asci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2339"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1"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0" w:type="dxa"/>
            <w:gridSpan w:val="2"/>
            <w:vAlign w:val="center"/>
          </w:tcPr>
          <w:p>
            <w:pPr>
              <w:autoSpaceDE w:val="0"/>
              <w:autoSpaceDN w:val="0"/>
              <w:adjustRightInd w:val="0"/>
              <w:spacing w:line="420" w:lineRule="exact"/>
              <w:jc w:val="center"/>
              <w:rPr>
                <w:rFonts w:ascii="宋体" w:cs="宋体"/>
                <w:color w:val="auto"/>
                <w:kern w:val="0"/>
                <w:szCs w:val="21"/>
              </w:rPr>
            </w:pPr>
          </w:p>
        </w:tc>
        <w:tc>
          <w:tcPr>
            <w:tcW w:w="2342" w:type="dxa"/>
            <w:gridSpan w:val="2"/>
            <w:vAlign w:val="center"/>
          </w:tcPr>
          <w:p>
            <w:pPr>
              <w:autoSpaceDE w:val="0"/>
              <w:autoSpaceDN w:val="0"/>
              <w:adjustRightInd w:val="0"/>
              <w:spacing w:line="420" w:lineRule="exact"/>
              <w:jc w:val="center"/>
              <w:rPr>
                <w:rFonts w:ascii="宋体" w:cs="宋体"/>
                <w:color w:val="auto"/>
                <w:kern w:val="0"/>
                <w:szCs w:val="21"/>
              </w:rPr>
            </w:pPr>
          </w:p>
        </w:tc>
      </w:tr>
    </w:tbl>
    <w:p>
      <w:pPr>
        <w:autoSpaceDE w:val="0"/>
        <w:autoSpaceDN w:val="0"/>
        <w:adjustRightInd w:val="0"/>
        <w:spacing w:line="420" w:lineRule="exact"/>
        <w:jc w:val="left"/>
        <w:rPr>
          <w:rFonts w:ascii="宋体" w:cs="宋体"/>
          <w:color w:val="auto"/>
          <w:kern w:val="0"/>
          <w:sz w:val="28"/>
          <w:szCs w:val="28"/>
        </w:rPr>
      </w:pPr>
    </w:p>
    <w:p>
      <w:pPr>
        <w:autoSpaceDE w:val="0"/>
        <w:autoSpaceDN w:val="0"/>
        <w:adjustRightInd w:val="0"/>
        <w:spacing w:line="420" w:lineRule="exact"/>
        <w:jc w:val="left"/>
        <w:rPr>
          <w:rFonts w:ascii="宋体" w:cs="宋体"/>
          <w:color w:val="auto"/>
          <w:kern w:val="0"/>
          <w:sz w:val="28"/>
          <w:szCs w:val="28"/>
        </w:rPr>
      </w:pPr>
    </w:p>
    <w:p>
      <w:pPr>
        <w:pStyle w:val="4"/>
        <w:rPr>
          <w:color w:val="auto"/>
          <w:sz w:val="28"/>
          <w:szCs w:val="28"/>
        </w:rPr>
      </w:pPr>
    </w:p>
    <w:p>
      <w:pPr>
        <w:pStyle w:val="4"/>
        <w:rPr>
          <w:color w:val="auto"/>
          <w:sz w:val="28"/>
          <w:szCs w:val="28"/>
        </w:rPr>
      </w:pPr>
    </w:p>
    <w:p>
      <w:pPr>
        <w:pStyle w:val="4"/>
        <w:rPr>
          <w:color w:val="auto"/>
          <w:sz w:val="28"/>
          <w:szCs w:val="28"/>
        </w:rPr>
      </w:pPr>
    </w:p>
    <w:bookmarkEnd w:id="507"/>
    <w:bookmarkEnd w:id="508"/>
    <w:bookmarkEnd w:id="509"/>
    <w:bookmarkEnd w:id="510"/>
    <w:bookmarkEnd w:id="511"/>
    <w:bookmarkEnd w:id="512"/>
    <w:bookmarkEnd w:id="513"/>
    <w:bookmarkEnd w:id="514"/>
    <w:bookmarkEnd w:id="515"/>
    <w:p>
      <w:pPr>
        <w:pStyle w:val="3"/>
        <w:rPr>
          <w:rFonts w:ascii="宋体" w:cs="宋体"/>
          <w:color w:val="auto"/>
          <w:sz w:val="20"/>
          <w:szCs w:val="20"/>
        </w:rPr>
      </w:pPr>
    </w:p>
    <w:p>
      <w:pPr>
        <w:pStyle w:val="3"/>
        <w:rPr>
          <w:rFonts w:ascii="宋体" w:cs="宋体"/>
          <w:color w:val="auto"/>
          <w:sz w:val="20"/>
          <w:szCs w:val="20"/>
        </w:rPr>
      </w:pPr>
    </w:p>
    <w:p>
      <w:pPr>
        <w:spacing w:line="360" w:lineRule="auto"/>
        <w:ind w:firstLine="3213" w:firstLineChars="1000"/>
        <w:outlineLvl w:val="1"/>
        <w:rPr>
          <w:rFonts w:ascii="宋体" w:cs="宋体"/>
          <w:b/>
          <w:bCs/>
          <w:color w:val="auto"/>
          <w:sz w:val="32"/>
          <w:szCs w:val="32"/>
        </w:rPr>
      </w:pPr>
      <w:bookmarkStart w:id="600" w:name="_Toc13413"/>
      <w:r>
        <w:rPr>
          <w:rFonts w:hint="eastAsia" w:ascii="宋体" w:cs="宋体"/>
          <w:b/>
          <w:bCs/>
          <w:color w:val="auto"/>
          <w:sz w:val="32"/>
          <w:szCs w:val="32"/>
        </w:rPr>
        <w:br w:type="page"/>
      </w:r>
      <w:r>
        <w:rPr>
          <w:rFonts w:hint="eastAsia" w:ascii="宋体" w:cs="宋体"/>
          <w:b/>
          <w:bCs/>
          <w:color w:val="auto"/>
          <w:sz w:val="32"/>
          <w:szCs w:val="32"/>
        </w:rPr>
        <w:t>九、其他资料</w:t>
      </w:r>
      <w:bookmarkEnd w:id="600"/>
    </w:p>
    <w:p>
      <w:pPr>
        <w:spacing w:line="500" w:lineRule="exact"/>
        <w:jc w:val="center"/>
        <w:rPr>
          <w:rFonts w:ascii="宋体" w:cs="宋体"/>
          <w:b/>
          <w:color w:val="auto"/>
          <w:sz w:val="24"/>
        </w:rPr>
      </w:pPr>
      <w:r>
        <w:rPr>
          <w:rFonts w:hint="eastAsia" w:ascii="宋体" w:cs="宋体"/>
          <w:b/>
          <w:color w:val="auto"/>
          <w:sz w:val="24"/>
        </w:rPr>
        <w:t>（一）洛阳市工程建设项目廉洁自律告知书</w:t>
      </w:r>
    </w:p>
    <w:p>
      <w:pPr>
        <w:spacing w:line="500" w:lineRule="exact"/>
        <w:rPr>
          <w:rFonts w:ascii="宋体" w:cs="宋体"/>
          <w:color w:val="auto"/>
          <w:szCs w:val="21"/>
        </w:rPr>
      </w:pPr>
    </w:p>
    <w:p>
      <w:pPr>
        <w:spacing w:line="500" w:lineRule="exact"/>
        <w:ind w:firstLine="420" w:firstLineChars="200"/>
        <w:rPr>
          <w:rFonts w:ascii="宋体" w:cs="宋体"/>
          <w:color w:val="auto"/>
          <w:szCs w:val="21"/>
        </w:rPr>
      </w:pPr>
      <w:r>
        <w:rPr>
          <w:rFonts w:hint="eastAsia" w:ascii="宋体" w:cs="宋体"/>
          <w:color w:val="auto"/>
          <w:szCs w:val="21"/>
        </w:rPr>
        <w:t>为维护公平竞争的市场秩序,从源头上有效预防和制止违法违纪行为和腐败问题的发生,促进工程项目建设廉洁优质高效，现就有关事项告知如下：</w:t>
      </w:r>
    </w:p>
    <w:p>
      <w:pPr>
        <w:spacing w:line="500" w:lineRule="exact"/>
        <w:ind w:firstLine="420" w:firstLineChars="200"/>
        <w:rPr>
          <w:rFonts w:ascii="宋体" w:cs="宋体"/>
          <w:color w:val="auto"/>
          <w:kern w:val="0"/>
          <w:szCs w:val="21"/>
        </w:rPr>
      </w:pPr>
      <w:r>
        <w:rPr>
          <w:rFonts w:hint="eastAsia" w:ascii="宋体" w:cs="宋体"/>
          <w:color w:val="auto"/>
          <w:kern w:val="0"/>
          <w:szCs w:val="21"/>
        </w:rPr>
        <w:t>1、严格遵守工程建设项目的法律、法规及规章制度。</w:t>
      </w:r>
    </w:p>
    <w:p>
      <w:pPr>
        <w:spacing w:line="500" w:lineRule="exact"/>
        <w:ind w:firstLine="420" w:firstLineChars="200"/>
        <w:rPr>
          <w:rFonts w:ascii="宋体" w:cs="宋体"/>
          <w:color w:val="auto"/>
          <w:szCs w:val="21"/>
        </w:rPr>
      </w:pPr>
      <w:r>
        <w:rPr>
          <w:rFonts w:hint="eastAsia" w:ascii="宋体" w:cs="宋体"/>
          <w:color w:val="auto"/>
          <w:szCs w:val="21"/>
        </w:rPr>
        <w:t>2、严格遵守职业道德，坚持公开、公正、公平、诚信的原则；</w:t>
      </w:r>
    </w:p>
    <w:p>
      <w:pPr>
        <w:spacing w:line="500" w:lineRule="exact"/>
        <w:ind w:firstLine="420" w:firstLineChars="200"/>
        <w:rPr>
          <w:rFonts w:ascii="宋体" w:cs="宋体"/>
          <w:color w:val="auto"/>
          <w:kern w:val="0"/>
          <w:szCs w:val="21"/>
        </w:rPr>
      </w:pPr>
      <w:r>
        <w:rPr>
          <w:rFonts w:hint="eastAsia" w:ascii="宋体" w:cs="宋体"/>
          <w:color w:val="auto"/>
          <w:szCs w:val="21"/>
        </w:rPr>
        <w:t>3、严格执行工程建设项目合同文件，自觉按合同办事</w:t>
      </w:r>
      <w:r>
        <w:rPr>
          <w:rFonts w:hint="eastAsia" w:ascii="宋体" w:cs="宋体"/>
          <w:color w:val="auto"/>
          <w:kern w:val="0"/>
          <w:szCs w:val="21"/>
        </w:rPr>
        <w:t>；</w:t>
      </w:r>
    </w:p>
    <w:p>
      <w:pPr>
        <w:spacing w:line="500" w:lineRule="exact"/>
        <w:ind w:firstLine="420" w:firstLineChars="200"/>
        <w:rPr>
          <w:rFonts w:ascii="宋体" w:cs="宋体"/>
          <w:color w:val="auto"/>
          <w:szCs w:val="21"/>
        </w:rPr>
      </w:pPr>
      <w:r>
        <w:rPr>
          <w:rFonts w:hint="eastAsia" w:ascii="宋体" w:cs="宋体"/>
          <w:color w:val="auto"/>
          <w:szCs w:val="21"/>
        </w:rPr>
        <w:t>4、严格执行工程建设项目招标投标、物资采购、设计变更、质量认证、安全生产等各项规定；</w:t>
      </w:r>
    </w:p>
    <w:p>
      <w:pPr>
        <w:spacing w:line="500" w:lineRule="exact"/>
        <w:ind w:firstLine="420" w:firstLineChars="200"/>
        <w:rPr>
          <w:rFonts w:ascii="宋体" w:cs="宋体"/>
          <w:color w:val="auto"/>
          <w:szCs w:val="21"/>
        </w:rPr>
      </w:pPr>
      <w:r>
        <w:rPr>
          <w:rFonts w:hint="eastAsia" w:ascii="宋体" w:cs="宋体"/>
          <w:color w:val="auto"/>
          <w:szCs w:val="21"/>
        </w:rPr>
        <w:t>5、严禁为了获取不正当的利益而损害国家利益、社会公共利益或者他人合法权益；</w:t>
      </w:r>
    </w:p>
    <w:p>
      <w:pPr>
        <w:spacing w:line="500" w:lineRule="exact"/>
        <w:ind w:firstLine="420" w:firstLineChars="200"/>
        <w:rPr>
          <w:rFonts w:ascii="宋体" w:cs="宋体"/>
          <w:color w:val="auto"/>
          <w:szCs w:val="21"/>
        </w:rPr>
      </w:pPr>
      <w:r>
        <w:rPr>
          <w:rFonts w:hint="eastAsia" w:ascii="宋体" w:cs="宋体"/>
          <w:color w:val="auto"/>
          <w:szCs w:val="21"/>
        </w:rPr>
        <w:t>6、严禁向项目建设单位和相关职能部门及有关人员赠送礼金、有价证券、贵重物品或回扣、好处费、感谢费等，不直接或变相行贿搞商业贿赂；</w:t>
      </w:r>
    </w:p>
    <w:p>
      <w:pPr>
        <w:spacing w:line="500" w:lineRule="exact"/>
        <w:ind w:firstLine="420" w:firstLineChars="200"/>
        <w:rPr>
          <w:rFonts w:ascii="宋体" w:cs="宋体"/>
          <w:color w:val="auto"/>
          <w:szCs w:val="21"/>
        </w:rPr>
      </w:pPr>
      <w:r>
        <w:rPr>
          <w:rFonts w:hint="eastAsia" w:ascii="宋体" w:cs="宋体"/>
          <w:color w:val="auto"/>
          <w:szCs w:val="21"/>
        </w:rPr>
        <w:t>7、加强内部监督，并</w:t>
      </w:r>
      <w:r>
        <w:rPr>
          <w:rFonts w:hint="eastAsia" w:ascii="宋体" w:cs="宋体"/>
          <w:color w:val="auto"/>
          <w:kern w:val="0"/>
          <w:szCs w:val="21"/>
        </w:rPr>
        <w:t>自觉接受有关职能部门对工程建设情况的监督检查；</w:t>
      </w:r>
    </w:p>
    <w:p>
      <w:pPr>
        <w:spacing w:line="500" w:lineRule="exact"/>
        <w:ind w:firstLine="420" w:firstLineChars="200"/>
        <w:rPr>
          <w:rFonts w:ascii="宋体" w:cs="宋体"/>
          <w:color w:val="auto"/>
          <w:szCs w:val="21"/>
        </w:rPr>
      </w:pPr>
      <w:r>
        <w:rPr>
          <w:rFonts w:hint="eastAsia" w:ascii="宋体" w:cs="宋体"/>
          <w:color w:val="auto"/>
          <w:szCs w:val="21"/>
        </w:rPr>
        <w:t>8、严格执行廉洁从业各项规定，并向市委、市政府作出廉洁自律承诺。</w:t>
      </w:r>
    </w:p>
    <w:p>
      <w:pPr>
        <w:spacing w:line="500" w:lineRule="exact"/>
        <w:ind w:firstLine="420" w:firstLineChars="200"/>
        <w:rPr>
          <w:rFonts w:ascii="宋体" w:cs="宋体"/>
          <w:color w:val="auto"/>
          <w:szCs w:val="21"/>
        </w:rPr>
      </w:pPr>
      <w:r>
        <w:rPr>
          <w:rFonts w:hint="eastAsia" w:ascii="宋体" w:cs="宋体"/>
          <w:color w:val="auto"/>
          <w:szCs w:val="21"/>
        </w:rPr>
        <w:t>违反上述告知事项造成不良影响或严重后果的，按照国家有关法律法规予以处理；涉嫌犯罪的，移送司法机关依法追究刑事责任。</w:t>
      </w:r>
    </w:p>
    <w:p>
      <w:pPr>
        <w:spacing w:line="500" w:lineRule="exact"/>
        <w:ind w:firstLine="420" w:firstLineChars="200"/>
        <w:rPr>
          <w:rFonts w:ascii="宋体" w:cs="宋体"/>
          <w:color w:val="auto"/>
          <w:szCs w:val="21"/>
        </w:rPr>
      </w:pPr>
      <w:r>
        <w:rPr>
          <w:rFonts w:hint="eastAsia" w:ascii="宋体" w:cs="宋体"/>
          <w:color w:val="auto"/>
          <w:szCs w:val="21"/>
        </w:rPr>
        <w:t>本人已认真阅读并充分理解以上条款，并代表所属单位严格遵守。</w:t>
      </w:r>
    </w:p>
    <w:p>
      <w:pPr>
        <w:spacing w:line="500" w:lineRule="exact"/>
        <w:ind w:firstLine="420" w:firstLineChars="200"/>
        <w:rPr>
          <w:rFonts w:ascii="宋体" w:cs="宋体"/>
          <w:color w:val="auto"/>
          <w:szCs w:val="21"/>
        </w:rPr>
      </w:pPr>
    </w:p>
    <w:p>
      <w:pPr>
        <w:spacing w:line="500" w:lineRule="exact"/>
        <w:ind w:firstLine="420" w:firstLineChars="200"/>
        <w:rPr>
          <w:rFonts w:ascii="宋体" w:cs="宋体"/>
          <w:color w:val="auto"/>
          <w:szCs w:val="21"/>
        </w:rPr>
      </w:pPr>
    </w:p>
    <w:p>
      <w:pPr>
        <w:spacing w:line="500" w:lineRule="exact"/>
        <w:ind w:firstLine="420" w:firstLineChars="200"/>
        <w:rPr>
          <w:rFonts w:ascii="宋体" w:cs="宋体"/>
          <w:color w:val="auto"/>
          <w:szCs w:val="21"/>
        </w:rPr>
      </w:pPr>
      <w:r>
        <w:rPr>
          <w:rFonts w:hint="eastAsia" w:ascii="宋体" w:cs="宋体"/>
          <w:color w:val="auto"/>
          <w:szCs w:val="21"/>
        </w:rPr>
        <w:t>法定代表人签名：         单位：            日期：</w:t>
      </w:r>
    </w:p>
    <w:p>
      <w:pPr>
        <w:jc w:val="center"/>
        <w:rPr>
          <w:rFonts w:ascii="宋体" w:cs="宋体"/>
          <w:b/>
          <w:color w:val="auto"/>
          <w:szCs w:val="21"/>
        </w:rPr>
      </w:pPr>
    </w:p>
    <w:p>
      <w:pPr>
        <w:spacing w:line="480" w:lineRule="exact"/>
        <w:ind w:right="570"/>
        <w:rPr>
          <w:rFonts w:ascii="宋体" w:cs="宋体"/>
          <w:b/>
          <w:color w:val="auto"/>
          <w:szCs w:val="21"/>
        </w:rPr>
      </w:pPr>
      <w:r>
        <w:rPr>
          <w:rFonts w:hint="eastAsia" w:ascii="宋体" w:cs="宋体"/>
          <w:b/>
          <w:color w:val="auto"/>
          <w:szCs w:val="21"/>
        </w:rPr>
        <w:t>备注：不按招标文件要求递交此承诺书，按废标处理。</w:t>
      </w:r>
    </w:p>
    <w:p>
      <w:pPr>
        <w:jc w:val="center"/>
        <w:rPr>
          <w:rFonts w:ascii="宋体" w:cs="宋体"/>
          <w:b/>
          <w:color w:val="auto"/>
          <w:sz w:val="24"/>
        </w:rPr>
      </w:pPr>
    </w:p>
    <w:p>
      <w:pPr>
        <w:jc w:val="center"/>
        <w:rPr>
          <w:rFonts w:ascii="宋体" w:cs="宋体"/>
          <w:b/>
          <w:color w:val="auto"/>
          <w:sz w:val="24"/>
        </w:rPr>
      </w:pPr>
    </w:p>
    <w:p>
      <w:pPr>
        <w:jc w:val="center"/>
        <w:rPr>
          <w:rFonts w:ascii="宋体" w:cs="宋体"/>
          <w:b/>
          <w:color w:val="auto"/>
          <w:sz w:val="24"/>
        </w:rPr>
      </w:pPr>
    </w:p>
    <w:p>
      <w:pPr>
        <w:jc w:val="center"/>
        <w:rPr>
          <w:rFonts w:ascii="宋体" w:cs="宋体"/>
          <w:b/>
          <w:color w:val="auto"/>
          <w:sz w:val="24"/>
        </w:rPr>
      </w:pPr>
    </w:p>
    <w:p>
      <w:pPr>
        <w:jc w:val="center"/>
        <w:rPr>
          <w:rFonts w:ascii="宋体" w:cs="宋体"/>
          <w:b/>
          <w:color w:val="auto"/>
          <w:sz w:val="24"/>
        </w:rPr>
      </w:pPr>
      <w:r>
        <w:rPr>
          <w:rFonts w:hint="eastAsia" w:ascii="宋体" w:cs="宋体"/>
          <w:b/>
          <w:color w:val="auto"/>
          <w:sz w:val="24"/>
        </w:rPr>
        <w:br w:type="page"/>
      </w:r>
      <w:r>
        <w:rPr>
          <w:rFonts w:hint="eastAsia" w:ascii="宋体" w:cs="宋体"/>
          <w:b/>
          <w:color w:val="auto"/>
          <w:sz w:val="24"/>
        </w:rPr>
        <w:t>（二）洛阳市建设工程廉洁自律承诺书</w:t>
      </w:r>
    </w:p>
    <w:p>
      <w:pPr>
        <w:spacing w:line="360" w:lineRule="auto"/>
        <w:ind w:firstLine="420" w:firstLineChars="200"/>
        <w:rPr>
          <w:rFonts w:ascii="宋体" w:cs="宋体"/>
          <w:color w:val="auto"/>
          <w:szCs w:val="21"/>
        </w:rPr>
      </w:pPr>
    </w:p>
    <w:p>
      <w:pPr>
        <w:spacing w:line="360" w:lineRule="auto"/>
        <w:ind w:firstLine="420" w:firstLineChars="200"/>
        <w:rPr>
          <w:rFonts w:ascii="宋体" w:cs="宋体"/>
          <w:color w:val="auto"/>
          <w:szCs w:val="21"/>
          <w:u w:val="single"/>
        </w:rPr>
      </w:pPr>
      <w:r>
        <w:rPr>
          <w:rFonts w:hint="eastAsia" w:ascii="宋体" w:cs="宋体"/>
          <w:color w:val="auto"/>
          <w:szCs w:val="21"/>
        </w:rPr>
        <w:t>为切实加强工程建设领域的党风廉政建设，严格遵守廉洁从业的有关规定，有效预防和制止各种违法违纪行为和腐败问题的发生，确保把工程项目建设成为廉洁工程，促进经济社会又好又快地发展，作为工程建设的单位，特向市委、市政府做出如下庄严承诺：</w:t>
      </w:r>
    </w:p>
    <w:p>
      <w:pPr>
        <w:spacing w:line="360" w:lineRule="auto"/>
        <w:rPr>
          <w:rFonts w:ascii="宋体" w:cs="宋体"/>
          <w:color w:val="auto"/>
          <w:szCs w:val="21"/>
        </w:rPr>
      </w:pPr>
      <w:r>
        <w:rPr>
          <w:rFonts w:hint="eastAsia" w:ascii="宋体" w:cs="宋体"/>
          <w:color w:val="auto"/>
          <w:szCs w:val="21"/>
        </w:rPr>
        <w:t xml:space="preserve">    一、严格遵守党纪国法和各项政策规定，将廉政建设和廉洁从业的各项要求贯彻始终，廉洁自律，加强监督，保证将工程建设成廉洁工程。</w:t>
      </w:r>
    </w:p>
    <w:p>
      <w:pPr>
        <w:spacing w:line="360" w:lineRule="auto"/>
        <w:ind w:firstLine="435"/>
        <w:rPr>
          <w:rFonts w:ascii="宋体" w:cs="宋体"/>
          <w:color w:val="auto"/>
          <w:szCs w:val="21"/>
        </w:rPr>
      </w:pPr>
      <w:r>
        <w:rPr>
          <w:rFonts w:hint="eastAsia" w:ascii="宋体" w:cs="宋体"/>
          <w:color w:val="auto"/>
          <w:szCs w:val="21"/>
        </w:rPr>
        <w:t>二、严格遵守职业道德，坚持公开、公正、公平的原则，依法合规参与竞争，努力推进诚信建设，决不从事任何不正当竞争和任何违法违纪行为。</w:t>
      </w:r>
    </w:p>
    <w:p>
      <w:pPr>
        <w:spacing w:line="360" w:lineRule="auto"/>
        <w:ind w:firstLine="435"/>
        <w:rPr>
          <w:rFonts w:ascii="宋体" w:cs="宋体"/>
          <w:color w:val="auto"/>
          <w:szCs w:val="21"/>
        </w:rPr>
      </w:pPr>
      <w:r>
        <w:rPr>
          <w:rFonts w:hint="eastAsia" w:ascii="宋体" w:cs="宋体"/>
          <w:color w:val="auto"/>
          <w:szCs w:val="21"/>
        </w:rPr>
        <w:t>三、建立并落实党风廉政建设和廉洁从业责任制，健全行之有效的规章制度，在工程报批立项、招标投标、资金运用、物资采购、设计变更、预算决算、质量认证、工程验收和设计、施工、监理过程中不以任何形式以权谋私、以工程谋私、索贿受贿，直接或变相行贿搞商业贿赂。</w:t>
      </w:r>
    </w:p>
    <w:p>
      <w:pPr>
        <w:spacing w:line="360" w:lineRule="auto"/>
        <w:ind w:firstLine="435"/>
        <w:rPr>
          <w:rFonts w:ascii="宋体" w:cs="宋体"/>
          <w:color w:val="auto"/>
          <w:szCs w:val="21"/>
        </w:rPr>
      </w:pPr>
      <w:r>
        <w:rPr>
          <w:rFonts w:hint="eastAsia" w:ascii="宋体" w:cs="宋体"/>
          <w:color w:val="auto"/>
          <w:szCs w:val="21"/>
        </w:rPr>
        <w:t>四、建立工程质量监管保证体系。严格按照国家各项相关法规和技术规范从事设计、施工、监理，确保工程设计、施工组织、质量监理全部依法合规，争创优质工程。</w:t>
      </w:r>
    </w:p>
    <w:p>
      <w:pPr>
        <w:spacing w:line="360" w:lineRule="auto"/>
        <w:ind w:firstLine="435"/>
        <w:rPr>
          <w:rFonts w:ascii="宋体" w:cs="宋体"/>
          <w:color w:val="auto"/>
          <w:szCs w:val="21"/>
        </w:rPr>
      </w:pPr>
      <w:r>
        <w:rPr>
          <w:rFonts w:hint="eastAsia" w:ascii="宋体" w:cs="宋体"/>
          <w:color w:val="auto"/>
          <w:szCs w:val="21"/>
        </w:rPr>
        <w:t>五、建立安全生产监管保证体系。按照国家各项相关法律和技术规范，在工程建设中落实安全生产“三同时”要求，确保施工人员和其他相关人员生命及人身安全，严防各类安全事故的发生。</w:t>
      </w:r>
    </w:p>
    <w:p>
      <w:pPr>
        <w:spacing w:line="360" w:lineRule="auto"/>
        <w:ind w:firstLine="435"/>
        <w:rPr>
          <w:rFonts w:ascii="宋体" w:cs="宋体"/>
          <w:color w:val="auto"/>
          <w:szCs w:val="21"/>
        </w:rPr>
      </w:pPr>
      <w:r>
        <w:rPr>
          <w:rFonts w:hint="eastAsia" w:ascii="宋体" w:cs="宋体"/>
          <w:color w:val="auto"/>
          <w:szCs w:val="21"/>
        </w:rPr>
        <w:t>六、遵守财经法规，厉行勤俭节约，杜绝铺张浪费，严格控制开支，最大限度地压缩工程费用，节约资金。</w:t>
      </w:r>
    </w:p>
    <w:p>
      <w:pPr>
        <w:spacing w:line="360" w:lineRule="auto"/>
        <w:ind w:firstLine="435"/>
        <w:rPr>
          <w:rFonts w:ascii="宋体" w:cs="宋体"/>
          <w:color w:val="auto"/>
          <w:szCs w:val="21"/>
        </w:rPr>
      </w:pPr>
      <w:r>
        <w:rPr>
          <w:rFonts w:hint="eastAsia" w:ascii="宋体" w:cs="宋体"/>
          <w:color w:val="auto"/>
          <w:szCs w:val="21"/>
        </w:rPr>
        <w:t>七、定期不定期地对工程建设中的廉政建设和廉洁从业情况进行内部监督检查，同时主动接受外部有关部门依法依纪的监督检查，及时发现和整改存在的各种问题。</w:t>
      </w:r>
    </w:p>
    <w:p>
      <w:pPr>
        <w:spacing w:line="360" w:lineRule="auto"/>
        <w:ind w:firstLine="435"/>
        <w:rPr>
          <w:rFonts w:ascii="宋体" w:cs="宋体"/>
          <w:color w:val="auto"/>
          <w:szCs w:val="21"/>
        </w:rPr>
      </w:pPr>
      <w:r>
        <w:rPr>
          <w:rFonts w:hint="eastAsia" w:ascii="宋体" w:cs="宋体"/>
          <w:color w:val="auto"/>
          <w:szCs w:val="21"/>
        </w:rPr>
        <w:t>八、如在工程建设中发生违法违纪行为和腐败问题，自愿接受党纪、政纪处理直至追究法律责任。</w:t>
      </w:r>
    </w:p>
    <w:p>
      <w:pPr>
        <w:rPr>
          <w:rFonts w:ascii="宋体" w:cs="宋体"/>
          <w:color w:val="auto"/>
          <w:szCs w:val="21"/>
        </w:rPr>
      </w:pPr>
      <w:r>
        <w:rPr>
          <w:rFonts w:hint="eastAsia" w:ascii="宋体" w:cs="宋体"/>
          <w:color w:val="auto"/>
          <w:szCs w:val="21"/>
        </w:rPr>
        <w:t>承诺单位：（签章）</w:t>
      </w:r>
    </w:p>
    <w:p>
      <w:pPr>
        <w:rPr>
          <w:rFonts w:ascii="宋体" w:cs="宋体"/>
          <w:color w:val="auto"/>
          <w:szCs w:val="21"/>
        </w:rPr>
      </w:pPr>
      <w:r>
        <w:rPr>
          <w:rFonts w:hint="eastAsia" w:ascii="宋体" w:cs="宋体"/>
          <w:color w:val="auto"/>
          <w:szCs w:val="21"/>
        </w:rPr>
        <w:t>法定代表人：</w:t>
      </w:r>
    </w:p>
    <w:p>
      <w:pPr>
        <w:rPr>
          <w:rFonts w:ascii="宋体" w:cs="宋体"/>
          <w:color w:val="auto"/>
          <w:szCs w:val="21"/>
        </w:rPr>
      </w:pPr>
      <w:r>
        <w:rPr>
          <w:rFonts w:hint="eastAsia" w:ascii="宋体" w:cs="宋体"/>
          <w:color w:val="auto"/>
          <w:szCs w:val="21"/>
        </w:rPr>
        <w:t>时    间：         年     月     日</w:t>
      </w:r>
    </w:p>
    <w:p>
      <w:pPr>
        <w:spacing w:line="480" w:lineRule="exact"/>
        <w:ind w:right="570"/>
        <w:rPr>
          <w:rFonts w:ascii="宋体" w:cs="宋体"/>
          <w:b/>
          <w:color w:val="auto"/>
          <w:szCs w:val="21"/>
        </w:rPr>
      </w:pPr>
      <w:r>
        <w:rPr>
          <w:rFonts w:hint="eastAsia" w:ascii="宋体" w:cs="宋体"/>
          <w:b/>
          <w:color w:val="auto"/>
          <w:szCs w:val="21"/>
        </w:rPr>
        <w:t>备注：不按招标文件要求递交此承诺书，按废标处理。</w:t>
      </w:r>
    </w:p>
    <w:p>
      <w:pPr>
        <w:jc w:val="center"/>
        <w:rPr>
          <w:rFonts w:ascii="Times New Roman" w:hAnsi="Times New Roman"/>
          <w:color w:val="auto"/>
        </w:rPr>
      </w:pPr>
      <w:r>
        <w:rPr>
          <w:rFonts w:hint="eastAsia" w:ascii="宋体" w:cs="宋体"/>
          <w:b/>
          <w:color w:val="auto"/>
          <w:sz w:val="24"/>
        </w:rPr>
        <w:br w:type="page"/>
      </w:r>
      <w:r>
        <w:rPr>
          <w:rFonts w:hint="eastAsia" w:ascii="宋体" w:cs="宋体"/>
          <w:b/>
          <w:color w:val="auto"/>
          <w:sz w:val="24"/>
        </w:rPr>
        <w:t>（三）投标人远程述标信息表</w:t>
      </w:r>
    </w:p>
    <w:p>
      <w:pPr>
        <w:ind w:left="4228" w:firstLine="1204"/>
        <w:jc w:val="center"/>
        <w:rPr>
          <w:rFonts w:ascii="Times New Roman" w:hAnsi="Times New Roman"/>
          <w:color w:val="auto"/>
        </w:rPr>
      </w:pPr>
    </w:p>
    <w:p>
      <w:pPr>
        <w:jc w:val="center"/>
        <w:rPr>
          <w:rFonts w:ascii="Times New Roman" w:hAnsi="Times New Roman"/>
          <w:color w:val="auto"/>
        </w:rPr>
      </w:pPr>
      <w:r>
        <w:rPr>
          <w:rFonts w:ascii="宋体" w:hAnsi="宋体" w:cs="宋体"/>
          <w:color w:val="auto"/>
          <w:sz w:val="24"/>
        </w:rPr>
        <w:t>投标人远程述标信息表</w:t>
      </w:r>
    </w:p>
    <w:p>
      <w:pPr>
        <w:rPr>
          <w:rFonts w:ascii="Times New Roman" w:hAnsi="Times New Roman"/>
          <w:color w:val="auto"/>
          <w:sz w:val="24"/>
        </w:rPr>
      </w:pPr>
    </w:p>
    <w:tbl>
      <w:tblPr>
        <w:tblStyle w:val="18"/>
        <w:tblpPr w:vertAnchor="text" w:horzAnchor="page" w:tblpX="2078" w:tblpY="-270"/>
        <w:tblOverlap w:val="never"/>
        <w:tblW w:w="77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626"/>
        <w:gridCol w:w="5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3" w:hRule="atLeast"/>
        </w:trPr>
        <w:tc>
          <w:tcPr>
            <w:tcW w:w="2626" w:type="dxa"/>
            <w:vAlign w:val="center"/>
          </w:tcPr>
          <w:p>
            <w:pPr>
              <w:spacing w:line="360" w:lineRule="auto"/>
              <w:ind w:firstLine="420" w:firstLineChars="200"/>
              <w:jc w:val="center"/>
              <w:rPr>
                <w:rFonts w:ascii="宋体" w:cs="宋体"/>
                <w:color w:val="auto"/>
                <w:szCs w:val="21"/>
              </w:rPr>
            </w:pPr>
            <w:r>
              <w:rPr>
                <w:rFonts w:hint="eastAsia" w:ascii="宋体" w:cs="宋体"/>
                <w:color w:val="auto"/>
                <w:szCs w:val="21"/>
              </w:rPr>
              <w:t>项目名称</w:t>
            </w:r>
          </w:p>
        </w:tc>
        <w:tc>
          <w:tcPr>
            <w:tcW w:w="5106" w:type="dxa"/>
            <w:vAlign w:val="center"/>
          </w:tcPr>
          <w:p>
            <w:pPr>
              <w:spacing w:line="360" w:lineRule="auto"/>
              <w:ind w:firstLine="420" w:firstLineChars="200"/>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5" w:hRule="atLeast"/>
        </w:trPr>
        <w:tc>
          <w:tcPr>
            <w:tcW w:w="2626" w:type="dxa"/>
            <w:vAlign w:val="center"/>
          </w:tcPr>
          <w:p>
            <w:pPr>
              <w:spacing w:line="360" w:lineRule="auto"/>
              <w:jc w:val="center"/>
              <w:rPr>
                <w:rFonts w:ascii="宋体" w:cs="宋体"/>
                <w:color w:val="auto"/>
                <w:szCs w:val="21"/>
              </w:rPr>
            </w:pPr>
            <w:r>
              <w:rPr>
                <w:rFonts w:hint="eastAsia" w:ascii="宋体" w:cs="宋体"/>
                <w:color w:val="auto"/>
                <w:szCs w:val="21"/>
              </w:rPr>
              <w:t>法定代表人或委托代理人</w:t>
            </w:r>
          </w:p>
        </w:tc>
        <w:tc>
          <w:tcPr>
            <w:tcW w:w="5106" w:type="dxa"/>
            <w:vAlign w:val="center"/>
          </w:tcPr>
          <w:p>
            <w:pPr>
              <w:spacing w:line="360" w:lineRule="auto"/>
              <w:rPr>
                <w:rFonts w:ascii="宋体" w:cs="宋体"/>
                <w:color w:val="auto"/>
                <w:szCs w:val="21"/>
              </w:rPr>
            </w:pPr>
            <w:r>
              <w:rPr>
                <w:rFonts w:hint="eastAsia" w:ascii="宋体" w:cs="宋体"/>
                <w:color w:val="auto"/>
                <w:szCs w:val="21"/>
              </w:rPr>
              <w:t xml:space="preserve">姓名：  </w:t>
            </w:r>
            <w:r>
              <w:rPr>
                <w:rFonts w:hint="eastAsia" w:ascii="宋体" w:cs="宋体"/>
                <w:color w:val="auto"/>
                <w:szCs w:val="21"/>
              </w:rPr>
              <w:br w:type="textWrapping"/>
            </w:r>
            <w:r>
              <w:rPr>
                <w:rFonts w:hint="eastAsia" w:ascii="宋体" w:cs="宋体"/>
                <w:color w:val="auto"/>
                <w:szCs w:val="21"/>
              </w:rPr>
              <w:t>联系电话（手机号）：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5" w:hRule="atLeast"/>
        </w:trPr>
        <w:tc>
          <w:tcPr>
            <w:tcW w:w="2626" w:type="dxa"/>
            <w:vAlign w:val="center"/>
          </w:tcPr>
          <w:p>
            <w:pPr>
              <w:spacing w:line="360" w:lineRule="auto"/>
              <w:ind w:firstLine="420" w:firstLineChars="200"/>
              <w:jc w:val="center"/>
              <w:rPr>
                <w:rFonts w:ascii="宋体" w:cs="宋体"/>
                <w:color w:val="auto"/>
                <w:szCs w:val="21"/>
              </w:rPr>
            </w:pPr>
            <w:r>
              <w:rPr>
                <w:rFonts w:hint="eastAsia" w:ascii="宋体" w:cs="宋体"/>
                <w:color w:val="auto"/>
                <w:szCs w:val="21"/>
              </w:rPr>
              <w:t>项目经理</w:t>
            </w:r>
          </w:p>
        </w:tc>
        <w:tc>
          <w:tcPr>
            <w:tcW w:w="5106" w:type="dxa"/>
            <w:vAlign w:val="center"/>
          </w:tcPr>
          <w:p>
            <w:pPr>
              <w:spacing w:line="360" w:lineRule="auto"/>
              <w:rPr>
                <w:rFonts w:ascii="宋体" w:cs="宋体"/>
                <w:color w:val="auto"/>
                <w:szCs w:val="21"/>
              </w:rPr>
            </w:pPr>
            <w:r>
              <w:rPr>
                <w:rFonts w:hint="eastAsia" w:ascii="宋体" w:cs="宋体"/>
                <w:color w:val="auto"/>
                <w:szCs w:val="21"/>
              </w:rPr>
              <w:t xml:space="preserve">姓名：  </w:t>
            </w:r>
            <w:r>
              <w:rPr>
                <w:rFonts w:hint="eastAsia" w:ascii="宋体" w:cs="宋体"/>
                <w:color w:val="auto"/>
                <w:szCs w:val="21"/>
              </w:rPr>
              <w:br w:type="textWrapping"/>
            </w:r>
            <w:r>
              <w:rPr>
                <w:rFonts w:hint="eastAsia" w:ascii="宋体" w:cs="宋体"/>
                <w:color w:val="auto"/>
                <w:szCs w:val="21"/>
              </w:rPr>
              <w:t xml:space="preserve">联系电话（手机号）：  </w:t>
            </w:r>
          </w:p>
          <w:p>
            <w:pPr>
              <w:spacing w:line="360" w:lineRule="auto"/>
              <w:rPr>
                <w:rFonts w:ascii="宋体" w:cs="宋体"/>
                <w:color w:val="auto"/>
                <w:szCs w:val="21"/>
              </w:rPr>
            </w:pPr>
            <w:r>
              <w:rPr>
                <w:rFonts w:hint="eastAsia" w:ascii="宋体" w:cs="宋体"/>
                <w:color w:val="auto"/>
                <w:szCs w:val="21"/>
                <w:lang w:eastAsia="zh-CN"/>
              </w:rPr>
              <w:t>钉钉</w:t>
            </w:r>
            <w:r>
              <w:rPr>
                <w:rFonts w:hint="eastAsia" w:ascii="宋体" w:cs="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3" w:hRule="atLeast"/>
        </w:trPr>
        <w:tc>
          <w:tcPr>
            <w:tcW w:w="2626" w:type="dxa"/>
            <w:vAlign w:val="center"/>
          </w:tcPr>
          <w:p>
            <w:pPr>
              <w:spacing w:line="360" w:lineRule="auto"/>
              <w:ind w:firstLine="422" w:firstLineChars="200"/>
              <w:jc w:val="center"/>
              <w:rPr>
                <w:rFonts w:ascii="宋体" w:cs="宋体"/>
                <w:b/>
                <w:bCs/>
                <w:color w:val="auto"/>
                <w:szCs w:val="21"/>
              </w:rPr>
            </w:pPr>
            <w:r>
              <w:rPr>
                <w:rFonts w:hint="eastAsia" w:ascii="宋体" w:cs="宋体"/>
                <w:b/>
                <w:bCs/>
                <w:color w:val="auto"/>
                <w:szCs w:val="21"/>
              </w:rPr>
              <w:t>备注</w:t>
            </w:r>
          </w:p>
        </w:tc>
        <w:tc>
          <w:tcPr>
            <w:tcW w:w="5106" w:type="dxa"/>
            <w:vAlign w:val="center"/>
          </w:tcPr>
          <w:p>
            <w:pPr>
              <w:spacing w:line="360" w:lineRule="auto"/>
              <w:ind w:firstLine="422" w:firstLineChars="200"/>
              <w:jc w:val="center"/>
              <w:rPr>
                <w:rFonts w:ascii="宋体" w:cs="宋体"/>
                <w:b/>
                <w:bCs/>
                <w:color w:val="auto"/>
                <w:szCs w:val="21"/>
              </w:rPr>
            </w:pPr>
            <w:r>
              <w:rPr>
                <w:rFonts w:hint="eastAsia" w:ascii="宋体" w:cs="宋体"/>
                <w:b/>
                <w:bCs/>
                <w:color w:val="auto"/>
                <w:szCs w:val="21"/>
              </w:rPr>
              <w:t>项目经理述标时请出示本人身份证</w:t>
            </w:r>
          </w:p>
        </w:tc>
      </w:tr>
    </w:tbl>
    <w:p>
      <w:pPr>
        <w:spacing w:after="82"/>
        <w:rPr>
          <w:rFonts w:ascii="Times New Roman" w:hAnsi="Times New Roman"/>
          <w:color w:val="auto"/>
          <w:sz w:val="24"/>
        </w:rPr>
      </w:pPr>
    </w:p>
    <w:p>
      <w:pPr>
        <w:rPr>
          <w:rFonts w:ascii="Times New Roman" w:hAnsi="Times New Roman"/>
          <w:color w:val="auto"/>
        </w:rPr>
      </w:pPr>
      <w:r>
        <w:rPr>
          <w:rFonts w:ascii="宋体" w:hAnsi="宋体" w:cs="宋体"/>
          <w:color w:val="auto"/>
          <w:sz w:val="22"/>
          <w:szCs w:val="22"/>
        </w:rPr>
        <w:t xml:space="preserve">投 标 </w:t>
      </w:r>
      <w:r>
        <w:rPr>
          <w:rFonts w:ascii="宋体" w:hAnsi="宋体" w:cs="宋体"/>
          <w:color w:val="auto"/>
          <w:spacing w:val="-2"/>
          <w:sz w:val="22"/>
          <w:szCs w:val="22"/>
        </w:rPr>
        <w:t>人</w:t>
      </w:r>
      <w:r>
        <w:rPr>
          <w:rFonts w:ascii="宋体" w:hAnsi="宋体" w:cs="宋体"/>
          <w:color w:val="auto"/>
          <w:sz w:val="22"/>
          <w:szCs w:val="22"/>
        </w:rPr>
        <w:t>：（盖单</w:t>
      </w:r>
      <w:r>
        <w:rPr>
          <w:rFonts w:ascii="宋体" w:hAnsi="宋体" w:cs="宋体"/>
          <w:color w:val="auto"/>
          <w:spacing w:val="-2"/>
          <w:sz w:val="22"/>
          <w:szCs w:val="22"/>
        </w:rPr>
        <w:t>位</w:t>
      </w:r>
      <w:r>
        <w:rPr>
          <w:rFonts w:ascii="宋体" w:hAnsi="宋体" w:cs="宋体"/>
          <w:color w:val="auto"/>
          <w:sz w:val="22"/>
          <w:szCs w:val="22"/>
        </w:rPr>
        <w:t>章</w:t>
      </w:r>
      <w:r>
        <w:rPr>
          <w:rFonts w:ascii="宋体" w:hAnsi="宋体" w:cs="宋体"/>
          <w:color w:val="auto"/>
          <w:spacing w:val="-2"/>
          <w:sz w:val="22"/>
          <w:szCs w:val="22"/>
        </w:rPr>
        <w:t>）</w:t>
      </w:r>
    </w:p>
    <w:p>
      <w:pPr>
        <w:spacing w:after="127"/>
        <w:rPr>
          <w:rFonts w:ascii="Times New Roman" w:hAnsi="Times New Roman"/>
          <w:color w:val="auto"/>
          <w:sz w:val="24"/>
        </w:rPr>
      </w:pPr>
    </w:p>
    <w:p>
      <w:pPr>
        <w:rPr>
          <w:rFonts w:ascii="宋体" w:cs="宋体"/>
          <w:b/>
          <w:color w:val="auto"/>
          <w:sz w:val="24"/>
        </w:rPr>
      </w:pPr>
      <w:r>
        <w:rPr>
          <w:rFonts w:ascii="宋体" w:hAnsi="宋体" w:cs="宋体"/>
          <w:color w:val="auto"/>
          <w:sz w:val="22"/>
          <w:szCs w:val="22"/>
        </w:rPr>
        <w:t xml:space="preserve">年  </w:t>
      </w:r>
      <w:r>
        <w:rPr>
          <w:rFonts w:ascii="宋体" w:hAnsi="宋体" w:cs="宋体"/>
          <w:color w:val="auto"/>
          <w:spacing w:val="-2"/>
          <w:sz w:val="22"/>
          <w:szCs w:val="22"/>
        </w:rPr>
        <w:t>月 日</w:t>
      </w:r>
    </w:p>
    <w:p>
      <w:pPr>
        <w:jc w:val="center"/>
        <w:rPr>
          <w:rFonts w:ascii="宋体" w:cs="宋体"/>
          <w:b/>
          <w:color w:val="auto"/>
          <w:sz w:val="24"/>
        </w:rPr>
      </w:pPr>
    </w:p>
    <w:p>
      <w:pPr>
        <w:jc w:val="center"/>
        <w:rPr>
          <w:rFonts w:ascii="宋体" w:cs="宋体"/>
          <w:b/>
          <w:color w:val="auto"/>
          <w:sz w:val="24"/>
        </w:rPr>
      </w:pPr>
    </w:p>
    <w:p>
      <w:pPr>
        <w:jc w:val="center"/>
        <w:rPr>
          <w:rFonts w:ascii="宋体" w:cs="宋体"/>
          <w:b/>
          <w:color w:val="auto"/>
          <w:sz w:val="24"/>
        </w:rPr>
      </w:pPr>
    </w:p>
    <w:p>
      <w:pPr>
        <w:rPr>
          <w:rFonts w:ascii="宋体" w:cs="宋体"/>
          <w:b/>
          <w:color w:val="auto"/>
          <w:sz w:val="24"/>
        </w:rPr>
      </w:pPr>
    </w:p>
    <w:p>
      <w:pPr>
        <w:rPr>
          <w:rFonts w:ascii="宋体" w:cs="宋体"/>
          <w:b/>
          <w:color w:val="auto"/>
          <w:sz w:val="24"/>
        </w:rPr>
      </w:pPr>
    </w:p>
    <w:p>
      <w:pPr>
        <w:rPr>
          <w:rFonts w:ascii="宋体" w:cs="宋体"/>
          <w:b/>
          <w:color w:val="auto"/>
          <w:sz w:val="24"/>
        </w:rPr>
      </w:pPr>
    </w:p>
    <w:p>
      <w:pPr>
        <w:rPr>
          <w:rFonts w:ascii="宋体" w:cs="宋体"/>
          <w:b/>
          <w:color w:val="auto"/>
          <w:sz w:val="24"/>
        </w:rPr>
      </w:pPr>
    </w:p>
    <w:p>
      <w:pPr>
        <w:rPr>
          <w:rFonts w:ascii="宋体" w:cs="宋体"/>
          <w:b/>
          <w:color w:val="auto"/>
          <w:sz w:val="24"/>
        </w:rPr>
      </w:pPr>
    </w:p>
    <w:p>
      <w:pPr>
        <w:rPr>
          <w:rFonts w:hint="eastAsia" w:ascii="宋体" w:cs="宋体"/>
          <w:b/>
          <w:color w:val="auto"/>
          <w:sz w:val="24"/>
        </w:rPr>
      </w:pPr>
      <w:r>
        <w:rPr>
          <w:rFonts w:hint="eastAsia" w:ascii="宋体" w:cs="宋体"/>
          <w:b/>
          <w:color w:val="auto"/>
          <w:sz w:val="24"/>
        </w:rPr>
        <w:br w:type="page"/>
      </w:r>
    </w:p>
    <w:p>
      <w:pPr>
        <w:jc w:val="center"/>
        <w:rPr>
          <w:rFonts w:hint="eastAsia" w:ascii="宋体" w:eastAsia="宋体" w:cs="宋体"/>
          <w:b/>
          <w:color w:val="auto"/>
          <w:sz w:val="24"/>
        </w:rPr>
      </w:pPr>
      <w:r>
        <w:rPr>
          <w:rFonts w:hint="eastAsia" w:ascii="宋体" w:eastAsia="宋体" w:cs="宋体"/>
          <w:b/>
          <w:color w:val="auto"/>
          <w:sz w:val="24"/>
        </w:rPr>
        <w:t>（四）</w:t>
      </w:r>
      <w:r>
        <w:rPr>
          <w:rFonts w:hint="eastAsia" w:ascii="宋体" w:eastAsia="宋体" w:cs="宋体"/>
          <w:b/>
          <w:color w:val="auto"/>
          <w:sz w:val="24"/>
          <w:lang w:eastAsia="zh-CN"/>
        </w:rPr>
        <w:t>全市</w:t>
      </w:r>
      <w:r>
        <w:rPr>
          <w:rFonts w:hint="eastAsia" w:ascii="宋体" w:eastAsia="宋体" w:cs="宋体"/>
          <w:b/>
          <w:color w:val="auto"/>
          <w:sz w:val="24"/>
        </w:rPr>
        <w:t>房屋建筑工程项目招标投标活动承诺书</w:t>
      </w:r>
    </w:p>
    <w:p>
      <w:pPr>
        <w:jc w:val="center"/>
        <w:rPr>
          <w:rFonts w:eastAsia="方正小标宋简体"/>
          <w:color w:val="auto"/>
          <w:sz w:val="44"/>
          <w:szCs w:val="44"/>
        </w:rPr>
      </w:pPr>
    </w:p>
    <w:p>
      <w:pPr>
        <w:pStyle w:val="4"/>
        <w:spacing w:line="480" w:lineRule="auto"/>
        <w:ind w:firstLine="420" w:firstLineChars="200"/>
        <w:jc w:val="left"/>
        <w:rPr>
          <w:rFonts w:hint="eastAsia" w:ascii="宋体" w:hAnsi="宋体" w:eastAsia="宋体" w:cs="宋体"/>
          <w:color w:val="auto"/>
          <w:sz w:val="21"/>
          <w:szCs w:val="21"/>
        </w:rPr>
      </w:pPr>
      <w:r>
        <w:rPr>
          <w:rFonts w:hint="eastAsia" w:ascii="宋体" w:hAnsi="宋体" w:eastAsia="宋体" w:cs="宋体"/>
          <w:color w:val="auto"/>
          <w:sz w:val="21"/>
          <w:szCs w:val="21"/>
        </w:rPr>
        <w:t>我单位承诺，在</w:t>
      </w:r>
      <w:r>
        <w:rPr>
          <w:rFonts w:hint="eastAsia" w:ascii="宋体" w:hAnsi="宋体" w:eastAsia="宋体" w:cs="宋体"/>
          <w:color w:val="auto"/>
          <w:sz w:val="21"/>
          <w:szCs w:val="21"/>
          <w:u w:val="single"/>
          <w:lang w:val="en-US" w:eastAsia="zh-CN"/>
        </w:rPr>
        <w:t xml:space="preserve">  </w:t>
      </w:r>
      <w:r>
        <w:rPr>
          <w:rFonts w:hint="eastAsia" w:hAnsi="宋体" w:cs="宋体"/>
          <w:color w:val="auto"/>
          <w:sz w:val="21"/>
          <w:szCs w:val="21"/>
          <w:u w:val="single"/>
          <w:lang w:val="en-US" w:eastAsia="zh-CN"/>
        </w:rPr>
        <w:t xml:space="preserve">                              </w:t>
      </w:r>
      <w:r>
        <w:rPr>
          <w:rFonts w:hint="eastAsia" w:hAnsi="宋体" w:cs="宋体"/>
          <w:color w:val="auto"/>
          <w:sz w:val="21"/>
          <w:szCs w:val="21"/>
          <w:u w:val="none"/>
          <w:lang w:val="en-US" w:eastAsia="zh-CN"/>
        </w:rPr>
        <w:t>项目</w:t>
      </w:r>
      <w:r>
        <w:rPr>
          <w:rFonts w:hint="eastAsia" w:ascii="宋体" w:hAnsi="宋体" w:eastAsia="宋体" w:cs="宋体"/>
          <w:color w:val="auto"/>
          <w:sz w:val="21"/>
          <w:szCs w:val="21"/>
        </w:rPr>
        <w:t>招投标活动中，</w:t>
      </w:r>
      <w:r>
        <w:rPr>
          <w:rFonts w:hint="eastAsia" w:ascii="宋体" w:hAnsi="宋体" w:eastAsia="宋体" w:cs="宋体"/>
          <w:color w:val="auto"/>
          <w:sz w:val="21"/>
          <w:szCs w:val="21"/>
          <w:lang w:eastAsia="zh-CN"/>
        </w:rPr>
        <w:t>自觉遵守</w:t>
      </w:r>
      <w:r>
        <w:rPr>
          <w:rFonts w:hint="eastAsia" w:ascii="宋体" w:hAnsi="宋体" w:eastAsia="宋体" w:cs="宋体"/>
          <w:color w:val="auto"/>
          <w:sz w:val="21"/>
          <w:szCs w:val="21"/>
        </w:rPr>
        <w:t>《中华人民共和国招标投标法》、《中华人民共和国招标投标法实施条例》、河南省实施《中华人民共和国招标投标法》办法等招标投标</w:t>
      </w:r>
      <w:r>
        <w:rPr>
          <w:rFonts w:hint="eastAsia" w:ascii="宋体" w:hAnsi="宋体" w:eastAsia="宋体" w:cs="宋体"/>
          <w:color w:val="auto"/>
          <w:sz w:val="21"/>
          <w:szCs w:val="21"/>
          <w:lang w:eastAsia="zh-CN"/>
        </w:rPr>
        <w:t>相关</w:t>
      </w:r>
      <w:r>
        <w:rPr>
          <w:rFonts w:hint="eastAsia" w:ascii="宋体" w:hAnsi="宋体" w:eastAsia="宋体" w:cs="宋体"/>
          <w:color w:val="auto"/>
          <w:sz w:val="21"/>
          <w:szCs w:val="21"/>
        </w:rPr>
        <w:t>法律、法规</w:t>
      </w:r>
      <w:r>
        <w:rPr>
          <w:rFonts w:hint="eastAsia" w:ascii="宋体" w:hAnsi="宋体" w:eastAsia="宋体" w:cs="宋体"/>
          <w:color w:val="auto"/>
          <w:sz w:val="21"/>
          <w:szCs w:val="21"/>
          <w:lang w:eastAsia="zh-CN"/>
        </w:rPr>
        <w:t>和制度规定，不存在《洛阳市房屋建筑和市政基础设施工程招标投标负面行为清单》中所列行为，如有违反，愿承担相关法律责任</w:t>
      </w:r>
      <w:r>
        <w:rPr>
          <w:rFonts w:hint="eastAsia" w:ascii="宋体" w:hAnsi="宋体" w:eastAsia="宋体" w:cs="宋体"/>
          <w:color w:val="auto"/>
          <w:sz w:val="21"/>
          <w:szCs w:val="21"/>
        </w:rPr>
        <w:t>。</w:t>
      </w:r>
    </w:p>
    <w:p>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特此承诺！</w:t>
      </w:r>
    </w:p>
    <w:p>
      <w:pPr>
        <w:spacing w:line="480" w:lineRule="auto"/>
        <w:rPr>
          <w:rFonts w:hint="eastAsia" w:ascii="宋体" w:hAnsi="宋体" w:eastAsia="宋体" w:cs="宋体"/>
          <w:color w:val="auto"/>
          <w:sz w:val="21"/>
          <w:szCs w:val="21"/>
          <w:u w:val="single"/>
        </w:rPr>
      </w:pPr>
      <w:r>
        <w:rPr>
          <w:rFonts w:hint="eastAsia" w:ascii="宋体" w:hAnsi="宋体" w:eastAsia="宋体" w:cs="宋体"/>
          <w:color w:val="auto"/>
          <w:sz w:val="21"/>
          <w:szCs w:val="21"/>
        </w:rPr>
        <w:t>承诺人（法</w:t>
      </w:r>
      <w:r>
        <w:rPr>
          <w:rFonts w:hint="eastAsia" w:ascii="宋体" w:hAnsi="宋体" w:eastAsia="宋体" w:cs="宋体"/>
          <w:color w:val="auto"/>
          <w:sz w:val="21"/>
          <w:szCs w:val="21"/>
          <w:lang w:eastAsia="zh-CN"/>
        </w:rPr>
        <w:t>定代表</w:t>
      </w:r>
      <w:r>
        <w:rPr>
          <w:rFonts w:hint="eastAsia" w:ascii="宋体" w:hAnsi="宋体" w:eastAsia="宋体" w:cs="宋体"/>
          <w:color w:val="auto"/>
          <w:sz w:val="21"/>
          <w:szCs w:val="21"/>
        </w:rPr>
        <w:t>人或委托代理人）（签字）：</w:t>
      </w:r>
      <w:r>
        <w:rPr>
          <w:rFonts w:hint="eastAsia" w:ascii="宋体" w:hAnsi="宋体" w:eastAsia="宋体" w:cs="宋体"/>
          <w:color w:val="auto"/>
          <w:sz w:val="21"/>
          <w:szCs w:val="21"/>
          <w:u w:val="single"/>
        </w:rPr>
        <w:t xml:space="preserve">              </w:t>
      </w:r>
    </w:p>
    <w:p>
      <w:pPr>
        <w:spacing w:line="480" w:lineRule="auto"/>
        <w:jc w:val="both"/>
        <w:rPr>
          <w:rFonts w:hint="eastAsia" w:ascii="宋体" w:hAnsi="宋体" w:eastAsia="宋体" w:cs="宋体"/>
          <w:color w:val="auto"/>
          <w:sz w:val="21"/>
          <w:szCs w:val="21"/>
          <w:u w:val="single"/>
        </w:rPr>
      </w:pPr>
      <w:r>
        <w:rPr>
          <w:rFonts w:hint="eastAsia" w:ascii="宋体" w:hAnsi="宋体" w:eastAsia="宋体" w:cs="宋体"/>
          <w:color w:val="auto"/>
          <w:sz w:val="21"/>
          <w:szCs w:val="21"/>
        </w:rPr>
        <w:t xml:space="preserve">联   系   电   话： </w:t>
      </w:r>
      <w:r>
        <w:rPr>
          <w:rFonts w:hint="eastAsia" w:ascii="宋体" w:hAnsi="宋体" w:eastAsia="宋体" w:cs="宋体"/>
          <w:color w:val="auto"/>
          <w:sz w:val="21"/>
          <w:szCs w:val="21"/>
          <w:u w:val="single"/>
        </w:rPr>
        <w:t xml:space="preserve">                </w:t>
      </w:r>
    </w:p>
    <w:p>
      <w:pPr>
        <w:spacing w:line="240" w:lineRule="exact"/>
        <w:rPr>
          <w:rFonts w:hint="eastAsia" w:ascii="宋体" w:hAnsi="宋体" w:eastAsia="宋体" w:cs="宋体"/>
          <w:color w:val="auto"/>
          <w:sz w:val="21"/>
          <w:szCs w:val="21"/>
        </w:rPr>
      </w:pPr>
    </w:p>
    <w:p>
      <w:pPr>
        <w:rPr>
          <w:rFonts w:hint="eastAsia" w:ascii="宋体" w:hAnsi="宋体" w:eastAsia="宋体" w:cs="宋体"/>
          <w:color w:val="auto"/>
          <w:sz w:val="21"/>
          <w:szCs w:val="21"/>
        </w:rPr>
      </w:pPr>
    </w:p>
    <w:p>
      <w:pPr>
        <w:ind w:firstLine="2625" w:firstLineChars="1250"/>
        <w:jc w:val="right"/>
        <w:rPr>
          <w:rFonts w:hint="eastAsia" w:ascii="宋体" w:hAnsi="宋体" w:eastAsia="宋体" w:cs="宋体"/>
          <w:color w:val="auto"/>
          <w:sz w:val="21"/>
          <w:szCs w:val="21"/>
        </w:rPr>
      </w:pPr>
      <w:r>
        <w:rPr>
          <w:rFonts w:hint="eastAsia" w:ascii="宋体" w:hAnsi="宋体" w:eastAsia="宋体" w:cs="宋体"/>
          <w:color w:val="auto"/>
          <w:sz w:val="21"/>
          <w:szCs w:val="21"/>
        </w:rPr>
        <w:t xml:space="preserve"> </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rPr>
        <w:t>承诺人（盖章）</w:t>
      </w:r>
    </w:p>
    <w:p>
      <w:pPr>
        <w:ind w:firstLine="3360" w:firstLineChars="1600"/>
        <w:jc w:val="right"/>
        <w:rPr>
          <w:rFonts w:hint="eastAsia" w:ascii="宋体" w:hAnsi="宋体" w:eastAsia="宋体" w:cs="宋体"/>
          <w:color w:val="auto"/>
          <w:sz w:val="21"/>
          <w:szCs w:val="21"/>
          <w:lang w:val="en-US" w:eastAsia="zh-CN"/>
        </w:rPr>
      </w:pPr>
    </w:p>
    <w:p>
      <w:pPr>
        <w:ind w:firstLine="3360" w:firstLineChars="1600"/>
        <w:jc w:val="right"/>
        <w:rPr>
          <w:rFonts w:hint="eastAsia" w:ascii="宋体" w:hAnsi="宋体" w:eastAsia="宋体" w:cs="宋体"/>
          <w:b/>
          <w:color w:val="auto"/>
          <w:sz w:val="21"/>
          <w:szCs w:val="21"/>
        </w:rPr>
      </w:pP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rPr>
        <w:t>年</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rPr>
        <w:t>月</w:t>
      </w:r>
      <w:r>
        <w:rPr>
          <w:rFonts w:hint="eastAsia" w:ascii="宋体" w:hAnsi="宋体" w:cs="宋体"/>
          <w:color w:val="auto"/>
          <w:sz w:val="21"/>
          <w:szCs w:val="21"/>
          <w:lang w:val="en-US" w:eastAsia="zh-CN"/>
        </w:rPr>
        <w:t xml:space="preserve">  </w:t>
      </w:r>
      <w:r>
        <w:rPr>
          <w:rFonts w:hint="eastAsia" w:ascii="宋体" w:hAnsi="宋体" w:eastAsia="宋体" w:cs="宋体"/>
          <w:color w:val="auto"/>
          <w:sz w:val="21"/>
          <w:szCs w:val="21"/>
        </w:rPr>
        <w:t xml:space="preserve">日 </w:t>
      </w:r>
    </w:p>
    <w:p>
      <w:pPr>
        <w:rPr>
          <w:rFonts w:hint="eastAsia" w:ascii="宋体" w:cs="宋体"/>
          <w:b/>
          <w:color w:val="auto"/>
          <w:sz w:val="24"/>
        </w:rPr>
      </w:pPr>
    </w:p>
    <w:p>
      <w:pPr>
        <w:rPr>
          <w:rFonts w:hint="eastAsia" w:ascii="宋体" w:cs="宋体"/>
          <w:b/>
          <w:color w:val="auto"/>
          <w:sz w:val="24"/>
        </w:rPr>
      </w:pPr>
    </w:p>
    <w:p>
      <w:pPr>
        <w:rPr>
          <w:rFonts w:hint="eastAsia" w:ascii="宋体" w:cs="宋体"/>
          <w:b/>
          <w:color w:val="auto"/>
          <w:sz w:val="24"/>
        </w:rPr>
      </w:pPr>
    </w:p>
    <w:p>
      <w:pPr>
        <w:rPr>
          <w:rFonts w:hint="eastAsia" w:ascii="宋体" w:cs="宋体"/>
          <w:b/>
          <w:color w:val="auto"/>
          <w:sz w:val="24"/>
        </w:rPr>
      </w:pPr>
    </w:p>
    <w:p>
      <w:pPr>
        <w:rPr>
          <w:rFonts w:hint="eastAsia" w:ascii="宋体" w:cs="宋体"/>
          <w:b/>
          <w:color w:val="auto"/>
          <w:sz w:val="24"/>
        </w:rPr>
      </w:pPr>
    </w:p>
    <w:p>
      <w:pPr>
        <w:rPr>
          <w:rFonts w:hint="eastAsia" w:ascii="宋体" w:cs="宋体"/>
          <w:b/>
          <w:color w:val="auto"/>
          <w:sz w:val="24"/>
        </w:rPr>
      </w:pPr>
    </w:p>
    <w:p>
      <w:pPr>
        <w:rPr>
          <w:rFonts w:hint="eastAsia" w:ascii="宋体" w:cs="宋体"/>
          <w:b/>
          <w:color w:val="auto"/>
          <w:sz w:val="24"/>
        </w:rPr>
      </w:pPr>
    </w:p>
    <w:p>
      <w:pPr>
        <w:rPr>
          <w:rFonts w:hint="eastAsia" w:ascii="宋体" w:cs="宋体"/>
          <w:b/>
          <w:color w:val="auto"/>
          <w:sz w:val="24"/>
        </w:rPr>
      </w:pPr>
    </w:p>
    <w:p>
      <w:pPr>
        <w:rPr>
          <w:rFonts w:hint="eastAsia" w:ascii="宋体" w:cs="宋体"/>
          <w:b/>
          <w:color w:val="auto"/>
          <w:sz w:val="24"/>
        </w:rPr>
      </w:pPr>
    </w:p>
    <w:p>
      <w:pPr>
        <w:rPr>
          <w:rFonts w:hint="eastAsia" w:ascii="宋体" w:eastAsia="宋体" w:cs="宋体"/>
          <w:b/>
          <w:color w:val="auto"/>
          <w:sz w:val="24"/>
          <w:lang w:eastAsia="zh-CN"/>
        </w:rPr>
      </w:pPr>
      <w:r>
        <w:rPr>
          <w:rFonts w:hint="eastAsia" w:ascii="宋体" w:eastAsia="宋体" w:cs="宋体"/>
          <w:b/>
          <w:color w:val="auto"/>
          <w:sz w:val="24"/>
          <w:lang w:eastAsia="zh-CN"/>
        </w:rPr>
        <w:br w:type="page"/>
      </w:r>
    </w:p>
    <w:p>
      <w:pPr>
        <w:jc w:val="center"/>
        <w:rPr>
          <w:rFonts w:hint="eastAsia" w:ascii="宋体" w:eastAsia="宋体" w:cs="宋体"/>
          <w:b/>
          <w:color w:val="auto"/>
          <w:sz w:val="24"/>
        </w:rPr>
      </w:pPr>
      <w:r>
        <w:rPr>
          <w:rFonts w:hint="eastAsia" w:ascii="宋体" w:eastAsia="宋体" w:cs="宋体"/>
          <w:b/>
          <w:color w:val="auto"/>
          <w:sz w:val="24"/>
          <w:lang w:eastAsia="zh-CN"/>
        </w:rPr>
        <w:t>（五）</w:t>
      </w:r>
      <w:r>
        <w:rPr>
          <w:rFonts w:hint="eastAsia" w:ascii="宋体" w:eastAsia="宋体" w:cs="宋体"/>
          <w:b/>
          <w:color w:val="auto"/>
          <w:sz w:val="24"/>
        </w:rPr>
        <w:t>投标承诺书</w:t>
      </w:r>
    </w:p>
    <w:p>
      <w:pPr>
        <w:spacing w:line="520" w:lineRule="exact"/>
        <w:jc w:val="center"/>
        <w:rPr>
          <w:rFonts w:ascii="文星标宋" w:hAnsi="文星标宋" w:eastAsia="文星标宋" w:cs="文星标宋"/>
          <w:color w:val="auto"/>
          <w:sz w:val="44"/>
          <w:szCs w:val="44"/>
        </w:rPr>
      </w:pPr>
    </w:p>
    <w:p>
      <w:pPr>
        <w:autoSpaceDE w:val="0"/>
        <w:autoSpaceDN w:val="0"/>
        <w:snapToGrid w:val="0"/>
        <w:spacing w:line="480" w:lineRule="auto"/>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我单位现对</w:t>
      </w:r>
      <w:r>
        <w:rPr>
          <w:rFonts w:hint="eastAsia" w:ascii="宋体" w:hAnsi="宋体" w:eastAsia="宋体" w:cs="宋体"/>
          <w:color w:val="auto"/>
          <w:kern w:val="0"/>
          <w:sz w:val="21"/>
          <w:szCs w:val="21"/>
          <w:u w:val="single"/>
          <w:lang w:val="en-US" w:eastAsia="zh-CN" w:bidi="ar-SA"/>
        </w:rPr>
        <w:t xml:space="preserve">  （项目名称  ） </w:t>
      </w:r>
      <w:r>
        <w:rPr>
          <w:rFonts w:hint="eastAsia" w:ascii="宋体" w:hAnsi="宋体" w:eastAsia="宋体" w:cs="宋体"/>
          <w:color w:val="auto"/>
          <w:kern w:val="0"/>
          <w:sz w:val="21"/>
          <w:szCs w:val="21"/>
          <w:lang w:val="en-US" w:eastAsia="zh-CN" w:bidi="ar-SA"/>
        </w:rPr>
        <w:t>投标做出如下郑重承诺：</w:t>
      </w:r>
    </w:p>
    <w:p>
      <w:pPr>
        <w:autoSpaceDE w:val="0"/>
        <w:autoSpaceDN w:val="0"/>
        <w:snapToGrid w:val="0"/>
        <w:spacing w:line="480" w:lineRule="auto"/>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我单位如存在投标截止后撤销投标文件、中标后无正当理由不与招标人订立合同、在签订合同时向招标人提出附加条件、不按照招标文件要求提交履约保证金，或在招标投标活动中存在其他违法违规的行为，我单位自愿承担因此造成的一切法律后果，自愿接受招标人和招标投标监督部门的信用惩戒措施。</w:t>
      </w:r>
    </w:p>
    <w:p>
      <w:pPr>
        <w:pStyle w:val="3"/>
        <w:spacing w:line="480" w:lineRule="auto"/>
        <w:rPr>
          <w:rFonts w:hint="eastAsia" w:ascii="宋体" w:hAnsi="宋体" w:eastAsia="宋体" w:cs="宋体"/>
          <w:color w:val="auto"/>
          <w:kern w:val="0"/>
          <w:sz w:val="21"/>
          <w:szCs w:val="21"/>
          <w:lang w:val="en-US" w:eastAsia="zh-CN" w:bidi="ar-SA"/>
        </w:rPr>
      </w:pPr>
    </w:p>
    <w:p>
      <w:pPr>
        <w:autoSpaceDE w:val="0"/>
        <w:autoSpaceDN w:val="0"/>
        <w:snapToGrid w:val="0"/>
        <w:spacing w:line="480" w:lineRule="auto"/>
        <w:ind w:firstLine="420" w:firstLineChars="200"/>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 xml:space="preserve">法定代表人（签字）： </w:t>
      </w:r>
    </w:p>
    <w:p>
      <w:pPr>
        <w:autoSpaceDE w:val="0"/>
        <w:autoSpaceDN w:val="0"/>
        <w:snapToGrid w:val="0"/>
        <w:spacing w:line="480" w:lineRule="auto"/>
        <w:ind w:firstLine="420" w:firstLineChars="200"/>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授权委托人（签字）：</w:t>
      </w:r>
    </w:p>
    <w:p>
      <w:pPr>
        <w:autoSpaceDE w:val="0"/>
        <w:autoSpaceDN w:val="0"/>
        <w:snapToGrid w:val="0"/>
        <w:spacing w:line="480" w:lineRule="auto"/>
        <w:ind w:firstLine="420" w:firstLineChars="200"/>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联系电话：</w:t>
      </w:r>
    </w:p>
    <w:p>
      <w:pPr>
        <w:autoSpaceDE w:val="0"/>
        <w:autoSpaceDN w:val="0"/>
        <w:snapToGrid w:val="0"/>
        <w:spacing w:line="480" w:lineRule="auto"/>
        <w:ind w:firstLine="420" w:firstLineChars="200"/>
        <w:jc w:val="lef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 xml:space="preserve">                     </w:t>
      </w:r>
    </w:p>
    <w:p>
      <w:pPr>
        <w:autoSpaceDE w:val="0"/>
        <w:autoSpaceDN w:val="0"/>
        <w:snapToGrid w:val="0"/>
        <w:spacing w:line="480" w:lineRule="auto"/>
        <w:ind w:firstLine="3360" w:firstLineChars="1600"/>
        <w:jc w:val="right"/>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投标人：（盖章）</w:t>
      </w:r>
    </w:p>
    <w:p>
      <w:pPr>
        <w:jc w:val="right"/>
        <w:rPr>
          <w:rFonts w:hint="eastAsia" w:ascii="宋体" w:cs="宋体"/>
          <w:b/>
          <w:color w:val="auto"/>
          <w:sz w:val="24"/>
          <w:lang w:eastAsia="zh-CN"/>
        </w:rPr>
      </w:pPr>
      <w:r>
        <w:rPr>
          <w:rFonts w:hint="eastAsia" w:ascii="宋体" w:hAnsi="宋体" w:eastAsia="宋体" w:cs="宋体"/>
          <w:color w:val="auto"/>
          <w:kern w:val="0"/>
          <w:sz w:val="21"/>
          <w:szCs w:val="21"/>
          <w:lang w:val="en-US" w:eastAsia="zh-CN" w:bidi="ar-SA"/>
        </w:rPr>
        <w:t>年  月  日</w:t>
      </w:r>
    </w:p>
    <w:p>
      <w:pPr>
        <w:rPr>
          <w:rFonts w:hint="eastAsia" w:ascii="宋体" w:cs="宋体"/>
          <w:b/>
          <w:color w:val="auto"/>
          <w:sz w:val="24"/>
          <w:lang w:eastAsia="zh-CN"/>
        </w:rPr>
      </w:pPr>
      <w:r>
        <w:rPr>
          <w:rFonts w:hint="eastAsia" w:ascii="宋体" w:cs="宋体"/>
          <w:b/>
          <w:color w:val="auto"/>
          <w:sz w:val="24"/>
          <w:lang w:eastAsia="zh-CN"/>
        </w:rPr>
        <w:br w:type="page"/>
      </w:r>
    </w:p>
    <w:p>
      <w:pPr>
        <w:jc w:val="center"/>
        <w:rPr>
          <w:rFonts w:hint="eastAsia" w:ascii="宋体" w:eastAsia="宋体" w:cs="宋体"/>
          <w:b/>
          <w:color w:val="auto"/>
          <w:sz w:val="24"/>
          <w:lang w:eastAsia="zh-CN"/>
        </w:rPr>
      </w:pPr>
      <w:r>
        <w:rPr>
          <w:rFonts w:hint="eastAsia" w:ascii="宋体" w:eastAsia="宋体" w:cs="宋体"/>
          <w:b/>
          <w:color w:val="auto"/>
          <w:sz w:val="24"/>
          <w:lang w:eastAsia="zh-CN"/>
        </w:rPr>
        <w:t>（六）中小企业声明函（工程）</w:t>
      </w:r>
    </w:p>
    <w:p>
      <w:pPr>
        <w:rPr>
          <w:rFonts w:hint="eastAsia" w:ascii="宋体" w:cs="宋体"/>
          <w:b/>
          <w:color w:val="auto"/>
          <w:sz w:val="24"/>
        </w:rPr>
      </w:pPr>
    </w:p>
    <w:p>
      <w:pPr>
        <w:pStyle w:val="42"/>
        <w:jc w:val="center"/>
        <w:rPr>
          <w:rFonts w:hint="eastAsia" w:ascii="宋体" w:hAnsi="Calibri" w:eastAsia="宋体" w:cs="宋体"/>
          <w:b/>
          <w:color w:val="auto"/>
          <w:kern w:val="2"/>
          <w:sz w:val="24"/>
          <w:szCs w:val="24"/>
          <w:lang w:val="en-US" w:eastAsia="zh-CN" w:bidi="ar-SA"/>
        </w:rPr>
      </w:pPr>
      <w:r>
        <w:rPr>
          <w:rFonts w:hint="eastAsia" w:ascii="宋体" w:hAnsi="Calibri" w:eastAsia="宋体" w:cs="宋体"/>
          <w:b/>
          <w:color w:val="auto"/>
          <w:kern w:val="2"/>
          <w:sz w:val="24"/>
          <w:szCs w:val="24"/>
          <w:lang w:val="en-US" w:eastAsia="zh-CN" w:bidi="ar-SA"/>
        </w:rPr>
        <w:t>中小企业声明函（工程）</w:t>
      </w:r>
    </w:p>
    <w:p>
      <w:pPr>
        <w:pStyle w:val="42"/>
        <w:jc w:val="center"/>
        <w:rPr>
          <w:rFonts w:hint="eastAsia" w:ascii="宋体" w:hAnsi="宋体" w:cs="宋体"/>
          <w:color w:val="auto"/>
          <w:spacing w:val="14"/>
          <w:sz w:val="21"/>
          <w:szCs w:val="21"/>
        </w:rPr>
      </w:pPr>
    </w:p>
    <w:p>
      <w:pPr>
        <w:pStyle w:val="42"/>
        <w:spacing w:line="480" w:lineRule="exact"/>
        <w:ind w:firstLine="420" w:firstLineChars="200"/>
        <w:jc w:val="left"/>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 xml:space="preserve">本公司（联合体）郑重声明，《政府采购促进中小企业发展管理办法》（财库﹝2020﹞46 号）的规定，本公司（联合体）参加 </w:t>
      </w:r>
      <w:r>
        <w:rPr>
          <w:rFonts w:hint="eastAsia" w:ascii="宋体" w:hAnsi="宋体" w:eastAsia="宋体" w:cs="宋体"/>
          <w:color w:val="auto"/>
          <w:kern w:val="2"/>
          <w:sz w:val="21"/>
          <w:szCs w:val="21"/>
          <w:u w:val="single"/>
        </w:rPr>
        <w:t xml:space="preserve">      （单位名称）    </w:t>
      </w:r>
      <w:r>
        <w:rPr>
          <w:rFonts w:hint="eastAsia" w:ascii="宋体" w:hAnsi="宋体" w:eastAsia="宋体" w:cs="宋体"/>
          <w:color w:val="auto"/>
          <w:kern w:val="2"/>
          <w:sz w:val="21"/>
          <w:szCs w:val="21"/>
        </w:rPr>
        <w:t xml:space="preserve"> 的  </w:t>
      </w:r>
      <w:r>
        <w:rPr>
          <w:rFonts w:hint="eastAsia" w:ascii="宋体" w:hAnsi="宋体" w:eastAsia="宋体" w:cs="宋体"/>
          <w:color w:val="auto"/>
          <w:kern w:val="2"/>
          <w:sz w:val="21"/>
          <w:szCs w:val="21"/>
          <w:u w:val="single"/>
        </w:rPr>
        <w:t xml:space="preserve">    （项目名称）     </w:t>
      </w:r>
      <w:r>
        <w:rPr>
          <w:rFonts w:hint="eastAsia" w:ascii="宋体" w:hAnsi="宋体" w:eastAsia="宋体" w:cs="宋体"/>
          <w:color w:val="auto"/>
          <w:kern w:val="2"/>
          <w:sz w:val="21"/>
          <w:szCs w:val="21"/>
        </w:rPr>
        <w:t>采购活动，工程的施工单位全部为符合政策要求的中小企业（或者：服务全部由符合政策要求的中小企业承接）。相关企业（含联合体中的中小企业、签订分包意向协议的中小企业）的具体情况如下：</w:t>
      </w:r>
    </w:p>
    <w:p>
      <w:pPr>
        <w:pStyle w:val="42"/>
        <w:numPr>
          <w:ilvl w:val="0"/>
          <w:numId w:val="14"/>
        </w:numPr>
        <w:spacing w:line="480" w:lineRule="exact"/>
        <w:ind w:firstLine="420" w:firstLineChars="200"/>
        <w:jc w:val="left"/>
        <w:rPr>
          <w:rFonts w:hint="eastAsia" w:ascii="宋体" w:hAnsi="宋体" w:eastAsia="宋体" w:cs="宋体"/>
          <w:color w:val="auto"/>
          <w:kern w:val="2"/>
          <w:sz w:val="21"/>
          <w:szCs w:val="21"/>
        </w:rPr>
      </w:pPr>
      <w:r>
        <w:rPr>
          <w:rFonts w:hint="eastAsia" w:ascii="宋体" w:hAnsi="宋体" w:eastAsia="宋体" w:cs="宋体"/>
          <w:color w:val="auto"/>
          <w:kern w:val="2"/>
          <w:sz w:val="21"/>
          <w:szCs w:val="21"/>
          <w:u w:val="single"/>
        </w:rPr>
        <w:t xml:space="preserve">      （标的名称）      </w:t>
      </w:r>
      <w:r>
        <w:rPr>
          <w:rFonts w:hint="eastAsia" w:ascii="宋体" w:hAnsi="宋体" w:eastAsia="宋体" w:cs="宋体"/>
          <w:color w:val="auto"/>
          <w:kern w:val="2"/>
          <w:sz w:val="21"/>
          <w:szCs w:val="21"/>
        </w:rPr>
        <w:t xml:space="preserve"> ，属于</w:t>
      </w:r>
      <w:r>
        <w:rPr>
          <w:rFonts w:hint="eastAsia" w:ascii="宋体" w:hAnsi="宋体" w:eastAsia="宋体" w:cs="宋体"/>
          <w:color w:val="auto"/>
          <w:kern w:val="2"/>
          <w:sz w:val="21"/>
          <w:szCs w:val="21"/>
          <w:u w:val="single"/>
        </w:rPr>
        <w:t xml:space="preserve">    （采购文件中明确的所属行业）   </w:t>
      </w:r>
      <w:r>
        <w:rPr>
          <w:rFonts w:hint="eastAsia" w:ascii="宋体" w:hAnsi="宋体" w:eastAsia="宋体" w:cs="宋体"/>
          <w:color w:val="auto"/>
          <w:kern w:val="2"/>
          <w:sz w:val="21"/>
          <w:szCs w:val="21"/>
        </w:rPr>
        <w:t xml:space="preserve">；承建（承接）企业为 </w:t>
      </w:r>
      <w:r>
        <w:rPr>
          <w:rFonts w:hint="eastAsia" w:ascii="宋体" w:hAnsi="宋体" w:eastAsia="宋体" w:cs="宋体"/>
          <w:color w:val="auto"/>
          <w:kern w:val="2"/>
          <w:sz w:val="21"/>
          <w:szCs w:val="21"/>
          <w:u w:val="single"/>
        </w:rPr>
        <w:t xml:space="preserve">    （企业名称）     </w:t>
      </w:r>
      <w:r>
        <w:rPr>
          <w:rFonts w:hint="eastAsia" w:ascii="宋体" w:hAnsi="宋体" w:eastAsia="宋体" w:cs="宋体"/>
          <w:color w:val="auto"/>
          <w:kern w:val="2"/>
          <w:sz w:val="21"/>
          <w:szCs w:val="21"/>
        </w:rPr>
        <w:t xml:space="preserve"> ，从业人员</w:t>
      </w:r>
      <w:r>
        <w:rPr>
          <w:rFonts w:hint="eastAsia" w:ascii="宋体" w:hAnsi="宋体" w:eastAsia="宋体" w:cs="宋体"/>
          <w:color w:val="auto"/>
          <w:kern w:val="2"/>
          <w:sz w:val="21"/>
          <w:szCs w:val="21"/>
          <w:u w:val="single"/>
        </w:rPr>
        <w:t xml:space="preserve">     </w:t>
      </w:r>
      <w:r>
        <w:rPr>
          <w:rFonts w:hint="eastAsia" w:ascii="宋体" w:hAnsi="宋体" w:eastAsia="宋体" w:cs="宋体"/>
          <w:color w:val="auto"/>
          <w:kern w:val="2"/>
          <w:sz w:val="21"/>
          <w:szCs w:val="21"/>
        </w:rPr>
        <w:t xml:space="preserve">人，营业收入为 </w:t>
      </w:r>
      <w:r>
        <w:rPr>
          <w:rFonts w:hint="eastAsia" w:ascii="宋体" w:hAnsi="宋体" w:eastAsia="宋体" w:cs="宋体"/>
          <w:color w:val="auto"/>
          <w:kern w:val="2"/>
          <w:sz w:val="21"/>
          <w:szCs w:val="21"/>
          <w:u w:val="single"/>
        </w:rPr>
        <w:t xml:space="preserve">    </w:t>
      </w:r>
      <w:r>
        <w:rPr>
          <w:rFonts w:hint="eastAsia" w:ascii="宋体" w:hAnsi="宋体" w:eastAsia="宋体" w:cs="宋体"/>
          <w:color w:val="auto"/>
          <w:kern w:val="2"/>
          <w:sz w:val="21"/>
          <w:szCs w:val="21"/>
        </w:rPr>
        <w:t>万元，资产总额为</w:t>
      </w:r>
      <w:r>
        <w:rPr>
          <w:rFonts w:hint="eastAsia" w:ascii="宋体" w:hAnsi="宋体" w:eastAsia="宋体" w:cs="宋体"/>
          <w:color w:val="auto"/>
          <w:kern w:val="2"/>
          <w:sz w:val="21"/>
          <w:szCs w:val="21"/>
          <w:u w:val="single"/>
        </w:rPr>
        <w:t xml:space="preserve">     </w:t>
      </w:r>
      <w:r>
        <w:rPr>
          <w:rFonts w:hint="eastAsia" w:ascii="宋体" w:hAnsi="宋体" w:eastAsia="宋体" w:cs="宋体"/>
          <w:color w:val="auto"/>
          <w:kern w:val="2"/>
          <w:sz w:val="21"/>
          <w:szCs w:val="21"/>
        </w:rPr>
        <w:t>万元，属于</w:t>
      </w:r>
      <w:r>
        <w:rPr>
          <w:rFonts w:hint="eastAsia" w:ascii="宋体" w:hAnsi="宋体" w:eastAsia="宋体" w:cs="宋体"/>
          <w:color w:val="auto"/>
          <w:kern w:val="2"/>
          <w:sz w:val="21"/>
          <w:szCs w:val="21"/>
          <w:u w:val="single"/>
        </w:rPr>
        <w:t xml:space="preserve">       （中型企业、小型企业、微型企业）       </w:t>
      </w:r>
      <w:r>
        <w:rPr>
          <w:rFonts w:hint="eastAsia" w:ascii="宋体" w:hAnsi="宋体" w:eastAsia="宋体" w:cs="宋体"/>
          <w:color w:val="auto"/>
          <w:kern w:val="2"/>
          <w:sz w:val="21"/>
          <w:szCs w:val="21"/>
        </w:rPr>
        <w:t>；</w:t>
      </w:r>
    </w:p>
    <w:p>
      <w:pPr>
        <w:pStyle w:val="42"/>
        <w:numPr>
          <w:ilvl w:val="0"/>
          <w:numId w:val="14"/>
        </w:numPr>
        <w:spacing w:line="480" w:lineRule="exact"/>
        <w:ind w:firstLine="420" w:firstLineChars="200"/>
        <w:jc w:val="left"/>
        <w:rPr>
          <w:rFonts w:hint="eastAsia" w:ascii="宋体" w:hAnsi="宋体" w:eastAsia="宋体" w:cs="宋体"/>
          <w:color w:val="auto"/>
          <w:sz w:val="21"/>
          <w:szCs w:val="21"/>
        </w:rPr>
      </w:pPr>
      <w:r>
        <w:rPr>
          <w:rFonts w:hint="eastAsia" w:ascii="宋体" w:hAnsi="宋体" w:eastAsia="宋体" w:cs="宋体"/>
          <w:color w:val="auto"/>
          <w:kern w:val="2"/>
          <w:sz w:val="21"/>
          <w:szCs w:val="21"/>
          <w:u w:val="single"/>
        </w:rPr>
        <w:t xml:space="preserve">      （标的名称）      </w:t>
      </w:r>
      <w:r>
        <w:rPr>
          <w:rFonts w:hint="eastAsia" w:ascii="宋体" w:hAnsi="宋体" w:eastAsia="宋体" w:cs="宋体"/>
          <w:color w:val="auto"/>
          <w:kern w:val="2"/>
          <w:sz w:val="21"/>
          <w:szCs w:val="21"/>
        </w:rPr>
        <w:t xml:space="preserve"> ，属于</w:t>
      </w:r>
      <w:r>
        <w:rPr>
          <w:rFonts w:hint="eastAsia" w:ascii="宋体" w:hAnsi="宋体" w:eastAsia="宋体" w:cs="宋体"/>
          <w:color w:val="auto"/>
          <w:kern w:val="2"/>
          <w:sz w:val="21"/>
          <w:szCs w:val="21"/>
          <w:u w:val="single"/>
        </w:rPr>
        <w:t xml:space="preserve">    （采购文件中明确的所属行业）   </w:t>
      </w:r>
      <w:r>
        <w:rPr>
          <w:rFonts w:hint="eastAsia" w:ascii="宋体" w:hAnsi="宋体" w:eastAsia="宋体" w:cs="宋体"/>
          <w:color w:val="auto"/>
          <w:kern w:val="2"/>
          <w:sz w:val="21"/>
          <w:szCs w:val="21"/>
        </w:rPr>
        <w:t xml:space="preserve">；承建（承接）企业为 </w:t>
      </w:r>
      <w:r>
        <w:rPr>
          <w:rFonts w:hint="eastAsia" w:ascii="宋体" w:hAnsi="宋体" w:eastAsia="宋体" w:cs="宋体"/>
          <w:color w:val="auto"/>
          <w:kern w:val="2"/>
          <w:sz w:val="21"/>
          <w:szCs w:val="21"/>
          <w:u w:val="single"/>
        </w:rPr>
        <w:t xml:space="preserve">    （企业名称）     </w:t>
      </w:r>
      <w:r>
        <w:rPr>
          <w:rFonts w:hint="eastAsia" w:ascii="宋体" w:hAnsi="宋体" w:eastAsia="宋体" w:cs="宋体"/>
          <w:color w:val="auto"/>
          <w:kern w:val="2"/>
          <w:sz w:val="21"/>
          <w:szCs w:val="21"/>
        </w:rPr>
        <w:t xml:space="preserve"> ，从业人员</w:t>
      </w:r>
      <w:r>
        <w:rPr>
          <w:rFonts w:hint="eastAsia" w:ascii="宋体" w:hAnsi="宋体" w:eastAsia="宋体" w:cs="宋体"/>
          <w:color w:val="auto"/>
          <w:kern w:val="2"/>
          <w:sz w:val="21"/>
          <w:szCs w:val="21"/>
          <w:u w:val="single"/>
        </w:rPr>
        <w:t xml:space="preserve">     </w:t>
      </w:r>
      <w:r>
        <w:rPr>
          <w:rFonts w:hint="eastAsia" w:ascii="宋体" w:hAnsi="宋体" w:eastAsia="宋体" w:cs="宋体"/>
          <w:color w:val="auto"/>
          <w:kern w:val="2"/>
          <w:sz w:val="21"/>
          <w:szCs w:val="21"/>
        </w:rPr>
        <w:t xml:space="preserve">人，营业收入为 </w:t>
      </w:r>
      <w:r>
        <w:rPr>
          <w:rFonts w:hint="eastAsia" w:ascii="宋体" w:hAnsi="宋体" w:eastAsia="宋体" w:cs="宋体"/>
          <w:color w:val="auto"/>
          <w:kern w:val="2"/>
          <w:sz w:val="21"/>
          <w:szCs w:val="21"/>
          <w:u w:val="single"/>
        </w:rPr>
        <w:t xml:space="preserve">    </w:t>
      </w:r>
      <w:r>
        <w:rPr>
          <w:rFonts w:hint="eastAsia" w:ascii="宋体" w:hAnsi="宋体" w:eastAsia="宋体" w:cs="宋体"/>
          <w:color w:val="auto"/>
          <w:kern w:val="2"/>
          <w:sz w:val="21"/>
          <w:szCs w:val="21"/>
        </w:rPr>
        <w:t>万元，资产总额为</w:t>
      </w:r>
      <w:r>
        <w:rPr>
          <w:rFonts w:hint="eastAsia" w:ascii="宋体" w:hAnsi="宋体" w:eastAsia="宋体" w:cs="宋体"/>
          <w:color w:val="auto"/>
          <w:kern w:val="2"/>
          <w:sz w:val="21"/>
          <w:szCs w:val="21"/>
          <w:u w:val="single"/>
        </w:rPr>
        <w:t xml:space="preserve">     </w:t>
      </w:r>
      <w:r>
        <w:rPr>
          <w:rFonts w:hint="eastAsia" w:ascii="宋体" w:hAnsi="宋体" w:eastAsia="宋体" w:cs="宋体"/>
          <w:color w:val="auto"/>
          <w:kern w:val="2"/>
          <w:sz w:val="21"/>
          <w:szCs w:val="21"/>
        </w:rPr>
        <w:t>万元，属于</w:t>
      </w:r>
      <w:r>
        <w:rPr>
          <w:rFonts w:hint="eastAsia" w:ascii="宋体" w:hAnsi="宋体" w:eastAsia="宋体" w:cs="宋体"/>
          <w:color w:val="auto"/>
          <w:kern w:val="2"/>
          <w:sz w:val="21"/>
          <w:szCs w:val="21"/>
          <w:u w:val="single"/>
        </w:rPr>
        <w:t xml:space="preserve">       （中型企业、小型企业、微型企业）       </w:t>
      </w:r>
      <w:r>
        <w:rPr>
          <w:rFonts w:hint="eastAsia" w:ascii="宋体" w:hAnsi="宋体" w:eastAsia="宋体" w:cs="宋体"/>
          <w:color w:val="auto"/>
          <w:kern w:val="2"/>
          <w:sz w:val="21"/>
          <w:szCs w:val="21"/>
        </w:rPr>
        <w:t>；</w:t>
      </w:r>
    </w:p>
    <w:p>
      <w:pPr>
        <w:pStyle w:val="42"/>
        <w:spacing w:line="480" w:lineRule="exact"/>
        <w:ind w:firstLine="420" w:firstLineChars="200"/>
        <w:jc w:val="left"/>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p>
      <w:pPr>
        <w:pStyle w:val="42"/>
        <w:spacing w:line="480" w:lineRule="exact"/>
        <w:ind w:firstLine="420" w:firstLineChars="200"/>
        <w:jc w:val="left"/>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以上企业，不属于大企业的分支机构，不存在控股股东为大企业的情形，也不存在与大企业的负责人为同一人的情形。</w:t>
      </w:r>
    </w:p>
    <w:p>
      <w:pPr>
        <w:pStyle w:val="42"/>
        <w:spacing w:line="480" w:lineRule="exact"/>
        <w:ind w:firstLine="420" w:firstLineChars="200"/>
        <w:jc w:val="left"/>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本企业对上述声明内容的真实性负责。如有虚假，将依法承担相应责任。</w:t>
      </w:r>
    </w:p>
    <w:p>
      <w:pPr>
        <w:pStyle w:val="42"/>
        <w:spacing w:line="480" w:lineRule="exact"/>
        <w:ind w:firstLine="630" w:firstLineChars="300"/>
        <w:jc w:val="left"/>
        <w:rPr>
          <w:rFonts w:hint="eastAsia" w:ascii="宋体" w:hAnsi="宋体" w:eastAsia="宋体" w:cs="宋体"/>
          <w:color w:val="auto"/>
          <w:kern w:val="2"/>
          <w:sz w:val="21"/>
          <w:szCs w:val="21"/>
        </w:rPr>
      </w:pPr>
    </w:p>
    <w:p>
      <w:pPr>
        <w:pStyle w:val="42"/>
        <w:rPr>
          <w:rFonts w:hint="eastAsia" w:ascii="宋体" w:hAnsi="宋体" w:eastAsia="宋体" w:cs="宋体"/>
          <w:color w:val="auto"/>
          <w:kern w:val="2"/>
          <w:sz w:val="21"/>
          <w:szCs w:val="21"/>
        </w:rPr>
      </w:pPr>
    </w:p>
    <w:p>
      <w:pPr>
        <w:pStyle w:val="42"/>
        <w:spacing w:line="480" w:lineRule="exact"/>
        <w:ind w:firstLine="420" w:firstLineChars="200"/>
        <w:jc w:val="left"/>
        <w:rPr>
          <w:rFonts w:hint="eastAsia" w:ascii="宋体" w:hAnsi="宋体" w:eastAsia="宋体" w:cs="宋体"/>
          <w:color w:val="auto"/>
          <w:kern w:val="2"/>
          <w:sz w:val="21"/>
          <w:szCs w:val="21"/>
        </w:rPr>
      </w:pPr>
      <w:r>
        <w:rPr>
          <w:rFonts w:hint="eastAsia" w:ascii="宋体" w:hAnsi="宋体" w:cs="宋体"/>
          <w:color w:val="auto"/>
          <w:kern w:val="2"/>
          <w:sz w:val="21"/>
          <w:szCs w:val="21"/>
          <w:lang w:eastAsia="zh-CN"/>
        </w:rPr>
        <w:t>投标人</w:t>
      </w:r>
      <w:r>
        <w:rPr>
          <w:rFonts w:hint="eastAsia" w:ascii="宋体" w:hAnsi="宋体" w:eastAsia="宋体" w:cs="宋体"/>
          <w:color w:val="auto"/>
          <w:kern w:val="2"/>
          <w:sz w:val="21"/>
          <w:szCs w:val="21"/>
        </w:rPr>
        <w:t xml:space="preserve">名称（盖公章）： </w:t>
      </w:r>
    </w:p>
    <w:p>
      <w:pPr>
        <w:pStyle w:val="42"/>
        <w:spacing w:line="480" w:lineRule="exact"/>
        <w:ind w:firstLine="420" w:firstLineChars="200"/>
        <w:jc w:val="left"/>
        <w:rPr>
          <w:rFonts w:hint="eastAsia" w:ascii="宋体" w:hAnsi="宋体" w:eastAsia="宋体" w:cs="宋体"/>
          <w:color w:val="auto"/>
          <w:kern w:val="2"/>
          <w:sz w:val="21"/>
          <w:szCs w:val="21"/>
        </w:rPr>
      </w:pPr>
    </w:p>
    <w:p>
      <w:pPr>
        <w:pStyle w:val="42"/>
        <w:spacing w:line="480" w:lineRule="exact"/>
        <w:ind w:firstLine="420" w:firstLineChars="200"/>
        <w:jc w:val="left"/>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日期：</w:t>
      </w:r>
    </w:p>
    <w:p>
      <w:pPr>
        <w:pStyle w:val="42"/>
        <w:rPr>
          <w:rFonts w:hint="eastAsia" w:ascii="宋体" w:hAnsi="宋体" w:cs="宋体"/>
          <w:color w:val="auto"/>
          <w:spacing w:val="14"/>
          <w:sz w:val="21"/>
          <w:szCs w:val="21"/>
        </w:rPr>
      </w:pPr>
    </w:p>
    <w:p>
      <w:pPr>
        <w:pStyle w:val="42"/>
        <w:rPr>
          <w:rFonts w:hint="eastAsia" w:ascii="宋体" w:hAnsi="宋体" w:cs="宋体"/>
          <w:color w:val="auto"/>
          <w:spacing w:val="14"/>
          <w:sz w:val="21"/>
          <w:szCs w:val="21"/>
        </w:rPr>
      </w:pPr>
    </w:p>
    <w:p>
      <w:pPr>
        <w:pStyle w:val="42"/>
        <w:spacing w:line="480" w:lineRule="exact"/>
        <w:ind w:firstLine="400" w:firstLineChars="200"/>
        <w:jc w:val="left"/>
        <w:rPr>
          <w:rFonts w:hint="eastAsia" w:ascii="宋体" w:hAnsi="宋体" w:cs="宋体"/>
          <w:color w:val="auto"/>
        </w:rPr>
      </w:pPr>
    </w:p>
    <w:p>
      <w:pPr>
        <w:rPr>
          <w:rFonts w:hint="eastAsia" w:ascii="宋体" w:cs="宋体"/>
          <w:b/>
          <w:color w:val="auto"/>
          <w:sz w:val="24"/>
        </w:rPr>
      </w:pPr>
      <w:r>
        <w:rPr>
          <w:rFonts w:hint="eastAsia" w:ascii="宋体" w:hAnsi="宋体" w:cs="宋体"/>
          <w:color w:val="auto"/>
        </w:rPr>
        <w:t>注：从业人员、营业收入、资产总额填报上一年度数据，无上一年度数据的新成立企业可不填报</w:t>
      </w:r>
      <w:r>
        <w:rPr>
          <w:rFonts w:hint="eastAsia" w:ascii="宋体" w:hAnsi="宋体" w:cs="宋体"/>
          <w:color w:val="auto"/>
          <w:lang w:eastAsia="zh-CN"/>
        </w:rPr>
        <w:t>。</w:t>
      </w:r>
      <w:r>
        <w:rPr>
          <w:rFonts w:hint="eastAsia" w:ascii="宋体" w:cs="宋体"/>
          <w:b/>
          <w:color w:val="auto"/>
          <w:sz w:val="24"/>
        </w:rPr>
        <w:br w:type="page"/>
      </w:r>
    </w:p>
    <w:p>
      <w:pPr>
        <w:rPr>
          <w:rFonts w:ascii="宋体" w:cs="宋体"/>
          <w:b/>
          <w:color w:val="auto"/>
          <w:sz w:val="24"/>
        </w:rPr>
      </w:pPr>
      <w:r>
        <w:rPr>
          <w:rFonts w:hint="eastAsia" w:ascii="宋体" w:cs="宋体"/>
          <w:b/>
          <w:color w:val="auto"/>
          <w:sz w:val="24"/>
          <w:lang w:eastAsia="zh-CN"/>
        </w:rPr>
        <w:t>（七）</w:t>
      </w:r>
      <w:r>
        <w:rPr>
          <w:rFonts w:hint="eastAsia" w:ascii="宋体" w:cs="宋体"/>
          <w:b/>
          <w:color w:val="auto"/>
          <w:sz w:val="24"/>
        </w:rPr>
        <w:t>投标人认为有必要提交的其他资料</w:t>
      </w:r>
    </w:p>
    <w:p>
      <w:pPr>
        <w:topLinePunct/>
        <w:spacing w:line="440" w:lineRule="exact"/>
        <w:outlineLvl w:val="0"/>
        <w:rPr>
          <w:rFonts w:ascii="宋体" w:cs="宋体"/>
          <w:b/>
          <w:bCs/>
          <w:color w:val="auto"/>
          <w:sz w:val="24"/>
        </w:rPr>
      </w:pPr>
      <w:r>
        <w:rPr>
          <w:rFonts w:hint="eastAsia" w:ascii="宋体" w:cs="宋体"/>
          <w:b/>
          <w:bCs/>
          <w:color w:val="auto"/>
          <w:sz w:val="24"/>
        </w:rPr>
        <w:br w:type="page"/>
      </w:r>
      <w:bookmarkStart w:id="601" w:name="_Toc11445"/>
      <w:r>
        <w:rPr>
          <w:rFonts w:hint="eastAsia" w:ascii="宋体" w:cs="宋体"/>
          <w:b/>
          <w:bCs/>
          <w:color w:val="auto"/>
          <w:sz w:val="24"/>
        </w:rPr>
        <w:t>附件1：</w:t>
      </w:r>
      <w:bookmarkEnd w:id="601"/>
    </w:p>
    <w:p>
      <w:pPr>
        <w:topLinePunct/>
        <w:spacing w:line="440" w:lineRule="exact"/>
        <w:jc w:val="center"/>
        <w:rPr>
          <w:rFonts w:ascii="宋体" w:cs="宋体"/>
          <w:b/>
          <w:bCs/>
          <w:color w:val="auto"/>
          <w:sz w:val="24"/>
        </w:rPr>
      </w:pPr>
      <w:r>
        <w:rPr>
          <w:rFonts w:hint="eastAsia" w:ascii="宋体" w:cs="宋体"/>
          <w:b/>
          <w:bCs/>
          <w:color w:val="auto"/>
          <w:sz w:val="24"/>
        </w:rPr>
        <w:t>招标投标法律法规知识宣传</w:t>
      </w:r>
    </w:p>
    <w:p>
      <w:pPr>
        <w:topLinePunct/>
        <w:spacing w:line="440" w:lineRule="exact"/>
        <w:rPr>
          <w:rFonts w:ascii="宋体" w:cs="宋体"/>
          <w:b/>
          <w:bCs/>
          <w:color w:val="auto"/>
          <w:sz w:val="24"/>
        </w:rPr>
      </w:pPr>
    </w:p>
    <w:p>
      <w:pPr>
        <w:spacing w:line="500" w:lineRule="exact"/>
        <w:ind w:firstLine="420" w:firstLineChars="200"/>
        <w:rPr>
          <w:rFonts w:ascii="宋体" w:cs="宋体"/>
          <w:color w:val="auto"/>
          <w:szCs w:val="21"/>
        </w:rPr>
      </w:pPr>
      <w:r>
        <w:rPr>
          <w:rFonts w:hint="eastAsia" w:ascii="宋体" w:cs="宋体"/>
          <w:color w:val="auto"/>
          <w:szCs w:val="21"/>
        </w:rPr>
        <w:t>一、《中华人民共和国招标投标法实施条例》节选</w:t>
      </w:r>
    </w:p>
    <w:p>
      <w:pPr>
        <w:spacing w:line="500" w:lineRule="exact"/>
        <w:ind w:firstLine="420" w:firstLineChars="200"/>
        <w:rPr>
          <w:rFonts w:ascii="宋体" w:cs="宋体"/>
          <w:color w:val="auto"/>
          <w:szCs w:val="21"/>
        </w:rPr>
      </w:pPr>
      <w:r>
        <w:rPr>
          <w:rFonts w:hint="eastAsia" w:ascii="宋体" w:cs="宋体"/>
          <w:color w:val="auto"/>
          <w:szCs w:val="21"/>
        </w:rPr>
        <w:t>第六十七条规定，投标人相互串通投标或者与招标人串通投标的，投标人向招标人或者评标委员会成员行贿谋取中标的，中标无效；构成犯罪的，依法追究刑事责任。</w:t>
      </w:r>
    </w:p>
    <w:p>
      <w:pPr>
        <w:spacing w:line="500" w:lineRule="exact"/>
        <w:ind w:firstLine="420" w:firstLineChars="200"/>
        <w:rPr>
          <w:rFonts w:ascii="宋体" w:cs="宋体"/>
          <w:color w:val="auto"/>
          <w:szCs w:val="21"/>
        </w:rPr>
      </w:pPr>
      <w:r>
        <w:rPr>
          <w:rFonts w:hint="eastAsia" w:ascii="宋体" w:cs="宋体"/>
          <w:color w:val="auto"/>
          <w:szCs w:val="21"/>
        </w:rPr>
        <w:t xml:space="preserve"> 投标人：（一）以行贿谋取中标；（二）3年内2次以上串通投标；（三）串通投标行为损害招标人、其他投标人或者国家、集体、公民的合法利益，造成直接经济损失30万元以上；（四）其他串通投标情节严重的行为。凡有以上行为之一的，属于情节严重行为，由有关行政监督部门取消其1年至2年内参加依法必须进行招标的项目的投标资格。投标人自以上行为规定的处罚执行期限届满之日起3年内又有以上所列违法行为之一的，或者串通投标、以行贿谋取中标情节特别严重的，由工商行政管理机关吊销营业执照。</w:t>
      </w:r>
    </w:p>
    <w:p>
      <w:pPr>
        <w:spacing w:line="500" w:lineRule="exact"/>
        <w:ind w:firstLine="420" w:firstLineChars="200"/>
        <w:rPr>
          <w:rFonts w:ascii="宋体" w:cs="宋体"/>
          <w:color w:val="auto"/>
          <w:szCs w:val="21"/>
        </w:rPr>
      </w:pPr>
      <w:r>
        <w:rPr>
          <w:rFonts w:hint="eastAsia" w:ascii="宋体" w:cs="宋体"/>
          <w:color w:val="auto"/>
          <w:szCs w:val="21"/>
        </w:rPr>
        <w:t xml:space="preserve">第六十八条规定，投标人以他人名义投标或者以其他方式弄虚作假骗取中标的，中标无效；构成犯罪的，依法追究刑事责任；尚不构成犯罪的，依照招标投标法第五十四条的规定处罚。依法必须进行招标的项目的投标人未中标的，对单位的罚款金额按照招标项目合同金额依照招标投标法规定的比例计算。 </w:t>
      </w:r>
    </w:p>
    <w:p>
      <w:pPr>
        <w:spacing w:line="500" w:lineRule="exact"/>
        <w:ind w:firstLine="420" w:firstLineChars="200"/>
        <w:rPr>
          <w:rFonts w:ascii="宋体" w:cs="宋体"/>
          <w:color w:val="auto"/>
          <w:szCs w:val="21"/>
        </w:rPr>
      </w:pPr>
      <w:r>
        <w:rPr>
          <w:rFonts w:hint="eastAsia" w:ascii="宋体" w:cs="宋体"/>
          <w:color w:val="auto"/>
          <w:szCs w:val="21"/>
        </w:rPr>
        <w:t>投标人：（一）伪造、变造资格、资质证书或者其他许可证件骗取中标；（二）3年内2次以上使用他人名义投标；（三）弄虚作假骗取中标给招标人造成直接经济损失30万元以上；（四）其他弄虚作假骗取中标情节严重的行为。凡有以上行为之一的，属于招标投标法第五十四条规定的情节严重行为，由有关行政监督部门取消其1年至3年内参加依法必须进行招标的项目的投标资格。投标人自以上行为规定的处罚执行期限届满之日起3年内又有该款所列违法行为之一的，或者弄虚作假骗取中标情节特别严重的，由工商行政管理机关吊销营业执照。</w:t>
      </w:r>
    </w:p>
    <w:p>
      <w:pPr>
        <w:spacing w:line="500" w:lineRule="exact"/>
        <w:ind w:firstLine="420" w:firstLineChars="200"/>
        <w:rPr>
          <w:rFonts w:ascii="宋体" w:cs="宋体"/>
          <w:color w:val="auto"/>
          <w:szCs w:val="21"/>
        </w:rPr>
      </w:pPr>
      <w:r>
        <w:rPr>
          <w:rFonts w:hint="eastAsia" w:ascii="宋体" w:cs="宋体"/>
          <w:color w:val="auto"/>
          <w:szCs w:val="21"/>
        </w:rPr>
        <w:t>第六十九条规定，出让或者出租资格、资质证书供他人投标的，依照法律、行政法规的规定给予行政处罚；构成犯罪的，依法追究刑事责任。</w:t>
      </w:r>
    </w:p>
    <w:p>
      <w:pPr>
        <w:spacing w:line="500" w:lineRule="exact"/>
        <w:ind w:firstLine="420" w:firstLineChars="200"/>
        <w:rPr>
          <w:rFonts w:ascii="宋体" w:cs="宋体"/>
          <w:color w:val="auto"/>
          <w:szCs w:val="21"/>
        </w:rPr>
      </w:pPr>
      <w:r>
        <w:rPr>
          <w:rFonts w:hint="eastAsia" w:ascii="宋体" w:cs="宋体"/>
          <w:color w:val="auto"/>
          <w:szCs w:val="21"/>
        </w:rPr>
        <w:t>二、《中华人民共和国刑法》有关招投标处罚规定</w:t>
      </w:r>
    </w:p>
    <w:p>
      <w:pPr>
        <w:spacing w:line="500" w:lineRule="exact"/>
        <w:ind w:firstLine="420" w:firstLineChars="200"/>
        <w:rPr>
          <w:rFonts w:ascii="宋体" w:cs="宋体"/>
          <w:color w:val="auto"/>
          <w:szCs w:val="21"/>
        </w:rPr>
      </w:pPr>
      <w:r>
        <w:rPr>
          <w:rFonts w:hint="eastAsia" w:ascii="宋体" w:cs="宋体"/>
          <w:color w:val="auto"/>
          <w:szCs w:val="21"/>
        </w:rPr>
        <w:t>第二百二十三条规定，〔串通投标罪〕投标人相互串通投标报价，损害招标人或者其他投标人利益，情节严重的，处三年以下有期徒刑或者拘役，并处或者单处罚金。投标人与招标人串通投标，损害国家、集体、公民的合法利益的，依照前款的规定处罚。</w:t>
      </w:r>
    </w:p>
    <w:p>
      <w:pPr>
        <w:spacing w:line="500" w:lineRule="exact"/>
        <w:ind w:firstLine="420" w:firstLineChars="200"/>
        <w:rPr>
          <w:rFonts w:ascii="宋体" w:cs="宋体"/>
          <w:color w:val="auto"/>
          <w:szCs w:val="21"/>
        </w:rPr>
      </w:pPr>
      <w:r>
        <w:rPr>
          <w:rFonts w:hint="eastAsia" w:ascii="宋体" w:cs="宋体"/>
          <w:color w:val="auto"/>
          <w:szCs w:val="21"/>
        </w:rPr>
        <w:t>三、《最高人民检察院公安部关于经济犯罪案件追诉标准的规定》涉及招投标处理事项</w:t>
      </w:r>
    </w:p>
    <w:p>
      <w:pPr>
        <w:spacing w:line="500" w:lineRule="exact"/>
        <w:ind w:firstLine="420" w:firstLineChars="200"/>
        <w:rPr>
          <w:rFonts w:ascii="宋体" w:cs="宋体"/>
          <w:color w:val="auto"/>
          <w:szCs w:val="21"/>
        </w:rPr>
      </w:pPr>
      <w:r>
        <w:rPr>
          <w:rFonts w:hint="eastAsia" w:ascii="宋体" w:cs="宋体"/>
          <w:color w:val="auto"/>
          <w:szCs w:val="21"/>
        </w:rPr>
        <w:t xml:space="preserve">第六十八条规定，投标人相互串通投标报价，或者投标人与招标人串通投标，涉嫌下列情形之一的，应予追诉： </w:t>
      </w:r>
    </w:p>
    <w:p>
      <w:pPr>
        <w:spacing w:line="500" w:lineRule="exact"/>
        <w:ind w:firstLine="420" w:firstLineChars="200"/>
        <w:rPr>
          <w:rFonts w:ascii="宋体" w:cs="宋体"/>
          <w:color w:val="auto"/>
          <w:szCs w:val="21"/>
        </w:rPr>
      </w:pPr>
      <w:r>
        <w:rPr>
          <w:rFonts w:hint="eastAsia" w:ascii="宋体" w:cs="宋体"/>
          <w:color w:val="auto"/>
          <w:szCs w:val="21"/>
        </w:rPr>
        <w:t xml:space="preserve">　　1、损害招标人、投标人或者国家、集体、公民的合法利益，造成的直接经济损失数额在五十万元以上的； </w:t>
      </w:r>
    </w:p>
    <w:p>
      <w:pPr>
        <w:spacing w:line="500" w:lineRule="exact"/>
        <w:ind w:firstLine="420" w:firstLineChars="200"/>
        <w:rPr>
          <w:rFonts w:ascii="宋体" w:cs="宋体"/>
          <w:color w:val="auto"/>
          <w:szCs w:val="21"/>
        </w:rPr>
      </w:pPr>
      <w:r>
        <w:rPr>
          <w:rFonts w:hint="eastAsia" w:ascii="宋体" w:cs="宋体"/>
          <w:color w:val="auto"/>
          <w:szCs w:val="21"/>
        </w:rPr>
        <w:t xml:space="preserve">　　2、对其他投标人、招标人等投标招标活动的参加人采取威胁、欺骗等非法手段的； </w:t>
      </w:r>
    </w:p>
    <w:p>
      <w:pPr>
        <w:spacing w:line="500" w:lineRule="exact"/>
        <w:ind w:firstLine="420" w:firstLineChars="200"/>
        <w:rPr>
          <w:rFonts w:ascii="宋体" w:cs="宋体"/>
          <w:color w:val="auto"/>
          <w:szCs w:val="21"/>
        </w:rPr>
      </w:pPr>
      <w:r>
        <w:rPr>
          <w:rFonts w:hint="eastAsia" w:ascii="宋体" w:cs="宋体"/>
          <w:color w:val="auto"/>
          <w:szCs w:val="21"/>
        </w:rPr>
        <w:t xml:space="preserve">　　3、虽未达到上述数额标准，但因串通投标，受过行政处罚二次以上，又串通投标的。 </w:t>
      </w:r>
    </w:p>
    <w:p>
      <w:pPr>
        <w:spacing w:line="500" w:lineRule="exact"/>
        <w:ind w:firstLine="420" w:firstLineChars="200"/>
        <w:rPr>
          <w:rFonts w:ascii="宋体" w:cs="宋体"/>
          <w:color w:val="auto"/>
          <w:szCs w:val="21"/>
        </w:rPr>
      </w:pPr>
      <w:r>
        <w:rPr>
          <w:rFonts w:hint="eastAsia" w:ascii="宋体" w:cs="宋体"/>
          <w:color w:val="auto"/>
          <w:szCs w:val="21"/>
        </w:rPr>
        <w:t xml:space="preserve"> 四、《中华人民共和国审计法实施条例》涉及招投标事项</w:t>
      </w:r>
    </w:p>
    <w:p>
      <w:pPr>
        <w:spacing w:line="500" w:lineRule="exact"/>
        <w:ind w:firstLine="420" w:firstLineChars="200"/>
        <w:rPr>
          <w:rFonts w:ascii="宋体" w:cs="宋体"/>
          <w:color w:val="auto"/>
          <w:szCs w:val="21"/>
        </w:rPr>
      </w:pPr>
      <w:r>
        <w:rPr>
          <w:rFonts w:hint="eastAsia" w:ascii="宋体" w:cs="宋体"/>
          <w:color w:val="auto"/>
          <w:szCs w:val="21"/>
        </w:rPr>
        <w:t>第二十条规定，政府投资和以政府投资为主的建设项目，审计机关依法进行审计监督。</w:t>
      </w:r>
    </w:p>
    <w:p>
      <w:pPr>
        <w:spacing w:line="500" w:lineRule="exact"/>
        <w:ind w:firstLine="420" w:firstLineChars="200"/>
        <w:rPr>
          <w:rFonts w:ascii="宋体" w:cs="宋体"/>
          <w:color w:val="auto"/>
          <w:szCs w:val="21"/>
        </w:rPr>
      </w:pPr>
      <w:r>
        <w:rPr>
          <w:rFonts w:hint="eastAsia" w:ascii="宋体" w:cs="宋体"/>
          <w:color w:val="auto"/>
          <w:szCs w:val="21"/>
        </w:rPr>
        <w:t>第四十条规定，对依法应当追究有关人员责任的，向有关主管机关、单位提出给予处分的建议；对依法应当由有关主管机关处理、处罚的，移送有关主管机关；涉嫌犯罪的，移送司法机关。</w:t>
      </w:r>
    </w:p>
    <w:p>
      <w:pPr>
        <w:spacing w:line="500" w:lineRule="exact"/>
        <w:ind w:firstLine="420" w:firstLineChars="200"/>
        <w:rPr>
          <w:rFonts w:ascii="宋体" w:cs="宋体"/>
          <w:color w:val="auto"/>
          <w:szCs w:val="21"/>
        </w:rPr>
      </w:pPr>
      <w:r>
        <w:rPr>
          <w:rFonts w:hint="eastAsia" w:ascii="宋体" w:cs="宋体"/>
          <w:color w:val="auto"/>
          <w:szCs w:val="21"/>
        </w:rPr>
        <w:t>五、全国“扫黑除恶”专项斗争涉及招投标工作</w:t>
      </w:r>
    </w:p>
    <w:p>
      <w:pPr>
        <w:spacing w:line="500" w:lineRule="exact"/>
        <w:ind w:firstLine="420" w:firstLineChars="200"/>
        <w:rPr>
          <w:rFonts w:ascii="宋体" w:cs="宋体"/>
          <w:color w:val="auto"/>
          <w:szCs w:val="21"/>
        </w:rPr>
      </w:pPr>
      <w:r>
        <w:rPr>
          <w:rFonts w:hint="eastAsia" w:ascii="宋体" w:cs="宋体"/>
          <w:color w:val="auto"/>
          <w:szCs w:val="21"/>
        </w:rPr>
        <w:t>根据中共中央、国务院《关于开展扫黑除恶专项斗争的通知》精神，扫黑除恶专项斗争打击的重点包括在建筑工程行业强揽工程、恶意竞标的黑恶势力。对有组织地恶意围标串标、强揽工程项目、强行推荐设计、施工、监理队伍、强行肢解分包工程的，招投标等行政监督部门需将问题线索提交市扫黑除恶专项斗争办公室进行查处。</w:t>
      </w:r>
    </w:p>
    <w:p>
      <w:pPr>
        <w:spacing w:line="360" w:lineRule="auto"/>
        <w:jc w:val="left"/>
        <w:outlineLvl w:val="0"/>
        <w:rPr>
          <w:rFonts w:ascii="宋体" w:cs="宋体"/>
          <w:b/>
          <w:bCs/>
          <w:color w:val="auto"/>
          <w:sz w:val="24"/>
        </w:rPr>
      </w:pPr>
      <w:r>
        <w:rPr>
          <w:rFonts w:hint="eastAsia" w:ascii="宋体" w:cs="宋体"/>
          <w:color w:val="auto"/>
        </w:rPr>
        <w:br w:type="page"/>
      </w:r>
      <w:bookmarkStart w:id="602" w:name="_Toc14248"/>
      <w:r>
        <w:rPr>
          <w:rFonts w:hint="eastAsia" w:ascii="宋体" w:cs="宋体"/>
          <w:b/>
          <w:bCs/>
          <w:color w:val="auto"/>
          <w:sz w:val="24"/>
        </w:rPr>
        <w:t>附件2：</w:t>
      </w:r>
      <w:bookmarkEnd w:id="602"/>
    </w:p>
    <w:p>
      <w:pPr>
        <w:pStyle w:val="3"/>
        <w:jc w:val="center"/>
        <w:outlineLvl w:val="0"/>
        <w:rPr>
          <w:rFonts w:ascii="宋体" w:cs="宋体"/>
          <w:b/>
          <w:bCs/>
          <w:color w:val="auto"/>
          <w:sz w:val="24"/>
        </w:rPr>
      </w:pPr>
      <w:bookmarkStart w:id="603" w:name="_Toc22782"/>
      <w:r>
        <w:rPr>
          <w:rFonts w:hint="eastAsia" w:ascii="宋体" w:cs="宋体"/>
          <w:b/>
          <w:bCs/>
          <w:color w:val="auto"/>
          <w:sz w:val="24"/>
        </w:rPr>
        <w:t>关于在全市工程建设项目招投标领域深入开展“扫黑除恶”</w:t>
      </w:r>
    </w:p>
    <w:p>
      <w:pPr>
        <w:pStyle w:val="3"/>
        <w:jc w:val="center"/>
        <w:outlineLvl w:val="0"/>
        <w:rPr>
          <w:rFonts w:ascii="宋体" w:cs="宋体"/>
          <w:b/>
          <w:bCs/>
          <w:color w:val="auto"/>
          <w:sz w:val="24"/>
        </w:rPr>
      </w:pPr>
      <w:r>
        <w:rPr>
          <w:rFonts w:hint="eastAsia" w:ascii="宋体" w:cs="宋体"/>
          <w:b/>
          <w:bCs/>
          <w:color w:val="auto"/>
          <w:sz w:val="24"/>
        </w:rPr>
        <w:t>专项斗争的公开信</w:t>
      </w:r>
      <w:bookmarkEnd w:id="603"/>
    </w:p>
    <w:p>
      <w:pPr>
        <w:spacing w:line="500" w:lineRule="exact"/>
        <w:ind w:firstLine="420" w:firstLineChars="200"/>
        <w:rPr>
          <w:rFonts w:ascii="宋体" w:cs="宋体"/>
          <w:color w:val="auto"/>
          <w:szCs w:val="21"/>
        </w:rPr>
      </w:pPr>
      <w:r>
        <w:rPr>
          <w:rFonts w:hint="eastAsia" w:ascii="宋体" w:cs="宋体"/>
          <w:color w:val="auto"/>
          <w:szCs w:val="21"/>
        </w:rPr>
        <w:t>2019年是党中央、国务院在全国开展“扫黑除恶”专项斗争的攻坚之年，洛阳市住建局在市委、市政府的坚强领导下，坚决贯彻落实习近平总书记关于“扫黑除恶”系列重要指示精神，压实工作责任，狠抓重点领域整治，大力营造全社会积极参与扫黑除恶的舆论氛围，“扫黑除恶” 工作取得阶段性成效。</w:t>
      </w:r>
    </w:p>
    <w:p>
      <w:pPr>
        <w:spacing w:line="500" w:lineRule="exact"/>
        <w:ind w:firstLine="420" w:firstLineChars="200"/>
        <w:rPr>
          <w:rFonts w:ascii="宋体" w:cs="宋体"/>
          <w:color w:val="auto"/>
          <w:szCs w:val="21"/>
        </w:rPr>
      </w:pPr>
      <w:r>
        <w:rPr>
          <w:rFonts w:hint="eastAsia" w:ascii="宋体" w:cs="宋体"/>
          <w:color w:val="auto"/>
          <w:szCs w:val="21"/>
        </w:rPr>
        <w:t>“扫黑除恶”是民心所向，为持续深入推进“扫黑除恶”专项斗争，维护公平公正的招标投标秩序，有力净化营商环境，保护企业和公民的合法权益，有效提升人民群众的获得感、安全感、幸福感，进一步依法严厉打击各类黑恶势力违法犯罪活动，确保社会长治久安，我们号召广大市民积极行动起来，主动参与到扫黑除恶专项斗争中来，通过来电、来函、来件等方式，踊跃揭发并提供以下8类黑恶势力性质违法犯罪活动线索：</w:t>
      </w:r>
    </w:p>
    <w:p>
      <w:pPr>
        <w:spacing w:line="500" w:lineRule="exact"/>
        <w:ind w:firstLine="420" w:firstLineChars="200"/>
        <w:rPr>
          <w:rFonts w:ascii="宋体" w:cs="宋体"/>
          <w:color w:val="auto"/>
          <w:szCs w:val="21"/>
        </w:rPr>
      </w:pPr>
      <w:r>
        <w:rPr>
          <w:rFonts w:hint="eastAsia" w:ascii="宋体" w:cs="宋体"/>
          <w:color w:val="auto"/>
          <w:szCs w:val="21"/>
        </w:rPr>
        <w:t>1.非法组织、领导、实施恶意竞标、围标、串标、虚假投标、敲诈勒索的；</w:t>
      </w:r>
    </w:p>
    <w:p>
      <w:pPr>
        <w:spacing w:line="500" w:lineRule="exact"/>
        <w:ind w:firstLine="420" w:firstLineChars="200"/>
        <w:rPr>
          <w:rFonts w:ascii="宋体" w:cs="宋体"/>
          <w:color w:val="auto"/>
          <w:szCs w:val="21"/>
        </w:rPr>
      </w:pPr>
      <w:r>
        <w:rPr>
          <w:rFonts w:hint="eastAsia" w:ascii="宋体" w:cs="宋体"/>
          <w:color w:val="auto"/>
          <w:szCs w:val="21"/>
        </w:rPr>
        <w:t>2.强拿硬要或者任意损毁、占用公私财物、标书、标的物、样品的；</w:t>
      </w:r>
    </w:p>
    <w:p>
      <w:pPr>
        <w:spacing w:line="500" w:lineRule="exact"/>
        <w:ind w:firstLine="420" w:firstLineChars="200"/>
        <w:rPr>
          <w:rFonts w:ascii="宋体" w:cs="宋体"/>
          <w:color w:val="auto"/>
          <w:szCs w:val="21"/>
        </w:rPr>
      </w:pPr>
      <w:r>
        <w:rPr>
          <w:rFonts w:hint="eastAsia" w:ascii="宋体" w:cs="宋体"/>
          <w:color w:val="auto"/>
          <w:szCs w:val="21"/>
        </w:rPr>
        <w:t>3.有组织地故意抬高或压低价格，伪造资质证书、证件、提供虚假材料进行恶意投标，谋取不正当利益的；</w:t>
      </w:r>
    </w:p>
    <w:p>
      <w:pPr>
        <w:spacing w:line="500" w:lineRule="exact"/>
        <w:ind w:firstLine="420" w:firstLineChars="200"/>
        <w:rPr>
          <w:rFonts w:ascii="宋体" w:cs="宋体"/>
          <w:color w:val="auto"/>
          <w:szCs w:val="21"/>
        </w:rPr>
      </w:pPr>
      <w:r>
        <w:rPr>
          <w:rFonts w:hint="eastAsia" w:ascii="宋体" w:cs="宋体"/>
          <w:color w:val="auto"/>
          <w:szCs w:val="21"/>
        </w:rPr>
        <w:t>4.聚众围堵开、评标现场，扰乱开标现场、恶意阻止投标人进入开标现场、干涉评委正常评标、干涉工作人员现场监督的；</w:t>
      </w:r>
    </w:p>
    <w:p>
      <w:pPr>
        <w:spacing w:line="500" w:lineRule="exact"/>
        <w:ind w:firstLine="420" w:firstLineChars="200"/>
        <w:rPr>
          <w:rFonts w:ascii="宋体" w:cs="宋体"/>
          <w:color w:val="auto"/>
          <w:szCs w:val="21"/>
        </w:rPr>
      </w:pPr>
      <w:r>
        <w:rPr>
          <w:rFonts w:hint="eastAsia" w:ascii="宋体" w:cs="宋体"/>
          <w:color w:val="auto"/>
          <w:szCs w:val="21"/>
        </w:rPr>
        <w:t>5.以暴力、威胁、利诱等手段强迫他人参与或者退出投标，强迫中标人放弃中标、转包的；</w:t>
      </w:r>
    </w:p>
    <w:p>
      <w:pPr>
        <w:spacing w:line="500" w:lineRule="exact"/>
        <w:ind w:firstLine="420" w:firstLineChars="200"/>
        <w:rPr>
          <w:rFonts w:ascii="宋体" w:cs="宋体"/>
          <w:color w:val="auto"/>
          <w:szCs w:val="21"/>
        </w:rPr>
      </w:pPr>
      <w:r>
        <w:rPr>
          <w:rFonts w:hint="eastAsia" w:ascii="宋体" w:cs="宋体"/>
          <w:color w:val="auto"/>
          <w:szCs w:val="21"/>
        </w:rPr>
        <w:t>6.交易过程中寻衅滋事，闹访、缠访、恶意投诉，以投诉、举报相威胁获取不正当利益的；</w:t>
      </w:r>
    </w:p>
    <w:p>
      <w:pPr>
        <w:spacing w:line="500" w:lineRule="exact"/>
        <w:ind w:firstLine="420" w:firstLineChars="200"/>
        <w:rPr>
          <w:rFonts w:ascii="宋体" w:cs="宋体"/>
          <w:color w:val="auto"/>
          <w:szCs w:val="21"/>
        </w:rPr>
      </w:pPr>
      <w:r>
        <w:rPr>
          <w:rFonts w:hint="eastAsia" w:ascii="宋体" w:cs="宋体"/>
          <w:color w:val="auto"/>
          <w:szCs w:val="21"/>
        </w:rPr>
        <w:t>7.党员干部违反规定插手干预项目招投标活动，在招投标活动中与黑恶势力勾结，充当黑恶势力“保护伞”的；</w:t>
      </w:r>
    </w:p>
    <w:p>
      <w:pPr>
        <w:spacing w:line="500" w:lineRule="exact"/>
        <w:ind w:firstLine="420" w:firstLineChars="200"/>
        <w:rPr>
          <w:rFonts w:ascii="宋体" w:cs="宋体"/>
          <w:color w:val="auto"/>
          <w:szCs w:val="21"/>
        </w:rPr>
      </w:pPr>
      <w:r>
        <w:rPr>
          <w:rFonts w:hint="eastAsia" w:ascii="宋体" w:cs="宋体"/>
          <w:color w:val="auto"/>
          <w:szCs w:val="21"/>
        </w:rPr>
        <w:t>8.在工程建设招投标活动中有其他违纪违法行为的。</w:t>
      </w:r>
    </w:p>
    <w:p>
      <w:pPr>
        <w:spacing w:line="500" w:lineRule="exact"/>
        <w:ind w:firstLine="420" w:firstLineChars="200"/>
        <w:rPr>
          <w:rFonts w:ascii="宋体" w:cs="宋体"/>
          <w:color w:val="auto"/>
          <w:szCs w:val="21"/>
        </w:rPr>
      </w:pPr>
      <w:r>
        <w:rPr>
          <w:rFonts w:hint="eastAsia" w:ascii="宋体" w:cs="宋体"/>
          <w:color w:val="auto"/>
          <w:szCs w:val="21"/>
        </w:rPr>
        <w:t>我们郑重承诺：对举报人个人信息和举报线索严格保密。我们郑重声明：对包庇、纵容违法犯罪分子的恶意举报、诬告陷害他人的将依法追究法律责任；对举报人进行报复的，将依法从严、从重惩处。</w:t>
      </w:r>
    </w:p>
    <w:p>
      <w:pPr>
        <w:spacing w:line="500" w:lineRule="exact"/>
        <w:ind w:firstLine="420" w:firstLineChars="200"/>
        <w:rPr>
          <w:rFonts w:ascii="宋体" w:cs="宋体"/>
          <w:color w:val="auto"/>
          <w:szCs w:val="21"/>
        </w:rPr>
      </w:pPr>
      <w:r>
        <w:rPr>
          <w:rFonts w:hint="eastAsia" w:ascii="宋体" w:cs="宋体"/>
          <w:color w:val="auto"/>
          <w:szCs w:val="21"/>
        </w:rPr>
        <w:t>市住建局招标科举报电话：0379-63937963</w:t>
      </w:r>
    </w:p>
    <w:p>
      <w:pPr>
        <w:spacing w:line="500" w:lineRule="exact"/>
        <w:ind w:firstLine="420" w:firstLineChars="200"/>
        <w:rPr>
          <w:rFonts w:ascii="宋体" w:cs="宋体"/>
          <w:color w:val="auto"/>
          <w:szCs w:val="21"/>
        </w:rPr>
      </w:pPr>
      <w:r>
        <w:rPr>
          <w:rFonts w:hint="eastAsia" w:ascii="宋体" w:cs="宋体"/>
          <w:color w:val="auto"/>
          <w:szCs w:val="21"/>
        </w:rPr>
        <w:t>市住建局扫黑办举报电话：0379-63311150  </w:t>
      </w:r>
    </w:p>
    <w:p>
      <w:pPr>
        <w:spacing w:line="360" w:lineRule="auto"/>
        <w:ind w:firstLine="420" w:firstLineChars="200"/>
        <w:jc w:val="left"/>
        <w:rPr>
          <w:rFonts w:ascii="宋体" w:cs="宋体"/>
          <w:color w:val="auto"/>
          <w:szCs w:val="21"/>
        </w:rPr>
      </w:pPr>
      <w:r>
        <w:rPr>
          <w:rFonts w:hint="eastAsia" w:ascii="宋体" w:cs="宋体"/>
          <w:color w:val="auto"/>
          <w:szCs w:val="21"/>
        </w:rPr>
        <w:t xml:space="preserve">举报电话受理时间（周六、周日和法定节假日除外）：上午9:00-12:00 下午15:00-18:00 </w:t>
      </w:r>
    </w:p>
    <w:p>
      <w:pPr>
        <w:rPr>
          <w:color w:val="auto"/>
        </w:rPr>
      </w:pPr>
      <w:r>
        <w:rPr>
          <w:color w:val="auto"/>
        </w:rPr>
        <w:br w:type="page"/>
      </w:r>
    </w:p>
    <w:p>
      <w:pPr>
        <w:pStyle w:val="3"/>
        <w:jc w:val="left"/>
        <w:outlineLvl w:val="0"/>
        <w:rPr>
          <w:rFonts w:hint="eastAsia" w:ascii="宋体" w:eastAsia="宋体" w:cs="宋体"/>
          <w:b/>
          <w:bCs/>
          <w:color w:val="auto"/>
          <w:sz w:val="24"/>
        </w:rPr>
      </w:pPr>
      <w:r>
        <w:rPr>
          <w:rFonts w:hint="eastAsia" w:ascii="宋体" w:eastAsia="宋体" w:cs="宋体"/>
          <w:b/>
          <w:bCs/>
          <w:color w:val="auto"/>
          <w:sz w:val="24"/>
        </w:rPr>
        <w:t>附件</w:t>
      </w:r>
      <w:r>
        <w:rPr>
          <w:rFonts w:hint="eastAsia" w:ascii="宋体" w:eastAsia="宋体" w:cs="宋体"/>
          <w:b/>
          <w:bCs/>
          <w:color w:val="auto"/>
          <w:sz w:val="24"/>
          <w:lang w:val="en-US" w:eastAsia="zh-CN"/>
        </w:rPr>
        <w:t>3</w:t>
      </w:r>
      <w:r>
        <w:rPr>
          <w:rFonts w:hint="eastAsia" w:ascii="宋体" w:eastAsia="宋体" w:cs="宋体"/>
          <w:b/>
          <w:bCs/>
          <w:color w:val="auto"/>
          <w:sz w:val="24"/>
        </w:rPr>
        <w:t>：</w:t>
      </w:r>
    </w:p>
    <w:p>
      <w:pPr>
        <w:pStyle w:val="3"/>
        <w:jc w:val="center"/>
        <w:outlineLvl w:val="0"/>
        <w:rPr>
          <w:rFonts w:hint="eastAsia" w:ascii="宋体" w:eastAsia="宋体" w:cs="宋体"/>
          <w:b/>
          <w:bCs/>
          <w:color w:val="auto"/>
          <w:sz w:val="24"/>
        </w:rPr>
      </w:pPr>
      <w:r>
        <w:rPr>
          <w:rFonts w:hint="eastAsia" w:ascii="宋体" w:eastAsia="宋体" w:cs="宋体"/>
          <w:b/>
          <w:bCs/>
          <w:color w:val="auto"/>
          <w:sz w:val="24"/>
        </w:rPr>
        <w:t>致房屋建筑和市政基础设施工程建设项目</w:t>
      </w:r>
    </w:p>
    <w:p>
      <w:pPr>
        <w:pStyle w:val="3"/>
        <w:jc w:val="center"/>
        <w:outlineLvl w:val="0"/>
        <w:rPr>
          <w:rFonts w:hint="eastAsia" w:ascii="宋体" w:eastAsia="宋体" w:cs="宋体"/>
          <w:b/>
          <w:bCs/>
          <w:color w:val="auto"/>
          <w:sz w:val="24"/>
        </w:rPr>
      </w:pPr>
      <w:r>
        <w:rPr>
          <w:rFonts w:hint="eastAsia" w:ascii="宋体" w:eastAsia="宋体" w:cs="宋体"/>
          <w:b/>
          <w:bCs/>
          <w:color w:val="auto"/>
          <w:sz w:val="24"/>
          <w:lang w:eastAsia="zh-CN"/>
        </w:rPr>
        <w:t>招标</w:t>
      </w:r>
      <w:r>
        <w:rPr>
          <w:rFonts w:hint="eastAsia" w:ascii="宋体" w:eastAsia="宋体" w:cs="宋体"/>
          <w:b/>
          <w:bCs/>
          <w:color w:val="auto"/>
          <w:sz w:val="24"/>
        </w:rPr>
        <w:t>投标</w:t>
      </w:r>
      <w:r>
        <w:rPr>
          <w:rFonts w:hint="eastAsia" w:ascii="宋体" w:eastAsia="宋体" w:cs="宋体"/>
          <w:b/>
          <w:bCs/>
          <w:color w:val="auto"/>
          <w:sz w:val="24"/>
          <w:lang w:eastAsia="zh-CN"/>
        </w:rPr>
        <w:t>各方</w:t>
      </w:r>
      <w:r>
        <w:rPr>
          <w:rFonts w:hint="eastAsia" w:ascii="宋体" w:eastAsia="宋体" w:cs="宋体"/>
          <w:b/>
          <w:bCs/>
          <w:color w:val="auto"/>
          <w:sz w:val="24"/>
        </w:rPr>
        <w:t>主体的一封公开信</w:t>
      </w:r>
    </w:p>
    <w:p>
      <w:pPr>
        <w:rPr>
          <w:color w:val="auto"/>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lang w:val="en-US" w:eastAsia="zh-CN"/>
        </w:rPr>
      </w:pPr>
      <w:r>
        <w:rPr>
          <w:rFonts w:hint="eastAsia"/>
          <w:color w:val="auto"/>
          <w:lang w:val="en-US" w:eastAsia="zh-CN"/>
        </w:rPr>
        <w:t>参与全市房屋建筑和市政基础设施工程建设项目招标投标的各方主体：</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为深入贯彻落实中央、省委、市委关于扫黑除恶专项斗争的决策部署，根据《住房和城乡建设部办公厅关于开展工程建设行业专项整治的通知》（建办市函〔2020〕298号）精神，我市聚焦房屋建筑和市政基础设施工程建设领域招标投标活动中存在的恶意竞标、强揽工程、借用资质、干扰招标投标正常秩序等违法违规行为，正在开展专项整治活动，重点治理以下行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（一）招标人在招标文件中设置不合理条件，限制或者排斥潜在投标人，或招标人以任何方式规避招标。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（二）投标人相互串通投标或者与招标人、招标代理机构串通投标，或者投标人以向招标人、招标代理机构或者评标委员会成员行贿的手段谋取中标。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（三）投标人以他人名义投标，挂靠、借用资质投标或者以其他方式弄虚作假，骗取中标。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（四）招标人或投标人胁迫其他潜在投标人放弃投标，或胁迫中标人放弃中标。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（五）投标人恶意举报投诉中标人或其他潜在投标人，干扰招标投标正常秩序。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（六）中标人将中标项目转让给他人，或者将中标项目肢解后分别转让给他人，以及将中标项目违法分包给他人。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（七）党政机关、事业单位、行业协（学）会等单位领导干部或工作人员利用职权或者职务上的影响干预招标投标活动。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 xml:space="preserve">如果您单位和个人在参与投标活动中发现以上行为或《河南省房屋建筑和市政基础设施工程项目招标投标监管禁止行为清单》《河南省房屋建筑和市政基础设施工程项目招标投标活动禁止行为清单》《洛阳市房屋建筑和市政基础设施工程招标投标负面行为清单》中所列行为，请依法向当地住房城乡建设主管部门举报，举报电话： 0379-63937963，举报地址：洛阳市洛龙区民生路万众金融广场B座520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如果您单位和个人在参与投标活动中发现涉黑涉恶线索，可登录河南省住房城乡建设厅官方网站首页“投诉举报”专栏“住房城乡建设领域涉黑涉恶违法线索在线举报”窗口反映。</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举报时请尽量提供详细的事实材料，我们将认真落实行业监管责任，坚决依法依规处理。涉及实名举报的，我们将严格为举报人保密。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lang w:val="en-US" w:eastAsia="zh-CN"/>
        </w:rPr>
      </w:pPr>
      <w:r>
        <w:rPr>
          <w:rFonts w:hint="eastAsia"/>
          <w:color w:val="auto"/>
          <w:lang w:val="en-US" w:eastAsia="zh-CN"/>
        </w:rPr>
        <w:t>让我们大家共同行动起来，为营造公平公正的招标投标市场环境而努力！</w:t>
      </w:r>
    </w:p>
    <w:p>
      <w:pPr>
        <w:pStyle w:val="4"/>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p>
    <w:p>
      <w:pP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br w:type="page"/>
      </w:r>
    </w:p>
    <w:p>
      <w:pPr>
        <w:pStyle w:val="67"/>
        <w:ind w:firstLine="0"/>
        <w:rPr>
          <w:rFonts w:hint="eastAsia" w:ascii="仿宋" w:hAnsi="仿宋" w:eastAsia="仿宋"/>
          <w:color w:val="auto"/>
          <w:spacing w:val="14"/>
          <w:szCs w:val="21"/>
        </w:rPr>
      </w:pPr>
      <w:r>
        <w:rPr>
          <w:rFonts w:hint="eastAsia" w:ascii="仿宋" w:hAnsi="仿宋" w:eastAsia="仿宋" w:cs="宋体"/>
          <w:color w:val="auto"/>
          <w:spacing w:val="14"/>
          <w:szCs w:val="21"/>
          <w:lang w:eastAsia="zh-CN"/>
        </w:rPr>
        <w:t>附 件：</w:t>
      </w:r>
    </w:p>
    <w:p>
      <w:pPr>
        <w:pStyle w:val="67"/>
        <w:ind w:firstLine="0"/>
        <w:rPr>
          <w:rFonts w:hint="eastAsia" w:ascii="仿宋" w:hAnsi="仿宋" w:eastAsia="仿宋"/>
          <w:color w:val="auto"/>
          <w:spacing w:val="14"/>
          <w:szCs w:val="21"/>
        </w:rPr>
      </w:pPr>
    </w:p>
    <w:p>
      <w:pPr>
        <w:pStyle w:val="67"/>
        <w:ind w:firstLine="0"/>
        <w:jc w:val="center"/>
        <w:rPr>
          <w:rFonts w:hint="eastAsia" w:ascii="仿宋" w:hAnsi="仿宋" w:eastAsia="仿宋"/>
          <w:b/>
          <w:bCs/>
          <w:color w:val="auto"/>
          <w:spacing w:val="14"/>
          <w:sz w:val="22"/>
        </w:rPr>
      </w:pPr>
      <w:r>
        <w:rPr>
          <w:rFonts w:hint="eastAsia" w:ascii="仿宋" w:hAnsi="仿宋" w:eastAsia="仿宋"/>
          <w:b/>
          <w:bCs/>
          <w:color w:val="auto"/>
          <w:spacing w:val="14"/>
          <w:sz w:val="22"/>
          <w:lang w:eastAsia="zh-CN"/>
        </w:rPr>
        <w:t>洛阳市</w:t>
      </w:r>
      <w:r>
        <w:rPr>
          <w:rFonts w:hint="eastAsia" w:ascii="仿宋" w:hAnsi="仿宋" w:eastAsia="仿宋"/>
          <w:b/>
          <w:bCs/>
          <w:color w:val="auto"/>
          <w:spacing w:val="14"/>
          <w:sz w:val="22"/>
        </w:rPr>
        <w:t>政府采购合同融资政策告知函</w:t>
      </w:r>
    </w:p>
    <w:p>
      <w:pPr>
        <w:pStyle w:val="67"/>
        <w:spacing w:line="360" w:lineRule="auto"/>
        <w:ind w:firstLine="0"/>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各供应商：</w:t>
      </w:r>
    </w:p>
    <w:p>
      <w:pPr>
        <w:pStyle w:val="67"/>
        <w:spacing w:line="360" w:lineRule="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欢迎贵公司参与洛阳市政府采购活动！</w:t>
      </w:r>
    </w:p>
    <w:p>
      <w:pPr>
        <w:pStyle w:val="67"/>
        <w:spacing w:line="360" w:lineRule="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政府采购合同融资是洛阳市财政局联合人民银行洛阳市中心支行支持中小微企业发展，针对参与政府采购活动的供应商融资难、融资贵问题推出的一项融资政策。贵公司若成为本次政府采购项目的中标（成交）供应商，可持政府采购合同向金融机构申请贷款，无需抵押、担保，融资机构将根据《洛阳市财政局、中国人民银行洛阳市中心支行关于印发深入推荐政府采购合同融资工作实施方案》（洛财购〔2021〕4号），按照双方自愿的原则提供便捷、优惠的贷款服务。</w:t>
      </w:r>
    </w:p>
    <w:p>
      <w:pPr>
        <w:pStyle w:val="67"/>
        <w:spacing w:line="360" w:lineRule="auto"/>
        <w:rPr>
          <w:rFonts w:hint="eastAsia" w:ascii="仿宋" w:hAnsi="仿宋" w:eastAsia="仿宋" w:cs="Times New Roman"/>
          <w:color w:val="auto"/>
          <w:kern w:val="0"/>
          <w:sz w:val="21"/>
          <w:szCs w:val="21"/>
          <w:lang w:val="en-US" w:eastAsia="zh-CN" w:bidi="ar-SA"/>
        </w:rPr>
      </w:pPr>
      <w:r>
        <w:rPr>
          <w:rFonts w:hint="eastAsia" w:ascii="仿宋" w:hAnsi="仿宋" w:eastAsia="仿宋" w:cs="Times New Roman"/>
          <w:color w:val="auto"/>
          <w:kern w:val="0"/>
          <w:sz w:val="21"/>
          <w:szCs w:val="21"/>
          <w:lang w:val="en-US" w:eastAsia="zh-CN" w:bidi="ar-SA"/>
        </w:rPr>
        <w:t>贷款渠道和提供贷款的金融机构，可在河南省政府采购网“河南省政府采购合同融资平台”或洛阳市政府采购网“政府采购合同融资业务入口”查询联系。</w:t>
      </w:r>
    </w:p>
    <w:p>
      <w:pPr>
        <w:jc w:val="left"/>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eastAsia="zh-CN"/>
        </w:rPr>
        <w:br w:type="page"/>
      </w:r>
      <w:r>
        <w:rPr>
          <w:rFonts w:hint="eastAsia" w:ascii="宋体" w:hAnsi="宋体" w:eastAsia="宋体" w:cs="宋体"/>
          <w:b/>
          <w:bCs/>
          <w:color w:val="auto"/>
          <w:sz w:val="21"/>
          <w:szCs w:val="21"/>
          <w:highlight w:val="none"/>
          <w:lang w:eastAsia="zh-CN"/>
        </w:rPr>
        <w:t>附</w:t>
      </w:r>
      <w:r>
        <w:rPr>
          <w:rFonts w:hint="eastAsia" w:ascii="宋体" w:hAnsi="宋体" w:eastAsia="宋体" w:cs="宋体"/>
          <w:b/>
          <w:bCs/>
          <w:color w:val="auto"/>
          <w:sz w:val="21"/>
          <w:szCs w:val="21"/>
          <w:highlight w:val="none"/>
          <w:lang w:val="en-US" w:eastAsia="zh-CN"/>
        </w:rPr>
        <w:t xml:space="preserve">                          </w:t>
      </w:r>
    </w:p>
    <w:p>
      <w:pPr>
        <w:ind w:left="0" w:leftChars="0" w:right="0" w:righ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郑州银行股份有限公司洛阳分行政府采购融资贷</w:t>
      </w: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联系方式及融资产品介绍</w:t>
      </w:r>
    </w:p>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一、联系方式：</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w:t>
            </w:r>
          </w:p>
        </w:tc>
        <w:tc>
          <w:tcPr>
            <w:tcW w:w="2130"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职务</w:t>
            </w:r>
          </w:p>
        </w:tc>
        <w:tc>
          <w:tcPr>
            <w:tcW w:w="2131"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p>
        </w:tc>
        <w:tc>
          <w:tcPr>
            <w:tcW w:w="2131"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2130"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王剑</w:t>
            </w:r>
          </w:p>
        </w:tc>
        <w:tc>
          <w:tcPr>
            <w:tcW w:w="2130"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主任</w:t>
            </w:r>
          </w:p>
        </w:tc>
        <w:tc>
          <w:tcPr>
            <w:tcW w:w="2131" w:type="dxa"/>
            <w:vMerge w:val="restart"/>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洛阳市洛龙区关林路与厚载门街交叉口隆安大厦</w:t>
            </w:r>
          </w:p>
        </w:tc>
        <w:tc>
          <w:tcPr>
            <w:tcW w:w="2131"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13838808890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130"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杨洋</w:t>
            </w:r>
          </w:p>
        </w:tc>
        <w:tc>
          <w:tcPr>
            <w:tcW w:w="2130"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业务负责人</w:t>
            </w:r>
          </w:p>
        </w:tc>
        <w:tc>
          <w:tcPr>
            <w:tcW w:w="2131" w:type="dxa"/>
            <w:vMerge w:val="continue"/>
            <w:noWrap w:val="0"/>
            <w:vAlign w:val="top"/>
          </w:tcPr>
          <w:p>
            <w:pPr>
              <w:jc w:val="left"/>
              <w:rPr>
                <w:rFonts w:hint="eastAsia" w:ascii="宋体" w:hAnsi="宋体" w:eastAsia="宋体" w:cs="宋体"/>
                <w:color w:val="auto"/>
                <w:sz w:val="21"/>
                <w:szCs w:val="21"/>
                <w:highlight w:val="none"/>
              </w:rPr>
            </w:pPr>
          </w:p>
        </w:tc>
        <w:tc>
          <w:tcPr>
            <w:tcW w:w="2131"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15896531927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周宜辉</w:t>
            </w:r>
          </w:p>
        </w:tc>
        <w:tc>
          <w:tcPr>
            <w:tcW w:w="2130"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客户经理</w:t>
            </w:r>
          </w:p>
        </w:tc>
        <w:tc>
          <w:tcPr>
            <w:tcW w:w="2131" w:type="dxa"/>
            <w:vMerge w:val="continue"/>
            <w:noWrap w:val="0"/>
            <w:vAlign w:val="top"/>
          </w:tcPr>
          <w:p>
            <w:pPr>
              <w:jc w:val="left"/>
              <w:rPr>
                <w:rFonts w:hint="eastAsia" w:ascii="宋体" w:hAnsi="宋体" w:eastAsia="宋体" w:cs="宋体"/>
                <w:color w:val="auto"/>
                <w:sz w:val="21"/>
                <w:szCs w:val="21"/>
                <w:highlight w:val="none"/>
              </w:rPr>
            </w:pPr>
          </w:p>
        </w:tc>
        <w:tc>
          <w:tcPr>
            <w:tcW w:w="2131" w:type="dxa"/>
            <w:noWrap w:val="0"/>
            <w:vAlign w:val="top"/>
          </w:tcPr>
          <w:p>
            <w:pP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15036316707</w:t>
            </w:r>
          </w:p>
        </w:tc>
      </w:tr>
    </w:tbl>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二、融资产品介绍：</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E采贷”是郑州银行作为参与政府采购的中小企业量身定制的用于政府采购合同履约，并以政府回款为还款来源的贷款产品。该产品主要解决政府采购商中标垫资的痛点，帮助中标企业快速、高效、便捷获取银行资金。告别采购融资难，政府中标即可贷。优先支持纳入省市级财政预算的服务贸易类行业企业。</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“E采贷”五大特点</w:t>
      </w:r>
      <w:r>
        <w:rPr>
          <w:rFonts w:hint="eastAsia" w:ascii="宋体" w:hAnsi="宋体" w:eastAsia="宋体" w:cs="宋体"/>
          <w:color w:val="auto"/>
          <w:sz w:val="21"/>
          <w:szCs w:val="21"/>
          <w:highlight w:val="none"/>
        </w:rPr>
        <w:t>：1.纯信用：无需抵押、担保；2.更灵活：随借随还，按需支用；3.额度高：最高为上年度中标额的1.3倍，单笔最高1000万元；4.适用广：在河南省政府采购网（www.hngp.gov.cn）有备案信息即可准入；5.效率高：绿色通道，保证时效。</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业务流程</w:t>
      </w:r>
      <w:r>
        <w:rPr>
          <w:rFonts w:hint="eastAsia" w:ascii="宋体" w:hAnsi="宋体" w:eastAsia="宋体" w:cs="宋体"/>
          <w:color w:val="auto"/>
          <w:sz w:val="21"/>
          <w:szCs w:val="21"/>
          <w:highlight w:val="none"/>
        </w:rPr>
        <w:t>：</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1.企业申请：凭政府采购中标通知书，向郑州银行提出授信申请。</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2.银行审批：客户经理现场调查，3个工作日反馈审批结果。</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3.企业提款：凭政府采购合同、购销合同等即可提款使用。</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利率及优惠政策</w:t>
      </w:r>
      <w:r>
        <w:rPr>
          <w:rFonts w:hint="eastAsia" w:ascii="宋体" w:hAnsi="宋体" w:eastAsia="宋体" w:cs="宋体"/>
          <w:color w:val="auto"/>
          <w:sz w:val="21"/>
          <w:szCs w:val="21"/>
          <w:highlight w:val="none"/>
        </w:rPr>
        <w:t>：</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贸易类不低于5.5%，工程类不低于6.5%，对符合条件的小微企业实行减费让利政策，减少客户融资成本（不存在与贷款捆绑强制收费；只收费不服务；超范围、超标准收费；转嫁成本收费；不执行政府指导价、政府定价等提升企业贷款成本的现象）着力解决小微企业“融资难”、“融资贵”的问题帮助客户更好成长。分行所有收费项目均严格根据监管部门和总行要求执行，我行对银行账户一律免收账户管理费。</w:t>
      </w: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中国银行股份有限公司河南省分行普惠金融</w:t>
      </w: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政采通宝业务服务方案</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准入标准:</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1.持续经营2年（含）以上。</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2.客户持有政府采购中标通知书（或以往年度有执行政府采购的记录），且政府采购业务无行政处罚记录。</w:t>
      </w:r>
      <w:r>
        <w:rPr>
          <w:rFonts w:hint="eastAsia" w:ascii="宋体" w:hAnsi="宋体" w:eastAsia="宋体" w:cs="宋体"/>
          <w:color w:val="auto"/>
          <w:sz w:val="21"/>
          <w:szCs w:val="21"/>
          <w:highlight w:val="none"/>
        </w:rPr>
        <w:cr/>
      </w:r>
      <w:r>
        <w:rPr>
          <w:rFonts w:hint="eastAsia" w:ascii="宋体" w:hAnsi="宋体" w:eastAsia="宋体" w:cs="宋体"/>
          <w:color w:val="auto"/>
          <w:sz w:val="21"/>
          <w:szCs w:val="21"/>
          <w:highlight w:val="none"/>
        </w:rPr>
        <w:t xml:space="preserve">    3.最近年度纳税申报收入不低于200万元。   </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4.借款人及其法人代表、实际控制人信用良好。</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5、单一客户“政采贷”授信总量最高金额不超过1000万元</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6、单笔贷款期限不超过一年。</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7、根据借款人生产经营及回款周期等特点，可采用按季付息，到期一次还本的还款方式，或分期偿还我行授信。</w:t>
      </w:r>
    </w:p>
    <w:p>
      <w:pPr>
        <w:ind w:firstLine="6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中国银行联系人：</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负责人：朱宗沛  15978695077</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信贷经理：印晨  15038659275</w:t>
      </w:r>
    </w:p>
    <w:p>
      <w:pPr>
        <w:pStyle w:val="68"/>
        <w:shd w:val="clear" w:color="FFFFFF" w:fill="FFFFFF"/>
        <w:spacing w:after="0" w:afterLines="0" w:line="560" w:lineRule="exact"/>
        <w:ind w:firstLine="0"/>
        <w:jc w:val="center"/>
        <w:rPr>
          <w:rFonts w:hint="eastAsia" w:ascii="宋体" w:hAnsi="宋体" w:eastAsia="宋体" w:cs="宋体"/>
          <w:color w:val="auto"/>
          <w:sz w:val="21"/>
          <w:szCs w:val="21"/>
          <w:highlight w:val="none"/>
        </w:rPr>
      </w:pP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平顶山银行洛阳分行</w:t>
      </w:r>
    </w:p>
    <w:p>
      <w:pPr>
        <w:jc w:val="cente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政府采购融资联系方式及产品介绍</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一、联系方式</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机构名称：平顶山银行洛阳分行</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联系人：刘亚兴</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联系电话：13837937717（微信同号）</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二、产品介绍</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“银政易贷”是指平顶山银行针对中标政府采购合同的企业实际控制人发放的，专项用于履行政府采购合同的个人贷款业务。 </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1、目标客户：中标优质县区或区级（含）以上政府采购合同的企业实际控制人</w:t>
      </w:r>
    </w:p>
    <w:p>
      <w:pPr>
        <w:ind w:firstLine="600"/>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2、采购合同项目：包括货物类，服务类和工程类等</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3、贷款额度：最高500万元（含）    </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4、借款期限：不超过2年（参考中标合同约定付款期限）</w:t>
      </w:r>
    </w:p>
    <w:p>
      <w:pPr>
        <w:ind w:firstLine="6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5、贷款利率：综合年利率不低于7%</w:t>
      </w:r>
    </w:p>
    <w:p>
      <w:pPr>
        <w:ind w:firstLine="600"/>
        <w:jc w:val="left"/>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6、还款方式：按月付息，到期一次性还本或根据客户实际经营情况不规则还款</w:t>
      </w: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恒丰银行政府采购融资贷联系方式</w:t>
      </w: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及融资产品介绍</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一、联系方式</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896"/>
        <w:gridCol w:w="2114"/>
        <w:gridCol w:w="1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w:t>
            </w:r>
          </w:p>
        </w:tc>
        <w:tc>
          <w:tcPr>
            <w:tcW w:w="170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职务</w:t>
            </w:r>
          </w:p>
        </w:tc>
        <w:tc>
          <w:tcPr>
            <w:tcW w:w="1896"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p>
        </w:tc>
        <w:tc>
          <w:tcPr>
            <w:tcW w:w="211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p>
        </w:tc>
        <w:tc>
          <w:tcPr>
            <w:tcW w:w="110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张龙妹</w:t>
            </w:r>
          </w:p>
        </w:tc>
        <w:tc>
          <w:tcPr>
            <w:tcW w:w="170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客户经理</w:t>
            </w:r>
          </w:p>
        </w:tc>
        <w:tc>
          <w:tcPr>
            <w:tcW w:w="1896" w:type="dxa"/>
            <w:vMerge w:val="restart"/>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洛龙区展览路泉舜186西侧裙楼</w:t>
            </w:r>
          </w:p>
        </w:tc>
        <w:tc>
          <w:tcPr>
            <w:tcW w:w="211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18538882575</w:t>
            </w:r>
          </w:p>
        </w:tc>
        <w:tc>
          <w:tcPr>
            <w:tcW w:w="1104" w:type="dxa"/>
            <w:noWrap w:val="0"/>
            <w:vAlign w:val="center"/>
          </w:tcPr>
          <w:p>
            <w:pPr>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张浩</w:t>
            </w:r>
          </w:p>
        </w:tc>
        <w:tc>
          <w:tcPr>
            <w:tcW w:w="170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公司金融部负责人</w:t>
            </w:r>
          </w:p>
        </w:tc>
        <w:tc>
          <w:tcPr>
            <w:tcW w:w="1896" w:type="dxa"/>
            <w:vMerge w:val="continue"/>
            <w:noWrap w:val="0"/>
            <w:vAlign w:val="center"/>
          </w:tcPr>
          <w:p>
            <w:pPr>
              <w:jc w:val="center"/>
              <w:rPr>
                <w:rFonts w:hint="eastAsia" w:ascii="宋体" w:hAnsi="宋体" w:eastAsia="宋体" w:cs="宋体"/>
                <w:color w:val="auto"/>
                <w:sz w:val="21"/>
                <w:szCs w:val="21"/>
                <w:highlight w:val="none"/>
              </w:rPr>
            </w:pPr>
          </w:p>
        </w:tc>
        <w:tc>
          <w:tcPr>
            <w:tcW w:w="211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18937966885</w:t>
            </w:r>
          </w:p>
        </w:tc>
        <w:tc>
          <w:tcPr>
            <w:tcW w:w="1104" w:type="dxa"/>
            <w:noWrap w:val="0"/>
            <w:vAlign w:val="center"/>
          </w:tcPr>
          <w:p>
            <w:pPr>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裴绍辉</w:t>
            </w:r>
          </w:p>
        </w:tc>
        <w:tc>
          <w:tcPr>
            <w:tcW w:w="170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分管行长</w:t>
            </w:r>
          </w:p>
        </w:tc>
        <w:tc>
          <w:tcPr>
            <w:tcW w:w="1896" w:type="dxa"/>
            <w:vMerge w:val="continue"/>
            <w:noWrap w:val="0"/>
            <w:vAlign w:val="center"/>
          </w:tcPr>
          <w:p>
            <w:pPr>
              <w:jc w:val="center"/>
              <w:rPr>
                <w:rFonts w:hint="eastAsia" w:ascii="宋体" w:hAnsi="宋体" w:eastAsia="宋体" w:cs="宋体"/>
                <w:color w:val="auto"/>
                <w:sz w:val="21"/>
                <w:szCs w:val="21"/>
                <w:highlight w:val="none"/>
              </w:rPr>
            </w:pPr>
          </w:p>
        </w:tc>
        <w:tc>
          <w:tcPr>
            <w:tcW w:w="2114"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18637904888</w:t>
            </w:r>
          </w:p>
        </w:tc>
        <w:tc>
          <w:tcPr>
            <w:tcW w:w="1104" w:type="dxa"/>
            <w:noWrap w:val="0"/>
            <w:vAlign w:val="center"/>
          </w:tcPr>
          <w:p>
            <w:pPr>
              <w:jc w:val="center"/>
              <w:rPr>
                <w:rFonts w:hint="eastAsia" w:ascii="宋体" w:hAnsi="宋体" w:eastAsia="宋体" w:cs="宋体"/>
                <w:color w:val="auto"/>
                <w:sz w:val="21"/>
                <w:szCs w:val="21"/>
                <w:highlight w:val="none"/>
              </w:rPr>
            </w:pPr>
          </w:p>
        </w:tc>
      </w:tr>
    </w:tbl>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二、融资产品介绍</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1.恒丰银行“政采云贷”</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针对政府采购项目中标小微客户在线发放用于采购项目（不包括工程项目）资金周转需要的流动资金贷款。</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担保方式：免抵押、无担保，开立指定回款账户</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授信额度：单户授信最高不超过1000万元</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授信期限：不超过一年，贷款到期日不晚于政府中标合同约定款日后的十个工作日</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还款方式：按月付息，到期还本或阶段性还款</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2.准入标准</w:t>
      </w:r>
    </w:p>
    <w:p>
      <w:pPr>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（1）企业成立一年以上，有洛阳市固定经营场所；企业实际控制人有两年以上行业从业经验。</w:t>
      </w:r>
    </w:p>
    <w:p>
      <w:pPr>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（2）企业及其实际控制人信誉良好，合法经营，无不良记录，无恶意违约记录。</w:t>
      </w:r>
    </w:p>
    <w:p>
      <w:pPr>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（3）我行信用评级结果在B3三级以上。</w:t>
      </w:r>
    </w:p>
    <w:p>
      <w:pPr>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（4）</w:t>
      </w:r>
      <w:r>
        <w:rPr>
          <w:rFonts w:hint="eastAsia" w:ascii="宋体" w:hAnsi="宋体" w:eastAsia="宋体" w:cs="宋体"/>
          <w:color w:val="auto"/>
          <w:sz w:val="21"/>
          <w:szCs w:val="21"/>
          <w:highlight w:val="none"/>
        </w:rPr>
        <w:t>企业名下现有贷款合计不超过上年度总收入的45%。</w:t>
      </w:r>
    </w:p>
    <w:p>
      <w:pPr>
        <w:spacing w:line="360" w:lineRule="auto"/>
        <w:ind w:firstLine="420" w:firstLineChars="200"/>
        <w:jc w:val="left"/>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（5）近两年有两次含以上政府中标记录，且供货履约情况良好。</w:t>
      </w: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兴业银行洛阳分行</w:t>
      </w: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政府采购融资联系方式及产品介绍</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分管领导：樊博（副行长、18638805299）；信贷经理：尚梅（市场营销部负责人、15538855595）；具体联系人：张海峰（产品经理、18603794400）</w:t>
      </w:r>
    </w:p>
    <w:p>
      <w:pPr>
        <w:numPr>
          <w:ilvl w:val="0"/>
          <w:numId w:val="15"/>
        </w:num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产品介绍</w:t>
      </w:r>
    </w:p>
    <w:p>
      <w:pPr>
        <w:numPr>
          <w:ilvl w:val="0"/>
          <w:numId w:val="15"/>
        </w:num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授信额度：最高不超过500万元（含）。</w:t>
      </w:r>
    </w:p>
    <w:p>
      <w:pPr>
        <w:numPr>
          <w:ilvl w:val="0"/>
          <w:numId w:val="15"/>
        </w:num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期限：主体授信额度有效期不超过1年</w:t>
      </w:r>
    </w:p>
    <w:p>
      <w:pPr>
        <w:numPr>
          <w:ilvl w:val="0"/>
          <w:numId w:val="15"/>
        </w:num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利率：自动生成贷款利率。</w:t>
      </w:r>
    </w:p>
    <w:p>
      <w:pPr>
        <w:numPr>
          <w:ilvl w:val="0"/>
          <w:numId w:val="15"/>
        </w:num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用途：贷款资金专项用于借款企业履行政府交易采购平台采购合同或订单所需的各类成本、费用及劳务支出等短期流动资金需求和日常经营周转需要。</w:t>
      </w:r>
    </w:p>
    <w:p>
      <w:pPr>
        <w:numPr>
          <w:ilvl w:val="0"/>
          <w:numId w:val="15"/>
        </w:num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担保方式：企业主个人提供连带责任保证，追加采购合同或订单对应的应收账款质押。</w:t>
      </w:r>
    </w:p>
    <w:p>
      <w:pPr>
        <w:numPr>
          <w:ilvl w:val="0"/>
          <w:numId w:val="15"/>
        </w:num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支付方式：采用受托支付方式</w:t>
      </w:r>
    </w:p>
    <w:p>
      <w:pPr>
        <w:numPr>
          <w:ilvl w:val="0"/>
          <w:numId w:val="15"/>
        </w:num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还款方式：按月付息，本金可结合采购合同或订单情况及实际资金需求循环使用，采购合同或订单项下回款由系统自动扣划归还对应的贷款本息，借款企业也可自助提前还款。</w:t>
      </w:r>
    </w:p>
    <w:p>
      <w:pPr>
        <w:spacing w:line="590" w:lineRule="exact"/>
        <w:ind w:firstLine="422" w:firstLine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工商银行洛阳分行“政采贷”产品</w:t>
      </w:r>
    </w:p>
    <w:p>
      <w:pPr>
        <w:widowControl/>
        <w:ind w:firstLine="422" w:firstLine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工商银行“政采贷”简介：</w:t>
      </w:r>
    </w:p>
    <w:p>
      <w:pPr>
        <w:widowControl/>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“政采贷”是工行与政府采购数据进行系统对接，根据获取包括但不限于供应商中标、采购合同、收验货、付款以及历史交易数据等信息，为政府供应商提供的融资贷款金融服务。</w:t>
      </w:r>
    </w:p>
    <w:p>
      <w:pPr>
        <w:widowControl/>
        <w:numPr>
          <w:ilvl w:val="0"/>
          <w:numId w:val="16"/>
        </w:numPr>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适用范围：供应商目前仅限于小微企业，后续将结合市场需要，适时拓展至大中型企业。</w:t>
      </w:r>
    </w:p>
    <w:p>
      <w:pPr>
        <w:widowControl/>
        <w:numPr>
          <w:ilvl w:val="0"/>
          <w:numId w:val="16"/>
        </w:numPr>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融资额度：供应商融资最高不超过订单金额70%。</w:t>
      </w:r>
    </w:p>
    <w:p>
      <w:pPr>
        <w:widowControl/>
        <w:numPr>
          <w:ilvl w:val="0"/>
          <w:numId w:val="16"/>
        </w:numPr>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贷款期限：根据政府采购合同等内容确定贷款期限，最长可以5年。</w:t>
      </w:r>
    </w:p>
    <w:p>
      <w:pPr>
        <w:widowControl/>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4、贷款利率：融资利率参考最近市场利率（LPR）合理确定。</w:t>
      </w:r>
    </w:p>
    <w:p>
      <w:pPr>
        <w:widowControl/>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5、办理手续：</w:t>
      </w:r>
      <w:r>
        <w:rPr>
          <w:rFonts w:hint="eastAsia" w:ascii="宋体" w:hAnsi="宋体" w:eastAsia="宋体" w:cs="宋体"/>
          <w:color w:val="auto"/>
          <w:sz w:val="21"/>
          <w:szCs w:val="21"/>
          <w:highlight w:val="none"/>
        </w:rPr>
        <w:sym w:font="Wingdings" w:char="F081"/>
      </w:r>
      <w:r>
        <w:rPr>
          <w:rFonts w:hint="eastAsia" w:ascii="宋体" w:hAnsi="宋体" w:eastAsia="宋体" w:cs="宋体"/>
          <w:color w:val="auto"/>
          <w:sz w:val="21"/>
          <w:szCs w:val="21"/>
          <w:highlight w:val="none"/>
        </w:rPr>
        <w:t>供应商与工行取得联系，开立账户，开通网上银行。</w:t>
      </w:r>
      <w:r>
        <w:rPr>
          <w:rFonts w:hint="eastAsia" w:ascii="宋体" w:hAnsi="宋体" w:eastAsia="宋体" w:cs="宋体"/>
          <w:color w:val="auto"/>
          <w:sz w:val="21"/>
          <w:szCs w:val="21"/>
          <w:highlight w:val="none"/>
        </w:rPr>
        <w:sym w:font="Wingdings" w:char="F082"/>
      </w:r>
      <w:r>
        <w:rPr>
          <w:rFonts w:hint="eastAsia" w:ascii="宋体" w:hAnsi="宋体" w:eastAsia="宋体" w:cs="宋体"/>
          <w:color w:val="auto"/>
          <w:sz w:val="21"/>
          <w:szCs w:val="21"/>
          <w:highlight w:val="none"/>
        </w:rPr>
        <w:t>与工行经办人员线下沟通确定融资金额，通过工行网上银行自助申请贷款金额。</w:t>
      </w:r>
      <w:r>
        <w:rPr>
          <w:rFonts w:hint="eastAsia" w:ascii="宋体" w:hAnsi="宋体" w:eastAsia="宋体" w:cs="宋体"/>
          <w:color w:val="auto"/>
          <w:sz w:val="21"/>
          <w:szCs w:val="21"/>
          <w:highlight w:val="none"/>
        </w:rPr>
        <w:sym w:font="Wingdings" w:char="F083"/>
      </w:r>
      <w:r>
        <w:rPr>
          <w:rFonts w:hint="eastAsia" w:ascii="宋体" w:hAnsi="宋体" w:eastAsia="宋体" w:cs="宋体"/>
          <w:color w:val="auto"/>
          <w:sz w:val="21"/>
          <w:szCs w:val="21"/>
          <w:highlight w:val="none"/>
        </w:rPr>
        <w:t>工行进行贷款指令确定，贷款线上发放至供应商工行账户。</w:t>
      </w:r>
    </w:p>
    <w:p>
      <w:pPr>
        <w:widowControl/>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分管领导：李亚琼：16603797557</w:t>
      </w:r>
    </w:p>
    <w:p>
      <w:pPr>
        <w:widowControl/>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李若明：13233995266</w:t>
      </w:r>
    </w:p>
    <w:p>
      <w:pPr>
        <w:widowControl/>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信贷经理：朱建国：13653893229</w:t>
      </w:r>
    </w:p>
    <w:p>
      <w:pPr>
        <w:widowControl/>
        <w:ind w:firstLine="420" w:firstLineChars="200"/>
        <w:jc w:val="left"/>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 xml:space="preserve">          张佩兰：15603799799</w:t>
      </w:r>
    </w:p>
    <w:p>
      <w:pPr>
        <w:jc w:val="center"/>
        <w:rPr>
          <w:rFonts w:hint="eastAsia" w:ascii="宋体" w:hAnsi="宋体" w:eastAsia="宋体" w:cs="宋体"/>
          <w:b/>
          <w:color w:val="auto"/>
          <w:sz w:val="21"/>
          <w:szCs w:val="21"/>
          <w:highlight w:val="none"/>
        </w:rPr>
      </w:pPr>
    </w:p>
    <w:p>
      <w:pPr>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平安银行“政采E贷”产品介绍</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平安银行“政采E贷”是平安银行与采购中心对接后，基于互联网技术、政府采购数据等信息，为中标政府采购项目的企业提供的互联网信用贷款。</w:t>
      </w:r>
    </w:p>
    <w:p>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产品优势：</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1、额度高：线上最高500万元。</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2、申请易：5分钟完成线上申请。</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3、用款快：凭订单最快1天生效。</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4、纯信用：凭政府中标订单即可融资。</w:t>
      </w:r>
    </w:p>
    <w:p>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产品申请资格： </w:t>
      </w:r>
    </w:p>
    <w:p>
      <w:pPr>
        <w:numPr>
          <w:ilvl w:val="0"/>
          <w:numId w:val="17"/>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我行白名单财政项下的政府采购项目融资。</w:t>
      </w:r>
    </w:p>
    <w:p>
      <w:pPr>
        <w:numPr>
          <w:ilvl w:val="0"/>
          <w:numId w:val="17"/>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有历史中标采购记录的政府采购供应商。</w:t>
      </w:r>
    </w:p>
    <w:p>
      <w:pPr>
        <w:numPr>
          <w:ilvl w:val="0"/>
          <w:numId w:val="17"/>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企业及申请人信用良好。</w:t>
      </w:r>
    </w:p>
    <w:p>
      <w:pP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期限、利率和还款方式： </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期限：1个月到1年。</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还款方式 ：先息后本、等额本息、等额本金。</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利率：年化利率低至6% 。</w:t>
      </w:r>
    </w:p>
    <w:p>
      <w:pPr>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举例1：</w:t>
      </w:r>
      <w:r>
        <w:rPr>
          <w:rFonts w:hint="eastAsia" w:ascii="宋体" w:hAnsi="宋体" w:eastAsia="宋体" w:cs="宋体"/>
          <w:color w:val="auto"/>
          <w:sz w:val="21"/>
          <w:szCs w:val="21"/>
          <w:highlight w:val="none"/>
        </w:rPr>
        <w:t>贷款100万元，3个月（先息后本，利率6%），前两个月需要支付利息5000元/月，到期还本付息。</w:t>
      </w:r>
    </w:p>
    <w:p>
      <w:pPr>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举例2：</w:t>
      </w:r>
      <w:r>
        <w:rPr>
          <w:rFonts w:hint="eastAsia" w:ascii="宋体" w:hAnsi="宋体" w:eastAsia="宋体" w:cs="宋体"/>
          <w:color w:val="auto"/>
          <w:sz w:val="21"/>
          <w:szCs w:val="21"/>
          <w:highlight w:val="none"/>
        </w:rPr>
        <w:t>贷款100万元，1年期限（等额本息，利率6%），每个月需要支付本息约86035元。</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平安银行洛阳分行联系人：</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总经理：    王煜    13523601120</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业务经理：  许洛周  13938876588</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业务负责人：许洛周  13938876588</w:t>
      </w:r>
    </w:p>
    <w:p>
      <w:pPr>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浙商银行“政采贷”</w:t>
      </w:r>
    </w:p>
    <w:p>
      <w:pPr>
        <w:pStyle w:val="69"/>
        <w:spacing w:line="600" w:lineRule="exac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一、贷款产品介绍</w:t>
      </w:r>
    </w:p>
    <w:p>
      <w:pPr>
        <w:pStyle w:val="69"/>
        <w:spacing w:line="600" w:lineRule="exact"/>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政采贷”是本行为在政府机关、事业单位、社会团体、国有企业等招标进行的采购活动中中标并签订采购合同的小微企业发放的，以采购人合同款支付作为还款来源的流动资金贷款。借款人为符合本行标准的小型、微型企业。融资模式包括采购合同融资模式与应收账款融资模式。采购项目包括货物类、服务类和部分工程类。</w:t>
      </w:r>
    </w:p>
    <w:p>
      <w:pPr>
        <w:pStyle w:val="69"/>
        <w:spacing w:line="600" w:lineRule="exac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二、适用对象                            </w:t>
      </w:r>
    </w:p>
    <w:p>
      <w:pPr>
        <w:pStyle w:val="69"/>
        <w:spacing w:line="600" w:lineRule="exact"/>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连续经营 2 年及以上或实际控制人有 3 年及以上相关行业从业经验经营状况良好，信用记录良好小微企业。</w:t>
      </w:r>
    </w:p>
    <w:p>
      <w:pPr>
        <w:pStyle w:val="69"/>
        <w:spacing w:line="600" w:lineRule="exac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三、贷款期限</w:t>
      </w:r>
    </w:p>
    <w:p>
      <w:pPr>
        <w:pStyle w:val="69"/>
        <w:spacing w:line="600" w:lineRule="exact"/>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贷款期限：货物类、服务类利率最长一年，工程类最长可做三年。</w:t>
      </w:r>
    </w:p>
    <w:p>
      <w:pPr>
        <w:pStyle w:val="69"/>
        <w:spacing w:line="600" w:lineRule="exact"/>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四、产品特点</w:t>
      </w:r>
    </w:p>
    <w:p>
      <w:pPr>
        <w:pStyle w:val="69"/>
        <w:spacing w:line="600" w:lineRule="exact"/>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中标即贷，最高可贷1000万，最快三天审批放款，可做工程类项目。</w:t>
      </w:r>
    </w:p>
    <w:p>
      <w:pPr>
        <w:pStyle w:val="69"/>
        <w:spacing w:line="600" w:lineRule="exact"/>
        <w:ind w:firstLine="643"/>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 xml:space="preserve">分管领导：张庆浩   联系电话： 18538198600  </w:t>
      </w:r>
    </w:p>
    <w:p>
      <w:pPr>
        <w:spacing w:line="600" w:lineRule="exact"/>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信贷经理：郭利波   联系电话：15937918530    具体负责人：李超峰  联系电话：15538530</w:t>
      </w:r>
    </w:p>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广发银行“政采贷”</w:t>
      </w:r>
    </w:p>
    <w:p>
      <w:pPr>
        <w:numPr>
          <w:ilvl w:val="0"/>
          <w:numId w:val="18"/>
        </w:numP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广发银行“政采贷”</w:t>
      </w:r>
    </w:p>
    <w:p>
      <w:pPr>
        <w:numPr>
          <w:ilvl w:val="0"/>
          <w:numId w:val="19"/>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对象：针对政府采购平台内资信情况良好、经营正常的中小微企业供应商提供原材料购买、组织生产、货物运输等流动资金授信服务。</w:t>
      </w:r>
    </w:p>
    <w:p>
      <w:pPr>
        <w:numPr>
          <w:ilvl w:val="0"/>
          <w:numId w:val="19"/>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担保方式：以政府采购项目下的应收账款质押；企业实际控制人及主要个人股东提供连带责任保证担保</w:t>
      </w:r>
    </w:p>
    <w:p>
      <w:pPr>
        <w:numPr>
          <w:ilvl w:val="0"/>
          <w:numId w:val="19"/>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授信额度：单户敞口授信额度不超过1000万元；单笔采购项目融资不超过有效合同净额的90%</w:t>
      </w:r>
    </w:p>
    <w:p>
      <w:pPr>
        <w:numPr>
          <w:ilvl w:val="0"/>
          <w:numId w:val="19"/>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授信期限：额度有效期一年，授信期限不超过一年且不得超过额度到期日后3个月，不超过采购项目合同约定的最迟付款日后3个月</w:t>
      </w:r>
    </w:p>
    <w:p>
      <w:pPr>
        <w:numPr>
          <w:ilvl w:val="0"/>
          <w:numId w:val="19"/>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还款方式：按月付息，可根据单笔业务实际付款频率和时间点进行还款，不得采取随借随还出账模式，还款方式应与政府采购合同约定的应收账款金额、账期等相匹配。</w:t>
      </w:r>
    </w:p>
    <w:p>
      <w:pPr>
        <w:numPr>
          <w:ilvl w:val="0"/>
          <w:numId w:val="18"/>
        </w:numP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准入标准</w:t>
      </w:r>
    </w:p>
    <w:p>
      <w:pPr>
        <w:numPr>
          <w:ilvl w:val="0"/>
          <w:numId w:val="13"/>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企业成立且持续经营满3年以上，主营业务未有变化，有固定经营场所，且注册地在当地</w:t>
      </w:r>
    </w:p>
    <w:p>
      <w:pPr>
        <w:numPr>
          <w:ilvl w:val="0"/>
          <w:numId w:val="13"/>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政府采购历史超过一年或进入政府采购供应商名单时间超过一年，实际履约不低于一次</w:t>
      </w:r>
    </w:p>
    <w:p>
      <w:pPr>
        <w:numPr>
          <w:ilvl w:val="0"/>
          <w:numId w:val="13"/>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近两年销售收入保持正增长或主营业务利润为正</w:t>
      </w:r>
    </w:p>
    <w:p>
      <w:pPr>
        <w:numPr>
          <w:ilvl w:val="0"/>
          <w:numId w:val="13"/>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资产负债率不超过70%</w:t>
      </w:r>
    </w:p>
    <w:p>
      <w:pPr>
        <w:numPr>
          <w:ilvl w:val="0"/>
          <w:numId w:val="13"/>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在我行评价不低于BB+级</w:t>
      </w:r>
    </w:p>
    <w:p>
      <w:pPr>
        <w:numPr>
          <w:ilvl w:val="0"/>
          <w:numId w:val="13"/>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企业主（含实际控制人、主要股东或配偶）拥有本地户口或房产</w:t>
      </w:r>
    </w:p>
    <w:p>
      <w:pPr>
        <w:numPr>
          <w:ilvl w:val="0"/>
          <w:numId w:val="13"/>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不得介入在金融机构有未结清（互）保类授信（含实际控制人夫妇个人经营性贷款）的企业</w:t>
      </w:r>
    </w:p>
    <w:p>
      <w:pPr>
        <w:numPr>
          <w:ilvl w:val="0"/>
          <w:numId w:val="18"/>
        </w:numP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授信用途</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授信仅限于借款人自身在具体合同项下的原材料采购、组织生产、货物运输等劳动资金需求，不得挪用于担保企业、借款人关联企业、借款人固定资产建设和股本权益类投资</w:t>
      </w:r>
    </w:p>
    <w:p>
      <w:pPr>
        <w:numPr>
          <w:ilvl w:val="0"/>
          <w:numId w:val="18"/>
        </w:numP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业务流程</w:t>
      </w:r>
    </w:p>
    <w:p>
      <w:pPr>
        <w:numPr>
          <w:ilvl w:val="0"/>
          <w:numId w:val="11"/>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业务访谈，确定贸易真实性</w:t>
      </w:r>
    </w:p>
    <w:p>
      <w:pPr>
        <w:numPr>
          <w:ilvl w:val="0"/>
          <w:numId w:val="11"/>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授信申请，企业按照我行授信调查的相关规定提供申请资料</w:t>
      </w:r>
    </w:p>
    <w:p>
      <w:pPr>
        <w:numPr>
          <w:ilvl w:val="0"/>
          <w:numId w:val="11"/>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授信调查与额度核定，客户经理双人调查，发起客户评级，并按流程提交审批</w:t>
      </w:r>
    </w:p>
    <w:p>
      <w:pPr>
        <w:numPr>
          <w:ilvl w:val="0"/>
          <w:numId w:val="11"/>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授信审查审批</w:t>
      </w:r>
    </w:p>
    <w:p>
      <w:pPr>
        <w:numPr>
          <w:ilvl w:val="0"/>
          <w:numId w:val="11"/>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按照要求出账</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主管行长：李文强  18137865269</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具体负责人：    何俊杰  13838894026</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信贷经理：      姜晓凤  15103799119</w:t>
      </w:r>
    </w:p>
    <w:p>
      <w:pPr>
        <w:jc w:val="center"/>
        <w:rPr>
          <w:rFonts w:hint="eastAsia" w:ascii="宋体" w:hAnsi="宋体" w:eastAsia="宋体" w:cs="宋体"/>
          <w:color w:val="auto"/>
          <w:sz w:val="21"/>
          <w:szCs w:val="21"/>
          <w:highlight w:val="none"/>
        </w:rPr>
      </w:pPr>
    </w:p>
    <w:p>
      <w:pPr>
        <w:jc w:val="center"/>
        <w:rPr>
          <w:rFonts w:hint="eastAsia" w:ascii="宋体" w:hAnsi="宋体" w:eastAsia="宋体" w:cs="宋体"/>
          <w:color w:val="auto"/>
          <w:sz w:val="21"/>
          <w:szCs w:val="21"/>
          <w:highlight w:val="none"/>
        </w:rPr>
      </w:pP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中信银行洛阳分行”政采贷”</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一、产品释义</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“政采贷”是中信银行为政府采购中标小微企业提供的特色融资业务，致力于解决政府采购上游供应商的融资难题。</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二、产品特点</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授信额度高、授信期限长、担保方式活</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三、产品内容</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金额最高1000万元（含）、贷款期限最长1年（含）、无需抵质押物</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四、申请基本条件</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有固定的经营场所</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信用记录良好，无不良、违法行为；</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持续经营6个月（含）以上或实际控制人从业2年以上</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从事政府采购活动1年以上；</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具备政府采购投标资格且交易记录良好</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采购项目符合国家产业政策和资源环保政策要求</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五、申请资料</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营业执照；实际控制人身份证件；经营情况资料；从事政府采购活动资料；近一年政府采购回款的银行流水</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b/>
          <w:color w:val="auto"/>
          <w:kern w:val="0"/>
          <w:sz w:val="21"/>
          <w:szCs w:val="21"/>
          <w:highlight w:val="none"/>
        </w:rPr>
        <w:t>中信银行洛阳分行”政采贷”联系人：</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高晋卿   洛阳分行副行长 18637127868</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闫恺      洛阳分行普惠金融部总经理 15837959999</w:t>
      </w:r>
    </w:p>
    <w:p>
      <w:pPr>
        <w:widowControl/>
        <w:spacing w:line="600" w:lineRule="exact"/>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陈幽静   洛阳分行普惠金融部信贷经理  15838817353</w:t>
      </w:r>
    </w:p>
    <w:p>
      <w:pPr>
        <w:widowControl/>
        <w:jc w:val="left"/>
        <w:rPr>
          <w:rFonts w:hint="eastAsia" w:ascii="宋体" w:hAnsi="宋体" w:eastAsia="宋体" w:cs="宋体"/>
          <w:color w:val="auto"/>
          <w:sz w:val="21"/>
          <w:szCs w:val="21"/>
          <w:highlight w:val="none"/>
        </w:rPr>
      </w:pPr>
    </w:p>
    <w:p>
      <w:pPr>
        <w:jc w:val="cente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洛阳银行“政采贷”</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（一）资料清单</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1、借款人依法成立并有效存续的相关材料；</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2、经政府采购项目中标的证明材料；</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3、以往参加政府采购项目的履约情况；</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4、其他洛阳银行认为需要提供的资料。</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（二）授信要素</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1、贷款额度：</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原则上不超过政府采购合同金额的70%。</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2、期限与还款方式：</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与政府采购合同中约定的结算周期、付款方式等相匹配。</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3、担保方式：</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法定代表人、实际控制人提供连带责任保证，放款前完成应收账款质押登记手续。</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（三）联系方式</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分管领导：陈经理 15837979663</w:t>
      </w:r>
    </w:p>
    <w:p>
      <w:pPr>
        <w:widowControl/>
        <w:spacing w:line="600" w:lineRule="exact"/>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信贷经理、具体负责人：任经理 18738439998</w:t>
      </w: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邮储银行政采贷</w:t>
      </w:r>
    </w:p>
    <w:p>
      <w:pPr>
        <w:spacing w:line="6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贷款对象：</w:t>
      </w:r>
    </w:p>
    <w:p>
      <w:pPr>
        <w:spacing w:line="6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1.已获得省本级政府采购中标通知，具备履约能力；</w:t>
      </w:r>
    </w:p>
    <w:p>
      <w:pPr>
        <w:spacing w:line="6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2.企业在政府采购活动中与政府采购合作1年（含）以上；</w:t>
      </w:r>
    </w:p>
    <w:p>
      <w:pPr>
        <w:spacing w:line="6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3.在邮储银行开立回款专用账户。</w:t>
      </w:r>
    </w:p>
    <w:p>
      <w:pPr>
        <w:spacing w:line="6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贷款要素：</w:t>
      </w:r>
    </w:p>
    <w:p>
      <w:pPr>
        <w:spacing w:line="6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1.纯信用；</w:t>
      </w:r>
    </w:p>
    <w:p>
      <w:pPr>
        <w:spacing w:line="6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2.额度高：可贷合同标的额70%，最高额度300万；</w:t>
      </w:r>
    </w:p>
    <w:p>
      <w:pPr>
        <w:spacing w:line="6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3.方便用：可一次性或分期还款</w:t>
      </w:r>
    </w:p>
    <w:p>
      <w:pPr>
        <w:spacing w:line="6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联系方式：</w:t>
      </w:r>
    </w:p>
    <w:p>
      <w:pPr>
        <w:spacing w:line="6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联系人：王玉辉    职  务： 总经理</w:t>
      </w:r>
    </w:p>
    <w:p>
      <w:pPr>
        <w:spacing w:line="600" w:lineRule="exact"/>
        <w:ind w:firstLine="420" w:firstLineChars="200"/>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电  话：13598159333</w:t>
      </w:r>
    </w:p>
    <w:p>
      <w:pPr>
        <w:jc w:val="cente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中原银行洛阳分行“政采贷”产品简介</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一、融资机构基本情况及联系人联系电话</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1.融资入口：</w:t>
      </w:r>
    </w:p>
    <w:p>
      <w:pPr>
        <w:spacing w:line="560" w:lineRule="exact"/>
        <w:ind w:firstLine="630" w:firstLineChars="3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"http://www.zybank.com.cn/zyyh/gsyw55/xqyjr/xqyzcd/382690/index.html" </w:instrText>
      </w:r>
      <w:r>
        <w:rPr>
          <w:rFonts w:hint="eastAsia" w:ascii="宋体" w:hAnsi="宋体" w:eastAsia="宋体" w:cs="宋体"/>
          <w:color w:val="auto"/>
          <w:sz w:val="21"/>
          <w:szCs w:val="21"/>
          <w:highlight w:val="none"/>
        </w:rPr>
        <w:fldChar w:fldCharType="separate"/>
      </w:r>
      <w:r>
        <w:rPr>
          <w:rStyle w:val="28"/>
          <w:rFonts w:hint="eastAsia" w:ascii="宋体" w:hAnsi="宋体" w:eastAsia="宋体" w:cs="宋体"/>
          <w:color w:val="auto"/>
          <w:sz w:val="21"/>
          <w:szCs w:val="21"/>
          <w:highlight w:val="none"/>
        </w:rPr>
        <w:t>http://www.zybank.com.cn/zyyh/gsyw55/xqyjr/xqyzcd/382690/index.html</w:t>
      </w:r>
      <w:r>
        <w:rPr>
          <w:rFonts w:hint="eastAsia" w:ascii="宋体" w:hAnsi="宋体" w:eastAsia="宋体" w:cs="宋体"/>
          <w:color w:val="auto"/>
          <w:sz w:val="21"/>
          <w:szCs w:val="21"/>
          <w:highlight w:val="none"/>
        </w:rPr>
        <w:fldChar w:fldCharType="end"/>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2.融资机构业务人员信息列表：</w:t>
      </w:r>
    </w:p>
    <w:tbl>
      <w:tblPr>
        <w:tblStyle w:val="1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6"/>
        <w:gridCol w:w="1716"/>
        <w:gridCol w:w="1866"/>
        <w:gridCol w:w="36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1" w:hRule="atLeast"/>
        </w:trPr>
        <w:tc>
          <w:tcPr>
            <w:tcW w:w="81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序号</w:t>
            </w:r>
          </w:p>
        </w:tc>
        <w:tc>
          <w:tcPr>
            <w:tcW w:w="171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业务联系人</w:t>
            </w:r>
          </w:p>
        </w:tc>
        <w:tc>
          <w:tcPr>
            <w:tcW w:w="186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联系方式</w:t>
            </w:r>
          </w:p>
        </w:tc>
        <w:tc>
          <w:tcPr>
            <w:tcW w:w="366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 w:hRule="atLeast"/>
        </w:trPr>
        <w:tc>
          <w:tcPr>
            <w:tcW w:w="81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171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岳恒志</w:t>
            </w:r>
          </w:p>
        </w:tc>
        <w:tc>
          <w:tcPr>
            <w:tcW w:w="186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17737799828</w:t>
            </w:r>
          </w:p>
        </w:tc>
        <w:tc>
          <w:tcPr>
            <w:tcW w:w="366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洛阳市洛龙区长兴街66号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1" w:hRule="atLeast"/>
        </w:trPr>
        <w:tc>
          <w:tcPr>
            <w:tcW w:w="81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p>
        </w:tc>
        <w:tc>
          <w:tcPr>
            <w:tcW w:w="171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许然涛</w:t>
            </w:r>
          </w:p>
        </w:tc>
        <w:tc>
          <w:tcPr>
            <w:tcW w:w="186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19903896628</w:t>
            </w:r>
          </w:p>
        </w:tc>
        <w:tc>
          <w:tcPr>
            <w:tcW w:w="366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洛阳市洛龙区长兴街66号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1" w:hRule="atLeast"/>
        </w:trPr>
        <w:tc>
          <w:tcPr>
            <w:tcW w:w="81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171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柴碧林</w:t>
            </w:r>
          </w:p>
        </w:tc>
        <w:tc>
          <w:tcPr>
            <w:tcW w:w="186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13271555838</w:t>
            </w:r>
          </w:p>
        </w:tc>
        <w:tc>
          <w:tcPr>
            <w:tcW w:w="3666" w:type="dxa"/>
            <w:noWrap w:val="0"/>
            <w:vAlign w:val="top"/>
          </w:tcPr>
          <w:p>
            <w:pPr>
              <w:spacing w:line="56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洛阳市洛龙区长兴街66号</w:t>
            </w:r>
          </w:p>
        </w:tc>
      </w:tr>
    </w:tbl>
    <w:p>
      <w:pPr>
        <w:spacing w:line="5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二、融资流程及各环节办结时间</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客户通过“中原银行公司金融公众号”、“中原银行小微金融公众号”或“中原银行官方网站”等渠道申请即可办理。对于申报资料齐全，符合标准的业务，5个工作日即可完成审查审批。</w:t>
      </w:r>
    </w:p>
    <w:p>
      <w:pPr>
        <w:pStyle w:val="70"/>
        <w:spacing w:line="560" w:lineRule="exact"/>
        <w:jc w:val="center"/>
        <w:rPr>
          <w:rFonts w:hint="eastAsia" w:ascii="宋体" w:hAnsi="宋体" w:eastAsia="宋体" w:cs="宋体"/>
          <w:b/>
          <w:bCs/>
          <w:color w:val="auto"/>
          <w:sz w:val="21"/>
          <w:szCs w:val="21"/>
          <w:highlight w:val="none"/>
          <w:lang w:val="en-US" w:eastAsia="zh-CN" w:bidi="ar-SA"/>
        </w:rPr>
      </w:pPr>
      <w:r>
        <w:rPr>
          <w:rFonts w:hint="eastAsia" w:ascii="宋体" w:hAnsi="宋体" w:eastAsia="宋体" w:cs="宋体"/>
          <w:b/>
          <w:bCs/>
          <w:color w:val="auto"/>
          <w:sz w:val="21"/>
          <w:szCs w:val="21"/>
          <w:highlight w:val="none"/>
          <w:lang w:val="en-US" w:eastAsia="zh-CN" w:bidi="ar-SA"/>
        </w:rPr>
        <w:t>建设银行政府采购合同融资</w:t>
      </w:r>
    </w:p>
    <w:p>
      <w:pPr>
        <w:pStyle w:val="70"/>
        <w:spacing w:line="560" w:lineRule="exact"/>
        <w:jc w:val="center"/>
        <w:rPr>
          <w:rFonts w:hint="eastAsia" w:ascii="宋体" w:hAnsi="宋体" w:eastAsia="宋体" w:cs="宋体"/>
          <w:b/>
          <w:color w:val="auto"/>
          <w:sz w:val="21"/>
          <w:szCs w:val="21"/>
          <w:highlight w:val="none"/>
          <w:lang w:eastAsia="zh-CN"/>
        </w:rPr>
      </w:pPr>
      <w:r>
        <w:rPr>
          <w:rFonts w:hint="eastAsia" w:ascii="宋体" w:hAnsi="宋体" w:eastAsia="宋体" w:cs="宋体"/>
          <w:b/>
          <w:bCs/>
          <w:color w:val="auto"/>
          <w:sz w:val="21"/>
          <w:szCs w:val="21"/>
          <w:highlight w:val="none"/>
          <w:lang w:val="en-US" w:eastAsia="zh-CN" w:bidi="ar-SA"/>
        </w:rPr>
        <w:t>产品介绍及联系方式</w:t>
      </w:r>
    </w:p>
    <w:p>
      <w:pPr>
        <w:spacing w:line="560" w:lineRule="exact"/>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1、业务流程</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（1）采购人的采购资金纳入同级或以上政府财政预算。</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（2）供应商与政府采购部门签署采购合同。</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（3）采购合同在公开平台进行公示或者备案。</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（4）采购供应商依托采购合同，通过建行集团供应链平台申请融资。</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（5）建行核实贸易背景，按照采购合同金额的一定比例（考虑质押率）发放融资款项。</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（6）业务到期前，政府部门支付采购款项到建设银行指定的回款专户中。</w:t>
      </w:r>
    </w:p>
    <w:p>
      <w:pPr>
        <w:pStyle w:val="4"/>
        <w:spacing w:line="560" w:lineRule="exact"/>
        <w:ind w:firstLine="422" w:firstLineChars="200"/>
        <w:rPr>
          <w:rFonts w:hint="eastAsia" w:ascii="宋体" w:hAnsi="宋体" w:eastAsia="宋体" w:cs="宋体"/>
          <w:b/>
          <w:color w:val="auto"/>
          <w:kern w:val="2"/>
          <w:sz w:val="21"/>
          <w:szCs w:val="21"/>
          <w:highlight w:val="none"/>
        </w:rPr>
      </w:pPr>
      <w:r>
        <w:rPr>
          <w:rFonts w:hint="eastAsia" w:ascii="宋体" w:hAnsi="宋体" w:eastAsia="宋体" w:cs="宋体"/>
          <w:b/>
          <w:color w:val="auto"/>
          <w:kern w:val="2"/>
          <w:sz w:val="21"/>
          <w:szCs w:val="21"/>
          <w:highlight w:val="none"/>
        </w:rPr>
        <w:t>2、产品优势</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（1）无抵押（依据政府采购合同及历史交易、履约信息作为授信依据）；</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（2）放款快（在线审批，快捷放款）；</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（3）额度高（单笔合同贷款金额最高3000万元）；</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（4）操作便捷（流程简捷，全线上化操作）；</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（5）还款灵活（支持多种还款付息方式，支持提前还款）；</w:t>
      </w:r>
    </w:p>
    <w:p>
      <w:pPr>
        <w:spacing w:line="560" w:lineRule="exact"/>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3、借款人基本条件</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（1）供应商经工商行政管理机关（或主管机关）核准登记的企业法人或个体工商户，有固定经营场所，合法经营。</w:t>
      </w:r>
    </w:p>
    <w:p>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（2）供应商未纳入</w:t>
      </w:r>
      <w:bookmarkStart w:id="604" w:name="_Hlk11443363"/>
      <w:r>
        <w:rPr>
          <w:rFonts w:hint="eastAsia" w:ascii="宋体" w:hAnsi="宋体" w:eastAsia="宋体" w:cs="宋体"/>
          <w:color w:val="auto"/>
          <w:sz w:val="21"/>
          <w:szCs w:val="21"/>
          <w:highlight w:val="none"/>
        </w:rPr>
        <w:t>政府采购严重违法失信行为记录名单</w:t>
      </w:r>
      <w:bookmarkEnd w:id="604"/>
      <w:r>
        <w:rPr>
          <w:rFonts w:hint="eastAsia" w:ascii="宋体" w:hAnsi="宋体" w:eastAsia="宋体" w:cs="宋体"/>
          <w:color w:val="auto"/>
          <w:sz w:val="21"/>
          <w:szCs w:val="21"/>
          <w:highlight w:val="none"/>
        </w:rPr>
        <w:t>。（3）不存在我行反洗钱客户身份识别管理制度规定的禁止准入情形或停止业务关系的情形。（4）供应商企业具有持续经营能力，信用记录良好，近2年在中国人民银行企业征信系统无不良信用记录。（5）供应商企业主个人信用记录良好，近2年在中国人民银行个人征信系统个人逾期或欠息在30天（含）以内的次数不超过2（含）次，且不存在逾期或欠息在30天以上的信用记录。（6）供应商与采购人具有长期稳定合作关系，原则上要有2次及以上的历史政府采购中标记录。（7）供应商及采购人为本地注册企业。（8）供应商成立一年以上。（9）供应商具有明确的还款来源和风险缓释措施。</w:t>
      </w:r>
    </w:p>
    <w:p>
      <w:pPr>
        <w:spacing w:line="560" w:lineRule="exact"/>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4、申请路径：</w:t>
      </w:r>
      <w:r>
        <w:rPr>
          <w:rFonts w:hint="eastAsia" w:ascii="宋体" w:hAnsi="宋体" w:eastAsia="宋体" w:cs="宋体"/>
          <w:color w:val="auto"/>
          <w:sz w:val="21"/>
          <w:szCs w:val="21"/>
          <w:highlight w:val="none"/>
        </w:rPr>
        <w:t>建行集团供应链平台</w:t>
      </w:r>
    </w:p>
    <w:p>
      <w:pPr>
        <w:pStyle w:val="70"/>
        <w:spacing w:line="560" w:lineRule="exact"/>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en-US"/>
        </w:rPr>
        <w:t>5、利率：</w:t>
      </w:r>
      <w:r>
        <w:rPr>
          <w:rFonts w:hint="eastAsia" w:ascii="宋体" w:hAnsi="宋体" w:eastAsia="宋体" w:cs="宋体"/>
          <w:color w:val="auto"/>
          <w:sz w:val="21"/>
          <w:szCs w:val="21"/>
          <w:highlight w:val="none"/>
          <w:lang w:val="en-US" w:eastAsia="zh-CN" w:bidi="ar-SA"/>
        </w:rPr>
        <w:t>针对不同客户差别化定价，根据客户综合贡献度合理确定。</w:t>
      </w:r>
    </w:p>
    <w:p>
      <w:pPr>
        <w:pStyle w:val="70"/>
        <w:spacing w:line="560" w:lineRule="exact"/>
        <w:rPr>
          <w:rFonts w:hint="eastAsia" w:ascii="宋体" w:hAnsi="宋体" w:eastAsia="宋体" w:cs="宋体"/>
          <w:color w:val="auto"/>
          <w:sz w:val="21"/>
          <w:szCs w:val="21"/>
          <w:highlight w:val="none"/>
          <w:lang w:val="en-US" w:eastAsia="zh-CN" w:bidi="ar-SA"/>
        </w:rPr>
      </w:pPr>
      <w:r>
        <w:rPr>
          <w:rFonts w:hint="eastAsia" w:ascii="宋体" w:hAnsi="宋体" w:eastAsia="宋体" w:cs="宋体"/>
          <w:b/>
          <w:bCs/>
          <w:color w:val="auto"/>
          <w:kern w:val="0"/>
          <w:sz w:val="21"/>
          <w:szCs w:val="21"/>
          <w:highlight w:val="none"/>
          <w:lang w:val="en-US" w:eastAsia="zh-CN" w:bidi="en-US"/>
        </w:rPr>
        <w:t>6、联系方式：</w:t>
      </w:r>
      <w:r>
        <w:rPr>
          <w:rFonts w:hint="eastAsia" w:ascii="宋体" w:hAnsi="宋体" w:eastAsia="宋体" w:cs="宋体"/>
          <w:color w:val="auto"/>
          <w:sz w:val="21"/>
          <w:szCs w:val="21"/>
          <w:highlight w:val="none"/>
          <w:lang w:val="en-US" w:eastAsia="zh-CN" w:bidi="ar-SA"/>
        </w:rPr>
        <w:t>分管领导：马顺超13693835688</w:t>
      </w:r>
    </w:p>
    <w:p>
      <w:pPr>
        <w:pStyle w:val="70"/>
        <w:spacing w:line="560" w:lineRule="exact"/>
        <w:ind w:firstLine="1470" w:firstLineChars="700"/>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bidi="ar-SA"/>
        </w:rPr>
        <w:t>信贷经理：张翠荣13937942294</w:t>
      </w:r>
    </w:p>
    <w:p>
      <w:pPr>
        <w:ind w:firstLine="413" w:firstLineChars="196"/>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招商银行政府采购融资贷联系方式及融资产品介绍</w:t>
      </w:r>
    </w:p>
    <w:p>
      <w:pPr>
        <w:pStyle w:val="71"/>
        <w:numPr>
          <w:ilvl w:val="0"/>
          <w:numId w:val="20"/>
        </w:numPr>
        <w:spacing w:line="480" w:lineRule="auto"/>
        <w:ind w:firstLineChars="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联系方式：</w:t>
      </w:r>
    </w:p>
    <w:tbl>
      <w:tblPr>
        <w:tblStyle w:val="17"/>
        <w:tblW w:w="0" w:type="auto"/>
        <w:tblInd w:w="-176" w:type="dxa"/>
        <w:tblLayout w:type="fixed"/>
        <w:tblCellMar>
          <w:top w:w="0" w:type="dxa"/>
          <w:left w:w="108" w:type="dxa"/>
          <w:bottom w:w="0" w:type="dxa"/>
          <w:right w:w="108" w:type="dxa"/>
        </w:tblCellMar>
      </w:tblPr>
      <w:tblGrid>
        <w:gridCol w:w="1457"/>
        <w:gridCol w:w="1980"/>
        <w:gridCol w:w="3540"/>
        <w:gridCol w:w="1954"/>
        <w:gridCol w:w="851"/>
      </w:tblGrid>
      <w:tr>
        <w:tblPrEx>
          <w:tblCellMar>
            <w:top w:w="0" w:type="dxa"/>
            <w:left w:w="108" w:type="dxa"/>
            <w:bottom w:w="0" w:type="dxa"/>
            <w:right w:w="108" w:type="dxa"/>
          </w:tblCellMar>
        </w:tblPrEx>
        <w:trPr>
          <w:trHeight w:val="270" w:hRule="atLeast"/>
        </w:trPr>
        <w:tc>
          <w:tcPr>
            <w:tcW w:w="1457" w:type="dxa"/>
            <w:tcBorders>
              <w:top w:val="single" w:color="auto" w:sz="4" w:space="0"/>
              <w:left w:val="single" w:color="auto" w:sz="4" w:space="0"/>
              <w:bottom w:val="single" w:color="auto" w:sz="4" w:space="0"/>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分管领导</w:t>
            </w:r>
          </w:p>
        </w:tc>
        <w:tc>
          <w:tcPr>
            <w:tcW w:w="1980" w:type="dxa"/>
            <w:tcBorders>
              <w:top w:val="single" w:color="auto" w:sz="4" w:space="0"/>
              <w:left w:val="nil"/>
              <w:bottom w:val="single" w:color="auto" w:sz="4" w:space="0"/>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职务</w:t>
            </w:r>
          </w:p>
        </w:tc>
        <w:tc>
          <w:tcPr>
            <w:tcW w:w="3540" w:type="dxa"/>
            <w:tcBorders>
              <w:top w:val="single" w:color="auto" w:sz="4" w:space="0"/>
              <w:left w:val="nil"/>
              <w:bottom w:val="single" w:color="auto" w:sz="4" w:space="0"/>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地址</w:t>
            </w:r>
          </w:p>
        </w:tc>
        <w:tc>
          <w:tcPr>
            <w:tcW w:w="1954" w:type="dxa"/>
            <w:tcBorders>
              <w:top w:val="single" w:color="auto" w:sz="4" w:space="0"/>
              <w:left w:val="nil"/>
              <w:bottom w:val="single" w:color="auto" w:sz="4" w:space="0"/>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电话</w:t>
            </w:r>
          </w:p>
        </w:tc>
        <w:tc>
          <w:tcPr>
            <w:tcW w:w="851" w:type="dxa"/>
            <w:tcBorders>
              <w:top w:val="single" w:color="auto" w:sz="4" w:space="0"/>
              <w:left w:val="nil"/>
              <w:bottom w:val="single" w:color="auto" w:sz="4" w:space="0"/>
              <w:right w:val="single" w:color="auto" w:sz="4" w:space="0"/>
            </w:tcBorders>
            <w:noWrap w:val="0"/>
            <w:vAlign w:val="center"/>
          </w:tcPr>
          <w:p>
            <w:pPr>
              <w:widowControl/>
              <w:spacing w:line="48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备注</w:t>
            </w:r>
          </w:p>
        </w:tc>
      </w:tr>
      <w:tr>
        <w:tblPrEx>
          <w:tblCellMar>
            <w:top w:w="0" w:type="dxa"/>
            <w:left w:w="108" w:type="dxa"/>
            <w:bottom w:w="0" w:type="dxa"/>
            <w:right w:w="108" w:type="dxa"/>
          </w:tblCellMar>
        </w:tblPrEx>
        <w:trPr>
          <w:trHeight w:val="270" w:hRule="atLeast"/>
        </w:trPr>
        <w:tc>
          <w:tcPr>
            <w:tcW w:w="1457" w:type="dxa"/>
            <w:tcBorders>
              <w:top w:val="nil"/>
              <w:left w:val="single" w:color="auto" w:sz="4" w:space="0"/>
              <w:bottom w:val="nil"/>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彭国庆</w:t>
            </w:r>
          </w:p>
        </w:tc>
        <w:tc>
          <w:tcPr>
            <w:tcW w:w="1980" w:type="dxa"/>
            <w:tcBorders>
              <w:top w:val="nil"/>
              <w:left w:val="nil"/>
              <w:bottom w:val="nil"/>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公司业务分管行长</w:t>
            </w:r>
          </w:p>
        </w:tc>
        <w:tc>
          <w:tcPr>
            <w:tcW w:w="3540" w:type="dxa"/>
            <w:tcBorders>
              <w:top w:val="nil"/>
              <w:left w:val="nil"/>
              <w:bottom w:val="nil"/>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洛阳市涧西区南昌路7号西苑大厦</w:t>
            </w:r>
          </w:p>
        </w:tc>
        <w:tc>
          <w:tcPr>
            <w:tcW w:w="1954" w:type="dxa"/>
            <w:tcBorders>
              <w:top w:val="nil"/>
              <w:left w:val="nil"/>
              <w:bottom w:val="nil"/>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15236667303</w:t>
            </w:r>
          </w:p>
        </w:tc>
        <w:tc>
          <w:tcPr>
            <w:tcW w:w="851" w:type="dxa"/>
            <w:tcBorders>
              <w:top w:val="nil"/>
              <w:left w:val="nil"/>
              <w:bottom w:val="nil"/>
              <w:right w:val="single" w:color="auto" w:sz="4" w:space="0"/>
            </w:tcBorders>
            <w:noWrap w:val="0"/>
            <w:vAlign w:val="center"/>
          </w:tcPr>
          <w:p>
            <w:pPr>
              <w:widowControl/>
              <w:spacing w:line="48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r>
        <w:tblPrEx>
          <w:tblCellMar>
            <w:top w:w="0" w:type="dxa"/>
            <w:left w:w="108" w:type="dxa"/>
            <w:bottom w:w="0" w:type="dxa"/>
            <w:right w:w="108" w:type="dxa"/>
          </w:tblCellMar>
        </w:tblPrEx>
        <w:trPr>
          <w:trHeight w:val="270" w:hRule="atLeast"/>
        </w:trPr>
        <w:tc>
          <w:tcPr>
            <w:tcW w:w="1457" w:type="dxa"/>
            <w:tcBorders>
              <w:top w:val="nil"/>
              <w:left w:val="single" w:color="auto" w:sz="4" w:space="0"/>
              <w:bottom w:val="single" w:color="auto" w:sz="4" w:space="0"/>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王伊宁</w:t>
            </w:r>
          </w:p>
        </w:tc>
        <w:tc>
          <w:tcPr>
            <w:tcW w:w="1980" w:type="dxa"/>
            <w:tcBorders>
              <w:top w:val="nil"/>
              <w:left w:val="nil"/>
              <w:bottom w:val="single" w:color="auto" w:sz="4" w:space="0"/>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客户经理</w:t>
            </w:r>
          </w:p>
        </w:tc>
        <w:tc>
          <w:tcPr>
            <w:tcW w:w="3540" w:type="dxa"/>
            <w:tcBorders>
              <w:top w:val="nil"/>
              <w:left w:val="nil"/>
              <w:bottom w:val="single" w:color="auto" w:sz="4" w:space="0"/>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洛阳市涧西区南昌路7号西苑大厦</w:t>
            </w:r>
          </w:p>
        </w:tc>
        <w:tc>
          <w:tcPr>
            <w:tcW w:w="1954" w:type="dxa"/>
            <w:tcBorders>
              <w:top w:val="nil"/>
              <w:left w:val="nil"/>
              <w:bottom w:val="single" w:color="auto" w:sz="4" w:space="0"/>
              <w:right w:val="single" w:color="auto" w:sz="4" w:space="0"/>
            </w:tcBorders>
            <w:noWrap w:val="0"/>
            <w:vAlign w:val="center"/>
          </w:tcPr>
          <w:p>
            <w:pPr>
              <w:widowControl/>
              <w:spacing w:line="276"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13683861133</w:t>
            </w:r>
          </w:p>
        </w:tc>
        <w:tc>
          <w:tcPr>
            <w:tcW w:w="851" w:type="dxa"/>
            <w:tcBorders>
              <w:top w:val="nil"/>
              <w:left w:val="nil"/>
              <w:bottom w:val="single" w:color="auto" w:sz="4" w:space="0"/>
              <w:right w:val="single" w:color="auto" w:sz="4" w:space="0"/>
            </w:tcBorders>
            <w:noWrap w:val="0"/>
            <w:vAlign w:val="center"/>
          </w:tcPr>
          <w:p>
            <w:pPr>
              <w:widowControl/>
              <w:spacing w:line="48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w:t>
            </w:r>
          </w:p>
        </w:tc>
      </w:tr>
    </w:tbl>
    <w:p>
      <w:pPr>
        <w:spacing w:line="480" w:lineRule="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二、审批流程</w:t>
      </w:r>
    </w:p>
    <w:p>
      <w:pPr>
        <w:spacing w:line="480" w:lineRule="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1、申请路径：</w:t>
      </w:r>
      <w:r>
        <w:rPr>
          <w:rFonts w:hint="eastAsia" w:ascii="宋体" w:hAnsi="宋体" w:eastAsia="宋体" w:cs="宋体"/>
          <w:bCs/>
          <w:color w:val="auto"/>
          <w:sz w:val="21"/>
          <w:szCs w:val="21"/>
          <w:highlight w:val="none"/>
        </w:rPr>
        <w:t>（1）</w:t>
      </w:r>
      <w:r>
        <w:rPr>
          <w:rFonts w:hint="eastAsia" w:ascii="宋体" w:hAnsi="宋体" w:eastAsia="宋体" w:cs="宋体"/>
          <w:color w:val="auto"/>
          <w:sz w:val="21"/>
          <w:szCs w:val="21"/>
          <w:highlight w:val="none"/>
        </w:rPr>
        <w:t>手机扫描二维码申请</w:t>
      </w:r>
    </w:p>
    <w:p>
      <w:pPr>
        <w:spacing w:line="480" w:lineRule="auto"/>
        <w:ind w:firstLine="411" w:firstLineChars="196"/>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drawing>
          <wp:inline distT="0" distB="0" distL="114300" distR="114300">
            <wp:extent cx="1937385" cy="1571625"/>
            <wp:effectExtent l="0" t="0" r="571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1937385" cy="1571625"/>
                    </a:xfrm>
                    <a:prstGeom prst="rect">
                      <a:avLst/>
                    </a:prstGeom>
                    <a:noFill/>
                    <a:ln>
                      <a:noFill/>
                    </a:ln>
                  </pic:spPr>
                </pic:pic>
              </a:graphicData>
            </a:graphic>
          </wp:inline>
        </w:drawing>
      </w:r>
    </w:p>
    <w:p>
      <w:pPr>
        <w:spacing w:line="560" w:lineRule="exact"/>
        <w:ind w:firstLine="411" w:firstLineChars="196"/>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（2）网页版申请</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"https://sme.cmbchina.com/" </w:instrText>
      </w:r>
      <w:r>
        <w:rPr>
          <w:rFonts w:hint="eastAsia" w:ascii="宋体" w:hAnsi="宋体" w:eastAsia="宋体" w:cs="宋体"/>
          <w:color w:val="auto"/>
          <w:sz w:val="21"/>
          <w:szCs w:val="21"/>
          <w:highlight w:val="none"/>
        </w:rPr>
        <w:fldChar w:fldCharType="separate"/>
      </w:r>
      <w:r>
        <w:rPr>
          <w:rStyle w:val="28"/>
          <w:rFonts w:hint="eastAsia" w:ascii="宋体" w:hAnsi="宋体" w:eastAsia="宋体" w:cs="宋体"/>
          <w:color w:val="auto"/>
          <w:sz w:val="21"/>
          <w:szCs w:val="21"/>
          <w:highlight w:val="none"/>
        </w:rPr>
        <w:t>https://sme.cmbchina.com/</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t>；</w:t>
      </w:r>
    </w:p>
    <w:p>
      <w:pPr>
        <w:spacing w:line="560" w:lineRule="exact"/>
        <w:ind w:firstLine="413" w:firstLineChars="196"/>
        <w:jc w:val="left"/>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2、授信额度：</w:t>
      </w:r>
      <w:r>
        <w:rPr>
          <w:rFonts w:hint="eastAsia" w:ascii="宋体" w:hAnsi="宋体" w:eastAsia="宋体" w:cs="宋体"/>
          <w:color w:val="auto"/>
          <w:sz w:val="21"/>
          <w:szCs w:val="21"/>
          <w:highlight w:val="none"/>
        </w:rPr>
        <w:t>基于政府采购中标总额和实际采购合同办理融资,额度最高可达到3000万，线上自助模式最高1000万；</w:t>
      </w:r>
    </w:p>
    <w:p>
      <w:pPr>
        <w:spacing w:line="560" w:lineRule="exact"/>
        <w:ind w:firstLine="422" w:firstLineChars="200"/>
        <w:jc w:val="left"/>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3、</w:t>
      </w:r>
      <w:r>
        <w:rPr>
          <w:rFonts w:hint="eastAsia" w:ascii="宋体" w:hAnsi="宋体" w:eastAsia="宋体" w:cs="宋体"/>
          <w:b/>
          <w:color w:val="auto"/>
          <w:sz w:val="21"/>
          <w:szCs w:val="21"/>
          <w:highlight w:val="none"/>
        </w:rPr>
        <w:t>利率：</w:t>
      </w:r>
      <w:r>
        <w:rPr>
          <w:rFonts w:hint="eastAsia" w:ascii="宋体" w:hAnsi="宋体" w:eastAsia="宋体" w:cs="宋体"/>
          <w:color w:val="auto"/>
          <w:sz w:val="21"/>
          <w:szCs w:val="21"/>
          <w:highlight w:val="none"/>
        </w:rPr>
        <w:t>为切实降低中小微企业融资成本，我行严格执行普惠金融利率政策，对符合标准的普惠小微贷款业务一定补贴优惠；</w:t>
      </w:r>
    </w:p>
    <w:p>
      <w:pPr>
        <w:spacing w:line="560" w:lineRule="exact"/>
        <w:ind w:firstLine="413" w:firstLineChars="196"/>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4、风控措施：</w:t>
      </w:r>
    </w:p>
    <w:p>
      <w:pPr>
        <w:spacing w:line="560" w:lineRule="exact"/>
        <w:ind w:firstLine="411" w:firstLineChars="196"/>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（1）回款锁定——保证融资申请人在我行进行融资的政府采购商务合同所对应的回款账户为我行且唯一；（2）在我行据以融资的商务合同项下的应收账款质押；（3）实际控制人夫妇提供连带担保；</w:t>
      </w:r>
    </w:p>
    <w:p>
      <w:pPr>
        <w:spacing w:line="560" w:lineRule="exact"/>
        <w:ind w:firstLine="310" w:firstLineChars="147"/>
        <w:jc w:val="lef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5、客户准入</w:t>
      </w:r>
    </w:p>
    <w:p>
      <w:pPr>
        <w:spacing w:line="560" w:lineRule="exact"/>
        <w:ind w:left="420" w:leftChars="200"/>
        <w:jc w:val="left"/>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（1）采购单位 ：</w:t>
      </w:r>
      <w:r>
        <w:rPr>
          <w:rFonts w:hint="eastAsia" w:ascii="宋体" w:hAnsi="宋体" w:eastAsia="宋体" w:cs="宋体"/>
          <w:color w:val="auto"/>
          <w:sz w:val="21"/>
          <w:szCs w:val="21"/>
          <w:highlight w:val="none"/>
        </w:rPr>
        <w:t>区县及以上政府机构；由上述政府统筹付款的二甲以上公立医院、学校、科研机构等事业单位；付款记录良好，无拖欠大额工程款、采购款、逃废银行债务等不良记录；</w:t>
      </w:r>
    </w:p>
    <w:p>
      <w:pPr>
        <w:spacing w:line="560" w:lineRule="exact"/>
        <w:ind w:left="420" w:leftChars="200"/>
        <w:jc w:val="left"/>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（2）采购项目 ：</w:t>
      </w:r>
      <w:r>
        <w:rPr>
          <w:rFonts w:hint="eastAsia" w:ascii="宋体" w:hAnsi="宋体" w:eastAsia="宋体" w:cs="宋体"/>
          <w:color w:val="auto"/>
          <w:sz w:val="21"/>
          <w:szCs w:val="21"/>
          <w:highlight w:val="none"/>
        </w:rPr>
        <w:t>优先支持货物类采购，稳妥介入服务类采购，审慎介入建设工程类采购；未在他行办理以同一采购合同为贸易背景的融资业务；</w:t>
      </w:r>
    </w:p>
    <w:p>
      <w:pPr>
        <w:spacing w:line="560" w:lineRule="exact"/>
        <w:ind w:firstLine="413" w:firstLineChars="196"/>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8、政采自助贷：</w:t>
      </w:r>
    </w:p>
    <w:p>
      <w:pPr>
        <w:spacing w:line="560" w:lineRule="exact"/>
        <w:ind w:firstLine="411" w:firstLineChars="196"/>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（1）线上申请及预授信，额度最高1000万；（2）网银端线上自助提款，10分钟内即可到账；（3）基于政府采购中标总额和实际采购合同办理融资, 融资比例最高可达合同金额的80%；（4）利率优惠,线上可随借随还，更加符合政采供应商需求并降低企业成本。</w:t>
      </w:r>
    </w:p>
    <w:p>
      <w:pPr>
        <w:ind w:firstLine="411" w:firstLineChars="196"/>
        <w:jc w:val="center"/>
        <w:rPr>
          <w:rFonts w:hint="eastAsia" w:ascii="宋体" w:hAnsi="宋体" w:eastAsia="宋体" w:cs="宋体"/>
          <w:b/>
          <w:bCs/>
          <w:color w:val="auto"/>
          <w:sz w:val="21"/>
          <w:szCs w:val="21"/>
          <w:highlight w:val="none"/>
        </w:rPr>
      </w:pPr>
      <w:r>
        <w:rPr>
          <w:rFonts w:hint="eastAsia" w:ascii="宋体" w:hAnsi="宋体" w:eastAsia="宋体" w:cs="宋体"/>
          <w:bCs/>
          <w:color w:val="auto"/>
          <w:sz w:val="21"/>
          <w:szCs w:val="21"/>
          <w:highlight w:val="none"/>
        </w:rPr>
        <w:tab/>
      </w:r>
      <w:r>
        <w:rPr>
          <w:rFonts w:hint="eastAsia" w:ascii="宋体" w:hAnsi="宋体" w:eastAsia="宋体" w:cs="宋体"/>
          <w:b/>
          <w:bCs/>
          <w:color w:val="auto"/>
          <w:sz w:val="21"/>
          <w:szCs w:val="21"/>
          <w:highlight w:val="none"/>
        </w:rPr>
        <w:t>浦发银行政府采购融资贷联系方式及融资产品介绍</w:t>
      </w:r>
    </w:p>
    <w:p>
      <w:pPr>
        <w:spacing w:line="560" w:lineRule="exact"/>
        <w:ind w:firstLine="420" w:firstLineChars="200"/>
        <w:rPr>
          <w:rFonts w:hint="eastAsia" w:ascii="宋体" w:hAnsi="宋体" w:eastAsia="宋体" w:cs="宋体"/>
          <w:color w:val="auto"/>
          <w:sz w:val="21"/>
          <w:szCs w:val="21"/>
          <w:highlight w:val="none"/>
        </w:rPr>
      </w:pPr>
    </w:p>
    <w:p>
      <w:pPr>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一、联系方式</w:t>
      </w:r>
    </w:p>
    <w:p>
      <w:pPr>
        <w:rPr>
          <w:rFonts w:hint="eastAsia" w:ascii="宋体" w:hAnsi="宋体" w:eastAsia="宋体" w:cs="宋体"/>
          <w:color w:val="auto"/>
          <w:sz w:val="21"/>
          <w:szCs w:val="21"/>
          <w:highlight w:val="none"/>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w:t>
            </w:r>
          </w:p>
        </w:tc>
        <w:tc>
          <w:tcPr>
            <w:tcW w:w="1704"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职务</w:t>
            </w:r>
          </w:p>
        </w:tc>
        <w:tc>
          <w:tcPr>
            <w:tcW w:w="1704"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p>
        </w:tc>
        <w:tc>
          <w:tcPr>
            <w:tcW w:w="1705"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p>
        </w:tc>
        <w:tc>
          <w:tcPr>
            <w:tcW w:w="1705"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苏冰</w:t>
            </w:r>
          </w:p>
        </w:tc>
        <w:tc>
          <w:tcPr>
            <w:tcW w:w="1704"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高级产品经理</w:t>
            </w:r>
          </w:p>
        </w:tc>
        <w:tc>
          <w:tcPr>
            <w:tcW w:w="1704"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洛阳市洛龙区展览路211号</w:t>
            </w:r>
          </w:p>
        </w:tc>
        <w:tc>
          <w:tcPr>
            <w:tcW w:w="1705"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18623790623</w:t>
            </w:r>
          </w:p>
        </w:tc>
        <w:tc>
          <w:tcPr>
            <w:tcW w:w="1705"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微信同手机号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汪乐阳</w:t>
            </w:r>
          </w:p>
        </w:tc>
        <w:tc>
          <w:tcPr>
            <w:tcW w:w="1704"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普惠金融部总经理</w:t>
            </w:r>
          </w:p>
        </w:tc>
        <w:tc>
          <w:tcPr>
            <w:tcW w:w="1704"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洛阳市洛龙区展览路211号</w:t>
            </w:r>
          </w:p>
        </w:tc>
        <w:tc>
          <w:tcPr>
            <w:tcW w:w="1705"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13698889966</w:t>
            </w:r>
          </w:p>
        </w:tc>
        <w:tc>
          <w:tcPr>
            <w:tcW w:w="1705"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微信同手机号</w:t>
            </w:r>
          </w:p>
        </w:tc>
      </w:tr>
    </w:tbl>
    <w:p>
      <w:pPr>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二、融资产品介绍</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在您中标政府采购项目，从合同(订单)生效到最终收款期间，有没有因采购原材料、生产产品等产生资金压力，存在融资需求的情况？</w:t>
      </w:r>
    </w:p>
    <w:p>
      <w:pPr>
        <w:widowControl/>
        <w:spacing w:line="315" w:lineRule="atLeast"/>
        <w:ind w:firstLine="482"/>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（一）产品介绍：</w:t>
      </w:r>
    </w:p>
    <w:p>
      <w:pPr>
        <w:widowControl/>
        <w:spacing w:line="315" w:lineRule="atLeast"/>
        <w:ind w:firstLine="482"/>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“政采e贷”是由洛阳市财政局与浦发银行共同开发，基于政府采购合同，为供应商提供的信用贷款。</w:t>
      </w:r>
    </w:p>
    <w:p>
      <w:pPr>
        <w:widowControl/>
        <w:spacing w:line="315" w:lineRule="atLeast"/>
        <w:ind w:firstLine="482"/>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（二）产品优势：</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1、融资期限最长可达1年。</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2、货物、服务类最高1000万元，工程类最高1500万元。</w:t>
      </w:r>
    </w:p>
    <w:p>
      <w:pPr>
        <w:widowControl/>
        <w:spacing w:line="315" w:lineRule="atLeast"/>
        <w:ind w:left="839" w:hanging="36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3、信用贷款，低门槛，循环额度，随借随还。</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4、业务流程简单，在线秒级放款，尊享快捷体验。</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5、总行补贴，融资利率有优惠。</w:t>
      </w:r>
    </w:p>
    <w:p>
      <w:pPr>
        <w:widowControl/>
        <w:spacing w:line="315" w:lineRule="atLeast"/>
        <w:ind w:firstLine="482"/>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（三）适用客户：</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1、在河南省境内注册的供应商，未列入河南省政府采购供应商黑名单。</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2、人民银行征信系统无逾期、垫款等情况，且无其他不良信用记录。</w:t>
      </w:r>
    </w:p>
    <w:p>
      <w:pPr>
        <w:widowControl/>
        <w:spacing w:line="315" w:lineRule="atLeast"/>
        <w:ind w:firstLine="480"/>
        <w:rPr>
          <w:rFonts w:hint="eastAsia" w:ascii="宋体" w:hAnsi="宋体" w:eastAsia="宋体" w:cs="宋体"/>
          <w:b/>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b/>
          <w:color w:val="auto"/>
          <w:kern w:val="0"/>
          <w:sz w:val="21"/>
          <w:szCs w:val="21"/>
          <w:highlight w:val="none"/>
        </w:rPr>
        <w:t>政府采购中标区域：</w:t>
      </w:r>
    </w:p>
    <w:p>
      <w:pPr>
        <w:widowControl/>
        <w:spacing w:line="315" w:lineRule="atLeast"/>
        <w:ind w:firstLine="480"/>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（1）河南省省直、郑州市（含市内各区）项目</w:t>
      </w:r>
    </w:p>
    <w:p>
      <w:pPr>
        <w:widowControl/>
        <w:spacing w:line="315" w:lineRule="atLeast"/>
        <w:ind w:firstLine="480"/>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（2）洛阳市市直项目</w:t>
      </w:r>
    </w:p>
    <w:p>
      <w:pPr>
        <w:widowControl/>
        <w:spacing w:line="315" w:lineRule="atLeast"/>
        <w:ind w:firstLine="480"/>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（3）河南其他地市市直项目</w:t>
      </w:r>
    </w:p>
    <w:p>
      <w:pPr>
        <w:widowControl/>
        <w:spacing w:line="315" w:lineRule="atLeast"/>
        <w:ind w:firstLine="480"/>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（4）林州、长垣、新郑、禹州中标项目。</w:t>
      </w:r>
    </w:p>
    <w:p>
      <w:pPr>
        <w:widowControl/>
        <w:spacing w:line="315" w:lineRule="atLeast"/>
        <w:ind w:firstLine="482"/>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（四）申请路径</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1、供应商首先与联系人联系，提供企业基本证件、征信报告、中标合同、采购合同等进行客户准入和额度测算。</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2、供应商来浦发银行开户，在政府采购合同中填写浦发银行账号。</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（若客户已签署其他银行账号，则需要联系浦发银行进行备案银行账号变更）</w:t>
      </w:r>
    </w:p>
    <w:p>
      <w:pPr>
        <w:widowControl/>
        <w:spacing w:line="315" w:lineRule="atLeast"/>
        <w:ind w:firstLine="48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3、授信审查和放款（资料齐全一周时间）</w:t>
      </w:r>
    </w:p>
    <w:p>
      <w:pPr>
        <w:ind w:firstLine="413" w:firstLineChars="196"/>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交通银行政府采购融资贷联系方式及融资产品介绍</w:t>
      </w:r>
    </w:p>
    <w:p>
      <w:pP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交通银行针对政府采购供应商中的小微企业推出的，以未来应收账款作为质押、以财政性资金作为还款来源的融资业务。凡参与过政府采购历史的中标企业，即可提前在我行预申请融资额度，中标且签订采购合同后可随时提用。我行具有绿色批复通道、授信额度高、免抵押担保、期限长等优势。</w:t>
      </w:r>
    </w:p>
    <w:p>
      <w:pPr>
        <w:ind w:firstLine="420" w:firstLineChars="200"/>
        <w:rPr>
          <w:rFonts w:hint="eastAsia" w:ascii="宋体" w:hAnsi="宋体" w:eastAsia="宋体" w:cs="宋体"/>
          <w:color w:val="auto"/>
          <w:sz w:val="21"/>
          <w:szCs w:val="21"/>
          <w:highlight w:val="none"/>
        </w:rPr>
      </w:pP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负责人：  周贯超     联系方式：15538830369</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  顾  伟     联系方式：18037558778</w:t>
      </w:r>
    </w:p>
    <w:p>
      <w:pPr>
        <w:ind w:firstLine="1050" w:firstLineChars="5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魏柴扉               18837923035</w:t>
      </w: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洛阳农商银行“普惠政府采购贷”产品简介及联系人</w:t>
      </w:r>
    </w:p>
    <w:p>
      <w:pPr>
        <w:spacing w:line="62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产品简介：“普惠政府采购贷”是指本行以政府采购诚信考核和信用审查为基础，凭借中小微企业供应商取得并提供的政府采购合同，依托省财政厅的电子化政府采购系统平台，按优于一般中小微企业的贷款利率及手续，直接向本行申请贷款的中小微企业发放的用于采购合同项下商品备货、生产和加工的贷款。以信用方式为主，追加供货商法定代表人或者实际控制人提供连带责任保证担保，融资额度不超过采购合同标的额的70%，贷款期限不超过1年，贷款利率原则上执行LPR上浮60%执行。</w:t>
      </w:r>
    </w:p>
    <w:p>
      <w:pPr>
        <w:spacing w:line="620" w:lineRule="exact"/>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分管领导：</w:t>
      </w:r>
      <w:r>
        <w:rPr>
          <w:rFonts w:hint="eastAsia" w:ascii="宋体" w:hAnsi="宋体" w:eastAsia="宋体" w:cs="宋体"/>
          <w:color w:val="auto"/>
          <w:sz w:val="21"/>
          <w:szCs w:val="21"/>
          <w:highlight w:val="none"/>
        </w:rPr>
        <w:t>张学强 13083636800</w:t>
      </w:r>
    </w:p>
    <w:p>
      <w:pPr>
        <w:spacing w:line="620" w:lineRule="exact"/>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信贷经理：</w:t>
      </w:r>
      <w:r>
        <w:rPr>
          <w:rFonts w:hint="eastAsia" w:ascii="宋体" w:hAnsi="宋体" w:eastAsia="宋体" w:cs="宋体"/>
          <w:color w:val="auto"/>
          <w:sz w:val="21"/>
          <w:szCs w:val="21"/>
          <w:highlight w:val="none"/>
        </w:rPr>
        <w:t>常洁   13721681719</w:t>
      </w:r>
    </w:p>
    <w:p>
      <w:pPr>
        <w:spacing w:line="620" w:lineRule="exact"/>
        <w:ind w:firstLine="422" w:firstLineChars="200"/>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具体负责人：</w:t>
      </w:r>
      <w:r>
        <w:rPr>
          <w:rFonts w:hint="eastAsia" w:ascii="宋体" w:hAnsi="宋体" w:eastAsia="宋体" w:cs="宋体"/>
          <w:color w:val="auto"/>
          <w:sz w:val="21"/>
          <w:szCs w:val="21"/>
          <w:highlight w:val="none"/>
        </w:rPr>
        <w:t>娄艳阁 13526989222</w:t>
      </w:r>
    </w:p>
    <w:p>
      <w:pPr>
        <w:rPr>
          <w:rFonts w:hint="eastAsia" w:ascii="宋体" w:hAnsi="宋体" w:eastAsia="宋体" w:cs="宋体"/>
          <w:b/>
          <w:bCs/>
          <w:color w:val="auto"/>
          <w:sz w:val="21"/>
          <w:szCs w:val="21"/>
          <w:highlight w:val="none"/>
        </w:rPr>
      </w:pPr>
    </w:p>
    <w:p>
      <w:pPr>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农行洛阳分行政采贷</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1、产品定义：指境内购销双方签署订单后，农业银行以订单项下的预期销货款作为主要还款来源，为满足销货方在货物发运前因支付原材料采购款、组织生产、货物运输等资金需求而向其提供的短期融资。</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2、贷款期限：一年以内。</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3、适用对象：地市级（含）以上政府的采购部门统一组织的政府采购行为形成的订单等。</w:t>
      </w:r>
    </w:p>
    <w:p>
      <w:pPr>
        <w:numPr>
          <w:ilvl w:val="0"/>
          <w:numId w:val="21"/>
        </w:numPr>
        <w:ind w:firstLine="65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办理条件：（1）在农行开立基本结算账户或一般结算账户。（2）借款人符合国家产业政策及我行信贷政策，生产经营正常,具备购货方认可的供货能力。（3）订单项下商品属于销货方营业执照经营范围内，商品质量稳定，符合国家及行业标准。（4）与购货方有两年以上稳定的供销关系，合作期间的履约交货记录及销售回款情况良好。（5）在金融机构无不良信用记录，或虽然有过不良信用记录，但不良信用记录的产生并非由于主观恶意且已全部偿还。</w:t>
      </w:r>
    </w:p>
    <w:p>
      <w:pPr>
        <w:numPr>
          <w:ilvl w:val="0"/>
          <w:numId w:val="21"/>
        </w:numPr>
        <w:ind w:firstLine="65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业务流程：客户申请--银行调查--业务审查审批--合同签署--贷款发放。</w:t>
      </w:r>
    </w:p>
    <w:p>
      <w:pPr>
        <w:numPr>
          <w:ilvl w:val="0"/>
          <w:numId w:val="22"/>
        </w:numPr>
        <w:ind w:firstLine="65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业务分管及联系人</w:t>
      </w:r>
    </w:p>
    <w:p>
      <w:pPr>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分管领导：蔡浩洋　18567663969</w:t>
      </w:r>
    </w:p>
    <w:p>
      <w:pPr>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客户经理：张琦颖　18567663732</w:t>
      </w:r>
    </w:p>
    <w:p>
      <w:pPr>
        <w:spacing w:line="620" w:lineRule="exact"/>
        <w:ind w:firstLine="420" w:firstLineChars="200"/>
        <w:rPr>
          <w:rFonts w:hint="eastAsia" w:ascii="宋体" w:hAnsi="宋体" w:eastAsia="宋体" w:cs="宋体"/>
          <w:color w:val="auto"/>
          <w:sz w:val="21"/>
          <w:szCs w:val="21"/>
          <w:highlight w:val="none"/>
        </w:rPr>
      </w:pPr>
    </w:p>
    <w:p>
      <w:pPr>
        <w:ind w:firstLine="413" w:firstLineChars="196"/>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华夏银行洛阳分行“政采贷”产品介绍</w:t>
      </w:r>
    </w:p>
    <w:p>
      <w:pPr>
        <w:jc w:val="center"/>
        <w:textAlignment w:val="baseline"/>
        <w:rPr>
          <w:rStyle w:val="44"/>
          <w:rFonts w:hint="eastAsia" w:ascii="宋体" w:hAnsi="宋体" w:eastAsia="宋体" w:cs="宋体"/>
          <w:color w:val="auto"/>
          <w:sz w:val="21"/>
          <w:szCs w:val="21"/>
          <w:highlight w:val="none"/>
        </w:rPr>
      </w:pPr>
    </w:p>
    <w:p>
      <w:pP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产品特点</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融资便捷快捷</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线上提交融资申请，线上反馈审批额度</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审批手续简便</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审批手续及所需的资料相对简便</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融资比例合理</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最高融资比例可达订单金额的80%</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价格合理灵活</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按实际融资天数计息，低于同业平均水平</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还款灵活方便</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按期还息，到期还本，可提前部分还款或全部还款</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无需抵押担保</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凭订单即可申请，无需追加抵押担保</w:t>
      </w:r>
    </w:p>
    <w:p>
      <w:pP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申请条件和资料</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经工商形状管理机关（或主管机关）核准登记的企业法人或个体工商户，有固定经营场所，合法经营；</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企业为货物或服务类供应商；</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未纳入政府采购严重违法失信行为记录名单；</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企业近三年中标数不少于2次；</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企业具备与中标项目相匹配的生产或销售资质。</w:t>
      </w:r>
    </w:p>
    <w:p>
      <w:pP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申请资料：</w:t>
      </w:r>
      <w:r>
        <w:rPr>
          <w:rFonts w:hint="eastAsia" w:ascii="宋体" w:hAnsi="宋体" w:eastAsia="宋体" w:cs="宋体"/>
          <w:color w:val="auto"/>
          <w:sz w:val="21"/>
          <w:szCs w:val="21"/>
          <w:highlight w:val="none"/>
        </w:rPr>
        <w:t>营业执照正副本、法人身份证</w:t>
      </w:r>
    </w:p>
    <w:p>
      <w:pP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申请流程：</w:t>
      </w:r>
      <w:r>
        <w:rPr>
          <w:rFonts w:hint="eastAsia" w:ascii="宋体" w:hAnsi="宋体" w:eastAsia="宋体" w:cs="宋体"/>
          <w:color w:val="auto"/>
          <w:sz w:val="21"/>
          <w:szCs w:val="21"/>
          <w:highlight w:val="none"/>
        </w:rPr>
        <w:t>通过河南省政府采购网进入“华夏政采E贷”根据提示完成授信申请，系统审批通过后，前往网点开立企业账户及签订贷款协议，登陆“华夏政采贷”根据提示完成放款申请，系统审批通过后完成提款。</w:t>
      </w:r>
    </w:p>
    <w:p>
      <w:pP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联系方式：</w:t>
      </w:r>
      <w:r>
        <w:rPr>
          <w:rFonts w:hint="eastAsia" w:ascii="宋体" w:hAnsi="宋体" w:eastAsia="宋体" w:cs="宋体"/>
          <w:color w:val="auto"/>
          <w:sz w:val="21"/>
          <w:szCs w:val="21"/>
          <w:highlight w:val="none"/>
        </w:rPr>
        <w:t>分管领导：马鲜平副行长</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部门经理：杜青青营销管理部经理13633790075</w:t>
      </w: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具体负责人联系方式：谢逸伦客户经理15038621500</w:t>
      </w:r>
    </w:p>
    <w:p>
      <w:pPr>
        <w:ind w:firstLine="413" w:firstLineChars="196"/>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中国光大银行政府采购贷融资产品</w:t>
      </w:r>
    </w:p>
    <w:p>
      <w:pPr>
        <w:ind w:firstLine="413" w:firstLineChars="196"/>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介绍及联系方式</w:t>
      </w:r>
    </w:p>
    <w:p>
      <w:pPr>
        <w:pStyle w:val="16"/>
        <w:widowControl/>
        <w:spacing w:beforeAutospacing="0" w:afterAutospacing="0"/>
        <w:ind w:firstLine="420" w:firstLineChars="200"/>
        <w:rPr>
          <w:rFonts w:hint="eastAsia" w:ascii="宋体" w:hAnsi="宋体" w:eastAsia="宋体" w:cs="宋体"/>
          <w:color w:val="auto"/>
          <w:sz w:val="21"/>
          <w:szCs w:val="21"/>
          <w:highlight w:val="none"/>
        </w:rPr>
      </w:pPr>
    </w:p>
    <w:p>
      <w:pPr>
        <w:pStyle w:val="16"/>
        <w:widowControl/>
        <w:numPr>
          <w:ilvl w:val="0"/>
          <w:numId w:val="23"/>
        </w:numPr>
        <w:spacing w:beforeAutospacing="0" w:afterAutospacing="0"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产品定义</w:t>
      </w:r>
    </w:p>
    <w:p>
      <w:pPr>
        <w:pStyle w:val="16"/>
        <w:widowControl/>
        <w:spacing w:beforeAutospacing="0" w:afterAutospacing="0" w:line="500" w:lineRule="exact"/>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“政采易”是指光大银行根据政府采购中标通知书，以政府财政支付资金为主要还款来源，通过封闭回款路径等方式，为中标供应商提供流动资金贷款。</w:t>
      </w:r>
    </w:p>
    <w:p>
      <w:pPr>
        <w:pStyle w:val="16"/>
        <w:widowControl/>
        <w:numPr>
          <w:ilvl w:val="0"/>
          <w:numId w:val="23"/>
        </w:numPr>
        <w:spacing w:beforeAutospacing="0" w:afterAutospacing="0"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借款人基本条件</w:t>
      </w:r>
    </w:p>
    <w:p>
      <w:p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（一）具有独立承担民事责任的能力,有固定的经营场所；</w:t>
      </w:r>
    </w:p>
    <w:p>
      <w:p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（二）企业成立1（含）年以上，且实际控制人有3年以上实际行业经验，具有良好的纳税记录、工商登记记录；</w:t>
      </w:r>
    </w:p>
    <w:p>
      <w:p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（三）企业具有履行合同所必需的设备和服务能力；</w:t>
      </w:r>
    </w:p>
    <w:p>
      <w:p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（四）生产经营符合国家法律法规、产业政策和环境保护要求，符合我行信贷政策；</w:t>
      </w:r>
    </w:p>
    <w:p>
      <w:p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（五）人行征信信息查询系统查询显示企业法人、法定代表人、主要经营者无重大不良记录；政府采购履约行为无不良记录；</w:t>
      </w:r>
    </w:p>
    <w:p>
      <w:p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（六）中标供应商在我行信用评级应在B-级（含）以上；</w:t>
      </w:r>
    </w:p>
    <w:p>
      <w:p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（七）我行要求的其他条件。</w:t>
      </w:r>
    </w:p>
    <w:p>
      <w:pPr>
        <w:pStyle w:val="16"/>
        <w:widowControl/>
        <w:numPr>
          <w:ilvl w:val="0"/>
          <w:numId w:val="23"/>
        </w:numPr>
        <w:spacing w:beforeAutospacing="0" w:afterAutospacing="0"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业务流程</w:t>
      </w:r>
    </w:p>
    <w:p>
      <w:pPr>
        <w:numPr>
          <w:ilvl w:val="0"/>
          <w:numId w:val="24"/>
        </w:num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供应商的采购资金纳入同级或以上政府财政预算。</w:t>
      </w:r>
    </w:p>
    <w:p>
      <w:pPr>
        <w:numPr>
          <w:ilvl w:val="0"/>
          <w:numId w:val="24"/>
        </w:num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供应商与政府采购部门签署采购合同。</w:t>
      </w:r>
    </w:p>
    <w:p>
      <w:pPr>
        <w:numPr>
          <w:ilvl w:val="0"/>
          <w:numId w:val="24"/>
        </w:num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采购合同在公开平台进行公示或者备案。</w:t>
      </w:r>
    </w:p>
    <w:p>
      <w:pPr>
        <w:numPr>
          <w:ilvl w:val="0"/>
          <w:numId w:val="24"/>
        </w:num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供应商依托采购合同，向光大银行申请融资。</w:t>
      </w:r>
    </w:p>
    <w:p>
      <w:pPr>
        <w:numPr>
          <w:ilvl w:val="0"/>
          <w:numId w:val="24"/>
        </w:num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光大银行对采购商进行调查，根据政府采购中标合同金额扣除预付款*一定比例发放融资款项。</w:t>
      </w:r>
    </w:p>
    <w:p>
      <w:pPr>
        <w:numPr>
          <w:ilvl w:val="0"/>
          <w:numId w:val="24"/>
        </w:numPr>
        <w:tabs>
          <w:tab w:val="left" w:pos="1560"/>
        </w:tabs>
        <w:adjustRightInd w:val="0"/>
        <w:snapToGrid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中标供应商须在光大银行开立结算账户并将其指定为企业政府采购结算专户，回款至该账户。</w:t>
      </w:r>
    </w:p>
    <w:p>
      <w:pPr>
        <w:pStyle w:val="16"/>
        <w:widowControl/>
        <w:numPr>
          <w:ilvl w:val="0"/>
          <w:numId w:val="23"/>
        </w:numPr>
        <w:spacing w:beforeAutospacing="0" w:afterAutospacing="0"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利率</w:t>
      </w:r>
    </w:p>
    <w:p>
      <w:pPr>
        <w:pStyle w:val="16"/>
        <w:widowControl/>
        <w:spacing w:beforeAutospacing="0" w:afterAutospacing="0" w:line="500" w:lineRule="exact"/>
        <w:ind w:firstLine="420" w:firstLineChars="200"/>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根据当地同业水平合理确定贷款利率水平，执行总行贷款利率授权管理政策。</w:t>
      </w:r>
    </w:p>
    <w:p>
      <w:pPr>
        <w:pStyle w:val="16"/>
        <w:widowControl/>
        <w:numPr>
          <w:ilvl w:val="0"/>
          <w:numId w:val="23"/>
        </w:numPr>
        <w:spacing w:beforeAutospacing="0" w:afterAutospacing="0"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贷款期限</w:t>
      </w:r>
    </w:p>
    <w:p>
      <w:pPr>
        <w:pStyle w:val="72"/>
        <w:tabs>
          <w:tab w:val="left" w:pos="1560"/>
        </w:tabs>
        <w:adjustRightInd w:val="0"/>
        <w:snapToGrid w:val="0"/>
        <w:spacing w:line="500" w:lineRule="exact"/>
        <w:ind w:firstLine="6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贷款期限应与政府采购合同中约定的结算周期、付款方式相匹配，最长不超过合同约定付款日期后两个月。</w:t>
      </w:r>
    </w:p>
    <w:p>
      <w:pPr>
        <w:pStyle w:val="16"/>
        <w:widowControl/>
        <w:numPr>
          <w:ilvl w:val="0"/>
          <w:numId w:val="23"/>
        </w:numPr>
        <w:spacing w:beforeAutospacing="0" w:afterAutospacing="0"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联系方式</w:t>
      </w:r>
    </w:p>
    <w:p>
      <w:pPr>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1、分管领导 ：王慧18837902280</w:t>
      </w:r>
    </w:p>
    <w:p>
      <w:pPr>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2、信贷经理：刘勇 18837995809</w:t>
      </w:r>
    </w:p>
    <w:p>
      <w:pPr>
        <w:rPr>
          <w:color w:val="auto"/>
        </w:rPr>
      </w:pPr>
    </w:p>
    <w:sectPr>
      <w:headerReference r:id="rId7" w:type="default"/>
      <w:footerReference r:id="rId8"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ingLiU">
    <w:panose1 w:val="02020509000000000000"/>
    <w:charset w:val="88"/>
    <w:family w:val="modern"/>
    <w:pitch w:val="default"/>
    <w:sig w:usb0="A00002FF" w:usb1="28CFFCFA" w:usb2="00000016" w:usb3="00000000" w:csb0="00100001" w:csb1="00000000"/>
  </w:font>
  <w:font w:name="华文中宋">
    <w:altName w:val="宋体"/>
    <w:panose1 w:val="00000000000000000000"/>
    <w:charset w:val="86"/>
    <w:family w:val="auto"/>
    <w:pitch w:val="default"/>
    <w:sig w:usb0="00000000" w:usb1="00000000" w:usb2="00000000" w:usb3="00000000" w:csb0="0004009F" w:csb1="DFD70000"/>
  </w:font>
  <w:font w:name="方正小标宋简体">
    <w:altName w:val="黑体"/>
    <w:panose1 w:val="03000509000000000000"/>
    <w:charset w:val="86"/>
    <w:family w:val="script"/>
    <w:pitch w:val="default"/>
    <w:sig w:usb0="00000000" w:usb1="00000000" w:usb2="00000000" w:usb3="00000000" w:csb0="00040000" w:csb1="00000000"/>
  </w:font>
  <w:font w:name="文星标宋">
    <w:altName w:val="微软雅黑"/>
    <w:panose1 w:val="00000000000000000000"/>
    <w:charset w:val="86"/>
    <w:family w:val="moder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rFonts w:eastAsia="仿宋_GB2312"/>
        <w:sz w:val="24"/>
      </w:rPr>
    </w:pPr>
    <w:r>
      <w:rPr>
        <w:sz w:val="24"/>
      </w:rP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path/>
          <v:fill on="f" focussize="0,0"/>
          <v:stroke on="f" weight="0.5pt" joinstyle="miter"/>
          <v:imagedata o:title=""/>
          <o:lock v:ext="edit"/>
          <v:textbox inset="0mm,0mm,0mm,0mm" style="mso-fit-shape-to-text:t;">
            <w:txbxContent>
              <w:p>
                <w:pPr>
                  <w:pStyle w:val="13"/>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_x0000_s2051" o:spid="_x0000_s2051"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path/>
          <v:fill on="f" focussize="0,0"/>
          <v:stroke on="f" weight="0.5pt" joinstyle="miter"/>
          <v:imagedata o:title=""/>
          <o:lock v:ext="edit"/>
          <v:textbox inset="0mm,0mm,0mm,0mm" style="mso-fit-shape-to-text:t;">
            <w:txbxContent>
              <w:p>
                <w:pPr>
                  <w:pStyle w:val="13"/>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s>
    </w:pPr>
    <w:r>
      <w:pict>
        <v:shape id="_x0000_s2049" o:spid="_x0000_s2049"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path/>
          <v:fill on="f" focussize="0,0"/>
          <v:stroke on="f" weight="0.5pt" joinstyle="miter"/>
          <v:imagedata o:title=""/>
          <o:lock v:ext="edit"/>
          <v:textbox inset="0mm,0mm,0mm,0mm" style="mso-fit-shape-to-text:t;">
            <w:txbxContent>
              <w:p>
                <w:pPr>
                  <w:pStyle w:val="13"/>
                </w:pPr>
                <w:r>
                  <w:rPr>
                    <w:rFonts w:hint="eastAsia"/>
                  </w:rPr>
                  <w:fldChar w:fldCharType="begin"/>
                </w:r>
                <w:r>
                  <w:rPr>
                    <w:rFonts w:hint="eastAsia"/>
                  </w:rPr>
                  <w:instrText xml:space="preserve"> PAGE  \* MERGEFORMAT </w:instrText>
                </w:r>
                <w:r>
                  <w:rPr>
                    <w:rFonts w:hint="eastAsia"/>
                  </w:rPr>
                  <w:fldChar w:fldCharType="separate"/>
                </w:r>
                <w:r>
                  <w:t>57</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240" w:firstLineChars="180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EDAC5D"/>
    <w:multiLevelType w:val="singleLevel"/>
    <w:tmpl w:val="81EDAC5D"/>
    <w:lvl w:ilvl="0" w:tentative="0">
      <w:start w:val="9"/>
      <w:numFmt w:val="decimal"/>
      <w:lvlText w:val="%1."/>
      <w:lvlJc w:val="left"/>
      <w:pPr>
        <w:tabs>
          <w:tab w:val="left" w:pos="312"/>
        </w:tabs>
        <w:ind w:left="0" w:firstLine="0"/>
      </w:pPr>
    </w:lvl>
  </w:abstractNum>
  <w:abstractNum w:abstractNumId="1">
    <w:nsid w:val="879991CF"/>
    <w:multiLevelType w:val="singleLevel"/>
    <w:tmpl w:val="879991CF"/>
    <w:lvl w:ilvl="0" w:tentative="0">
      <w:start w:val="4"/>
      <w:numFmt w:val="decimal"/>
      <w:suff w:val="space"/>
      <w:lvlText w:val="%1."/>
      <w:lvlJc w:val="left"/>
      <w:pPr>
        <w:tabs>
          <w:tab w:val="left" w:pos="0"/>
        </w:tabs>
        <w:ind w:left="0" w:firstLine="0"/>
      </w:pPr>
    </w:lvl>
  </w:abstractNum>
  <w:abstractNum w:abstractNumId="2">
    <w:nsid w:val="A867D394"/>
    <w:multiLevelType w:val="singleLevel"/>
    <w:tmpl w:val="A867D394"/>
    <w:lvl w:ilvl="0" w:tentative="0">
      <w:start w:val="5"/>
      <w:numFmt w:val="chineseCounting"/>
      <w:suff w:val="nothing"/>
      <w:lvlText w:val="（%1）"/>
      <w:lvlJc w:val="left"/>
      <w:rPr>
        <w:rFonts w:hint="eastAsia"/>
      </w:rPr>
    </w:lvl>
  </w:abstractNum>
  <w:abstractNum w:abstractNumId="3">
    <w:nsid w:val="AE18F2A9"/>
    <w:multiLevelType w:val="singleLevel"/>
    <w:tmpl w:val="AE18F2A9"/>
    <w:lvl w:ilvl="0" w:tentative="0">
      <w:start w:val="1"/>
      <w:numFmt w:val="chineseCounting"/>
      <w:suff w:val="nothing"/>
      <w:lvlText w:val="%1、"/>
      <w:lvlJc w:val="left"/>
      <w:rPr>
        <w:rFonts w:hint="eastAsia"/>
      </w:rPr>
    </w:lvl>
  </w:abstractNum>
  <w:abstractNum w:abstractNumId="4">
    <w:nsid w:val="D45882E9"/>
    <w:multiLevelType w:val="singleLevel"/>
    <w:tmpl w:val="D45882E9"/>
    <w:lvl w:ilvl="0" w:tentative="0">
      <w:start w:val="5"/>
      <w:numFmt w:val="decimal"/>
      <w:lvlText w:val="%1."/>
      <w:lvlJc w:val="left"/>
      <w:pPr>
        <w:tabs>
          <w:tab w:val="left" w:pos="312"/>
        </w:tabs>
      </w:pPr>
    </w:lvl>
  </w:abstractNum>
  <w:abstractNum w:abstractNumId="5">
    <w:nsid w:val="EEF231E6"/>
    <w:multiLevelType w:val="singleLevel"/>
    <w:tmpl w:val="EEF231E6"/>
    <w:lvl w:ilvl="0" w:tentative="0">
      <w:start w:val="1"/>
      <w:numFmt w:val="decimal"/>
      <w:suff w:val="nothing"/>
      <w:lvlText w:val="（%1）"/>
      <w:lvlJc w:val="left"/>
    </w:lvl>
  </w:abstractNum>
  <w:abstractNum w:abstractNumId="6">
    <w:nsid w:val="F1C7028B"/>
    <w:multiLevelType w:val="singleLevel"/>
    <w:tmpl w:val="F1C7028B"/>
    <w:lvl w:ilvl="0" w:tentative="0">
      <w:start w:val="1"/>
      <w:numFmt w:val="chineseCounting"/>
      <w:suff w:val="space"/>
      <w:lvlText w:val="第%1章"/>
      <w:lvlJc w:val="left"/>
      <w:rPr>
        <w:rFonts w:hint="eastAsia"/>
      </w:rPr>
    </w:lvl>
  </w:abstractNum>
  <w:abstractNum w:abstractNumId="7">
    <w:nsid w:val="F81E7529"/>
    <w:multiLevelType w:val="singleLevel"/>
    <w:tmpl w:val="F81E7529"/>
    <w:lvl w:ilvl="0" w:tentative="0">
      <w:start w:val="1"/>
      <w:numFmt w:val="decimal"/>
      <w:suff w:val="nothing"/>
      <w:lvlText w:val="（%1）"/>
      <w:lvlJc w:val="left"/>
    </w:lvl>
  </w:abstractNum>
  <w:abstractNum w:abstractNumId="8">
    <w:nsid w:val="00000004"/>
    <w:multiLevelType w:val="singleLevel"/>
    <w:tmpl w:val="00000004"/>
    <w:lvl w:ilvl="0" w:tentative="0">
      <w:start w:val="3"/>
      <w:numFmt w:val="chineseCounting"/>
      <w:suff w:val="nothing"/>
      <w:lvlText w:val="%1、"/>
      <w:lvlJc w:val="left"/>
      <w:rPr>
        <w:rFonts w:hint="eastAsia"/>
      </w:rPr>
    </w:lvl>
  </w:abstractNum>
  <w:abstractNum w:abstractNumId="9">
    <w:nsid w:val="00000009"/>
    <w:multiLevelType w:val="multilevel"/>
    <w:tmpl w:val="00000009"/>
    <w:lvl w:ilvl="0" w:tentative="0">
      <w:start w:val="1"/>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0000000A"/>
    <w:multiLevelType w:val="multilevel"/>
    <w:tmpl w:val="0000000A"/>
    <w:lvl w:ilvl="0" w:tentative="0">
      <w:start w:val="1"/>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0B"/>
    <w:multiLevelType w:val="singleLevel"/>
    <w:tmpl w:val="0000000B"/>
    <w:lvl w:ilvl="0" w:tentative="0">
      <w:start w:val="1"/>
      <w:numFmt w:val="chineseCounting"/>
      <w:suff w:val="nothing"/>
      <w:lvlText w:val="（%1）"/>
      <w:lvlJc w:val="left"/>
      <w:rPr>
        <w:rFonts w:hint="eastAsia"/>
      </w:rPr>
    </w:lvl>
  </w:abstractNum>
  <w:abstractNum w:abstractNumId="12">
    <w:nsid w:val="0000000C"/>
    <w:multiLevelType w:val="singleLevel"/>
    <w:tmpl w:val="0000000C"/>
    <w:lvl w:ilvl="0" w:tentative="0">
      <w:start w:val="1"/>
      <w:numFmt w:val="decimal"/>
      <w:suff w:val="nothing"/>
      <w:lvlText w:val="%1、"/>
      <w:lvlJc w:val="left"/>
    </w:lvl>
  </w:abstractNum>
  <w:abstractNum w:abstractNumId="13">
    <w:nsid w:val="0000000F"/>
    <w:multiLevelType w:val="singleLevel"/>
    <w:tmpl w:val="0000000F"/>
    <w:lvl w:ilvl="0" w:tentative="0">
      <w:start w:val="1"/>
      <w:numFmt w:val="chineseCounting"/>
      <w:suff w:val="nothing"/>
      <w:lvlText w:val="%1、"/>
      <w:lvlJc w:val="left"/>
      <w:rPr>
        <w:rFonts w:hint="eastAsia"/>
      </w:rPr>
    </w:lvl>
  </w:abstractNum>
  <w:abstractNum w:abstractNumId="14">
    <w:nsid w:val="00000011"/>
    <w:multiLevelType w:val="singleLevel"/>
    <w:tmpl w:val="00000011"/>
    <w:lvl w:ilvl="0" w:tentative="0">
      <w:start w:val="4"/>
      <w:numFmt w:val="decimal"/>
      <w:suff w:val="nothing"/>
      <w:lvlText w:val="%1、"/>
      <w:lvlJc w:val="left"/>
    </w:lvl>
  </w:abstractNum>
  <w:abstractNum w:abstractNumId="15">
    <w:nsid w:val="00000018"/>
    <w:multiLevelType w:val="multilevel"/>
    <w:tmpl w:val="00000018"/>
    <w:lvl w:ilvl="0" w:tentative="0">
      <w:start w:val="1"/>
      <w:numFmt w:val="decimal"/>
      <w:lvlText w:val="%1、"/>
      <w:lvlJc w:val="left"/>
      <w:pPr>
        <w:ind w:left="1440" w:hanging="720"/>
      </w:pPr>
      <w:rPr>
        <w:rFonts w:ascii="宋体" w:hAnsi="宋体" w:eastAsia="宋体" w:cs="Times New Roman"/>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16">
    <w:nsid w:val="0000001C"/>
    <w:multiLevelType w:val="singleLevel"/>
    <w:tmpl w:val="0000001C"/>
    <w:lvl w:ilvl="0" w:tentative="0">
      <w:start w:val="1"/>
      <w:numFmt w:val="decimal"/>
      <w:suff w:val="nothing"/>
      <w:lvlText w:val="%1、"/>
      <w:lvlJc w:val="left"/>
    </w:lvl>
  </w:abstractNum>
  <w:abstractNum w:abstractNumId="17">
    <w:nsid w:val="0000001E"/>
    <w:multiLevelType w:val="singleLevel"/>
    <w:tmpl w:val="0000001E"/>
    <w:lvl w:ilvl="0" w:tentative="0">
      <w:start w:val="1"/>
      <w:numFmt w:val="chineseCounting"/>
      <w:suff w:val="nothing"/>
      <w:lvlText w:val="%1、"/>
      <w:lvlJc w:val="left"/>
      <w:rPr>
        <w:rFonts w:hint="eastAsia"/>
      </w:rPr>
    </w:lvl>
  </w:abstractNum>
  <w:abstractNum w:abstractNumId="18">
    <w:nsid w:val="00000021"/>
    <w:multiLevelType w:val="singleLevel"/>
    <w:tmpl w:val="00000021"/>
    <w:lvl w:ilvl="0" w:tentative="0">
      <w:start w:val="3"/>
      <w:numFmt w:val="chineseCounting"/>
      <w:suff w:val="nothing"/>
      <w:lvlText w:val="%1、"/>
      <w:lvlJc w:val="left"/>
    </w:lvl>
  </w:abstractNum>
  <w:abstractNum w:abstractNumId="19">
    <w:nsid w:val="00000022"/>
    <w:multiLevelType w:val="multilevel"/>
    <w:tmpl w:val="00000022"/>
    <w:lvl w:ilvl="0" w:tentative="0">
      <w:start w:val="1"/>
      <w:numFmt w:val="japaneseCounting"/>
      <w:lvlText w:val="%1、"/>
      <w:lvlJc w:val="left"/>
      <w:pPr>
        <w:ind w:left="420" w:hanging="420"/>
      </w:pPr>
      <w:rPr>
        <w:rFonts w:hint="default"/>
      </w:rPr>
    </w:lvl>
    <w:lvl w:ilvl="1" w:tentative="0">
      <w:start w:val="3"/>
      <w:numFmt w:val="decimal"/>
      <w:lvlText w:val="%2、"/>
      <w:lvlJc w:val="left"/>
      <w:pPr>
        <w:ind w:left="780" w:hanging="360"/>
      </w:pPr>
      <w:rPr>
        <w:rFonts w:hint="default"/>
      </w:rPr>
    </w:lvl>
    <w:lvl w:ilvl="2" w:tentative="0">
      <w:start w:val="2"/>
      <w:numFmt w:val="decimal"/>
      <w:lvlText w:val="%3、"/>
      <w:lvlJc w:val="left"/>
      <w:pPr>
        <w:ind w:left="1200" w:hanging="36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1B50774A"/>
    <w:multiLevelType w:val="singleLevel"/>
    <w:tmpl w:val="1B50774A"/>
    <w:lvl w:ilvl="0" w:tentative="0">
      <w:start w:val="3"/>
      <w:numFmt w:val="decimal"/>
      <w:suff w:val="nothing"/>
      <w:lvlText w:val="（%1）"/>
      <w:lvlJc w:val="left"/>
    </w:lvl>
  </w:abstractNum>
  <w:abstractNum w:abstractNumId="21">
    <w:nsid w:val="2EE8E234"/>
    <w:multiLevelType w:val="singleLevel"/>
    <w:tmpl w:val="2EE8E234"/>
    <w:lvl w:ilvl="0" w:tentative="0">
      <w:start w:val="1"/>
      <w:numFmt w:val="decimal"/>
      <w:suff w:val="nothing"/>
      <w:lvlText w:val="（%1）"/>
      <w:lvlJc w:val="left"/>
      <w:rPr>
        <w:rFonts w:hint="default"/>
        <w:b/>
        <w:bCs/>
      </w:rPr>
    </w:lvl>
  </w:abstractNum>
  <w:abstractNum w:abstractNumId="22">
    <w:nsid w:val="2F2668CE"/>
    <w:multiLevelType w:val="singleLevel"/>
    <w:tmpl w:val="2F2668CE"/>
    <w:lvl w:ilvl="0" w:tentative="0">
      <w:start w:val="1"/>
      <w:numFmt w:val="decimal"/>
      <w:suff w:val="nothing"/>
      <w:lvlText w:val="%1．"/>
      <w:lvlJc w:val="left"/>
    </w:lvl>
  </w:abstractNum>
  <w:abstractNum w:abstractNumId="23">
    <w:nsid w:val="732F2F6C"/>
    <w:multiLevelType w:val="singleLevel"/>
    <w:tmpl w:val="732F2F6C"/>
    <w:lvl w:ilvl="0" w:tentative="0">
      <w:start w:val="1"/>
      <w:numFmt w:val="decimal"/>
      <w:suff w:val="space"/>
      <w:lvlText w:val="%1."/>
      <w:lvlJc w:val="left"/>
    </w:lvl>
  </w:abstractNum>
  <w:num w:numId="1">
    <w:abstractNumId w:val="6"/>
  </w:num>
  <w:num w:numId="2">
    <w:abstractNumId w:val="7"/>
  </w:num>
  <w:num w:numId="3">
    <w:abstractNumId w:val="0"/>
  </w:num>
  <w:num w:numId="4">
    <w:abstractNumId w:val="21"/>
  </w:num>
  <w:num w:numId="5">
    <w:abstractNumId w:val="3"/>
  </w:num>
  <w:num w:numId="6">
    <w:abstractNumId w:val="20"/>
  </w:num>
  <w:num w:numId="7">
    <w:abstractNumId w:val="4"/>
  </w:num>
  <w:num w:numId="8">
    <w:abstractNumId w:val="5"/>
  </w:num>
  <w:num w:numId="9">
    <w:abstractNumId w:val="2"/>
  </w:num>
  <w:num w:numId="10">
    <w:abstractNumId w:val="1"/>
  </w:num>
  <w:num w:numId="11">
    <w:abstractNumId w:val="10"/>
  </w:num>
  <w:num w:numId="12">
    <w:abstractNumId w:val="22"/>
  </w:num>
  <w:num w:numId="13">
    <w:abstractNumId w:val="9"/>
  </w:num>
  <w:num w:numId="14">
    <w:abstractNumId w:val="23"/>
  </w:num>
  <w:num w:numId="15">
    <w:abstractNumId w:val="8"/>
  </w:num>
  <w:num w:numId="16">
    <w:abstractNumId w:val="16"/>
  </w:num>
  <w:num w:numId="17">
    <w:abstractNumId w:val="15"/>
  </w:num>
  <w:num w:numId="18">
    <w:abstractNumId w:val="17"/>
  </w:num>
  <w:num w:numId="19">
    <w:abstractNumId w:val="12"/>
  </w:num>
  <w:num w:numId="20">
    <w:abstractNumId w:val="19"/>
  </w:num>
  <w:num w:numId="21">
    <w:abstractNumId w:val="14"/>
  </w:num>
  <w:num w:numId="22">
    <w:abstractNumId w:val="18"/>
  </w:num>
  <w:num w:numId="23">
    <w:abstractNumId w:val="13"/>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D7E0F3F"/>
    <w:rsid w:val="00023373"/>
    <w:rsid w:val="00080B7E"/>
    <w:rsid w:val="00092DA9"/>
    <w:rsid w:val="00207887"/>
    <w:rsid w:val="00225959"/>
    <w:rsid w:val="0030172B"/>
    <w:rsid w:val="00393AEB"/>
    <w:rsid w:val="005B2935"/>
    <w:rsid w:val="00623948"/>
    <w:rsid w:val="006F15A5"/>
    <w:rsid w:val="00841C7D"/>
    <w:rsid w:val="00851044"/>
    <w:rsid w:val="008C3C6A"/>
    <w:rsid w:val="008D48E6"/>
    <w:rsid w:val="008F6B3F"/>
    <w:rsid w:val="008F73DD"/>
    <w:rsid w:val="00930AB7"/>
    <w:rsid w:val="00990F66"/>
    <w:rsid w:val="00AD3FA9"/>
    <w:rsid w:val="00B47417"/>
    <w:rsid w:val="00BF3D5A"/>
    <w:rsid w:val="00CB40B9"/>
    <w:rsid w:val="00D511BE"/>
    <w:rsid w:val="00EE14C0"/>
    <w:rsid w:val="00F11432"/>
    <w:rsid w:val="00F80254"/>
    <w:rsid w:val="011E3D92"/>
    <w:rsid w:val="013A6E17"/>
    <w:rsid w:val="013B2B96"/>
    <w:rsid w:val="014B75A9"/>
    <w:rsid w:val="01643286"/>
    <w:rsid w:val="017E0FBD"/>
    <w:rsid w:val="019B2BB6"/>
    <w:rsid w:val="01B11D97"/>
    <w:rsid w:val="01BB5A85"/>
    <w:rsid w:val="028F212E"/>
    <w:rsid w:val="036831A2"/>
    <w:rsid w:val="03700E4C"/>
    <w:rsid w:val="0374000D"/>
    <w:rsid w:val="03DD57A4"/>
    <w:rsid w:val="045C36BB"/>
    <w:rsid w:val="04BD4F41"/>
    <w:rsid w:val="053426BE"/>
    <w:rsid w:val="0553007F"/>
    <w:rsid w:val="06135E8F"/>
    <w:rsid w:val="064B7ECA"/>
    <w:rsid w:val="06765426"/>
    <w:rsid w:val="06D8581E"/>
    <w:rsid w:val="06E53F82"/>
    <w:rsid w:val="070B32E4"/>
    <w:rsid w:val="074012BF"/>
    <w:rsid w:val="07843F6D"/>
    <w:rsid w:val="07CA0A95"/>
    <w:rsid w:val="07E75201"/>
    <w:rsid w:val="087555F7"/>
    <w:rsid w:val="08924099"/>
    <w:rsid w:val="08B90493"/>
    <w:rsid w:val="08EE56BC"/>
    <w:rsid w:val="095D77AE"/>
    <w:rsid w:val="09F80106"/>
    <w:rsid w:val="0A705AA6"/>
    <w:rsid w:val="0A73674A"/>
    <w:rsid w:val="0B043141"/>
    <w:rsid w:val="0B0639A2"/>
    <w:rsid w:val="0B185CF6"/>
    <w:rsid w:val="0BF54A2C"/>
    <w:rsid w:val="0C026902"/>
    <w:rsid w:val="0C162316"/>
    <w:rsid w:val="0C4479FF"/>
    <w:rsid w:val="0CF34864"/>
    <w:rsid w:val="0D060EDE"/>
    <w:rsid w:val="0D9A4173"/>
    <w:rsid w:val="0D9C6394"/>
    <w:rsid w:val="0DFB4F9A"/>
    <w:rsid w:val="0E305688"/>
    <w:rsid w:val="0E6D1171"/>
    <w:rsid w:val="0EA3680A"/>
    <w:rsid w:val="0F357B83"/>
    <w:rsid w:val="0F465F3B"/>
    <w:rsid w:val="0F5C551E"/>
    <w:rsid w:val="0F9D5510"/>
    <w:rsid w:val="100C332A"/>
    <w:rsid w:val="100F3F5B"/>
    <w:rsid w:val="102A478B"/>
    <w:rsid w:val="103C2737"/>
    <w:rsid w:val="105552F6"/>
    <w:rsid w:val="10853B18"/>
    <w:rsid w:val="10ED0CE0"/>
    <w:rsid w:val="10FF391D"/>
    <w:rsid w:val="111E36DF"/>
    <w:rsid w:val="11A324C1"/>
    <w:rsid w:val="120C3B82"/>
    <w:rsid w:val="1218784C"/>
    <w:rsid w:val="12BC229F"/>
    <w:rsid w:val="12F66539"/>
    <w:rsid w:val="130244F2"/>
    <w:rsid w:val="13720D3E"/>
    <w:rsid w:val="13CA0B4A"/>
    <w:rsid w:val="13EF6C99"/>
    <w:rsid w:val="140B478A"/>
    <w:rsid w:val="14421921"/>
    <w:rsid w:val="14B13605"/>
    <w:rsid w:val="14BE409E"/>
    <w:rsid w:val="157E6E03"/>
    <w:rsid w:val="16004BB5"/>
    <w:rsid w:val="160B39A8"/>
    <w:rsid w:val="16172D1F"/>
    <w:rsid w:val="166D6A5B"/>
    <w:rsid w:val="16A9782F"/>
    <w:rsid w:val="16BC2123"/>
    <w:rsid w:val="17215224"/>
    <w:rsid w:val="172E6DA7"/>
    <w:rsid w:val="17411D9A"/>
    <w:rsid w:val="17E607E2"/>
    <w:rsid w:val="18D20876"/>
    <w:rsid w:val="19C07C84"/>
    <w:rsid w:val="19C4363D"/>
    <w:rsid w:val="1A083A07"/>
    <w:rsid w:val="1A0B1C51"/>
    <w:rsid w:val="1A2825CC"/>
    <w:rsid w:val="1A314270"/>
    <w:rsid w:val="1A8D2020"/>
    <w:rsid w:val="1AB60921"/>
    <w:rsid w:val="1B395E15"/>
    <w:rsid w:val="1B57659D"/>
    <w:rsid w:val="1BEA4D2A"/>
    <w:rsid w:val="1BED03F1"/>
    <w:rsid w:val="1C3A2C3E"/>
    <w:rsid w:val="1CA32091"/>
    <w:rsid w:val="1CBC27BE"/>
    <w:rsid w:val="1CDF5103"/>
    <w:rsid w:val="1D084AA7"/>
    <w:rsid w:val="1DF42C49"/>
    <w:rsid w:val="1DFD2AC1"/>
    <w:rsid w:val="1E5A38CC"/>
    <w:rsid w:val="1E9804D0"/>
    <w:rsid w:val="1EA01EFF"/>
    <w:rsid w:val="1ED52470"/>
    <w:rsid w:val="1EED2A89"/>
    <w:rsid w:val="1EF14294"/>
    <w:rsid w:val="1F0C1276"/>
    <w:rsid w:val="1F250A96"/>
    <w:rsid w:val="1F260363"/>
    <w:rsid w:val="1F7E7849"/>
    <w:rsid w:val="1F850B13"/>
    <w:rsid w:val="1F894F82"/>
    <w:rsid w:val="20125429"/>
    <w:rsid w:val="22530720"/>
    <w:rsid w:val="22823D9A"/>
    <w:rsid w:val="23335982"/>
    <w:rsid w:val="23EA26A6"/>
    <w:rsid w:val="245F65B2"/>
    <w:rsid w:val="24A22D5A"/>
    <w:rsid w:val="24D9609E"/>
    <w:rsid w:val="24E8008F"/>
    <w:rsid w:val="24E94215"/>
    <w:rsid w:val="250B795F"/>
    <w:rsid w:val="25360EEC"/>
    <w:rsid w:val="25367B6B"/>
    <w:rsid w:val="255B38A6"/>
    <w:rsid w:val="256E427B"/>
    <w:rsid w:val="25E66E9B"/>
    <w:rsid w:val="260A28ED"/>
    <w:rsid w:val="262F656B"/>
    <w:rsid w:val="26440926"/>
    <w:rsid w:val="26515D64"/>
    <w:rsid w:val="267666D8"/>
    <w:rsid w:val="26CB4BF0"/>
    <w:rsid w:val="26D918A7"/>
    <w:rsid w:val="26D97151"/>
    <w:rsid w:val="26FA3A5B"/>
    <w:rsid w:val="272E56A9"/>
    <w:rsid w:val="274322CE"/>
    <w:rsid w:val="287C7DDE"/>
    <w:rsid w:val="28DF4C1B"/>
    <w:rsid w:val="293E3C0C"/>
    <w:rsid w:val="295F1699"/>
    <w:rsid w:val="296240A7"/>
    <w:rsid w:val="29FD7B5E"/>
    <w:rsid w:val="2A5C6779"/>
    <w:rsid w:val="2ABF1ADB"/>
    <w:rsid w:val="2B19404B"/>
    <w:rsid w:val="2B3C5CD7"/>
    <w:rsid w:val="2B442823"/>
    <w:rsid w:val="2B561565"/>
    <w:rsid w:val="2BA92D42"/>
    <w:rsid w:val="2BE1127E"/>
    <w:rsid w:val="2BF72C8E"/>
    <w:rsid w:val="2C9B633F"/>
    <w:rsid w:val="2CAA18B8"/>
    <w:rsid w:val="2D1B3341"/>
    <w:rsid w:val="2D9D410D"/>
    <w:rsid w:val="2E6C1D31"/>
    <w:rsid w:val="2E92393A"/>
    <w:rsid w:val="2EAE3773"/>
    <w:rsid w:val="30083242"/>
    <w:rsid w:val="30706B97"/>
    <w:rsid w:val="31205D2A"/>
    <w:rsid w:val="318C3220"/>
    <w:rsid w:val="318F07DD"/>
    <w:rsid w:val="319C575F"/>
    <w:rsid w:val="31B76B1D"/>
    <w:rsid w:val="31E0414C"/>
    <w:rsid w:val="32496611"/>
    <w:rsid w:val="32A67B8D"/>
    <w:rsid w:val="32CE2891"/>
    <w:rsid w:val="32D94678"/>
    <w:rsid w:val="33240467"/>
    <w:rsid w:val="33337C6E"/>
    <w:rsid w:val="33A169D2"/>
    <w:rsid w:val="33FA52CA"/>
    <w:rsid w:val="34007A44"/>
    <w:rsid w:val="34200CC7"/>
    <w:rsid w:val="34A27A0D"/>
    <w:rsid w:val="35040F79"/>
    <w:rsid w:val="353D2186"/>
    <w:rsid w:val="3575145F"/>
    <w:rsid w:val="35AF5A7D"/>
    <w:rsid w:val="35DD539E"/>
    <w:rsid w:val="35DE24A4"/>
    <w:rsid w:val="365C60A1"/>
    <w:rsid w:val="369E7DB3"/>
    <w:rsid w:val="36B91D0E"/>
    <w:rsid w:val="36DD2182"/>
    <w:rsid w:val="37A72886"/>
    <w:rsid w:val="37DB5C00"/>
    <w:rsid w:val="37F65537"/>
    <w:rsid w:val="38034AE7"/>
    <w:rsid w:val="381F06A6"/>
    <w:rsid w:val="38680B6B"/>
    <w:rsid w:val="386C2A95"/>
    <w:rsid w:val="38A4495C"/>
    <w:rsid w:val="38C335D4"/>
    <w:rsid w:val="38CD00BD"/>
    <w:rsid w:val="38CD49C2"/>
    <w:rsid w:val="38D82793"/>
    <w:rsid w:val="395C6E42"/>
    <w:rsid w:val="396C6EC5"/>
    <w:rsid w:val="39CB53EE"/>
    <w:rsid w:val="3A342D73"/>
    <w:rsid w:val="3A4D762E"/>
    <w:rsid w:val="3AAB43F5"/>
    <w:rsid w:val="3B294F6A"/>
    <w:rsid w:val="3B7C66DB"/>
    <w:rsid w:val="3C395A99"/>
    <w:rsid w:val="3C5102E9"/>
    <w:rsid w:val="3C6515B2"/>
    <w:rsid w:val="3CC04877"/>
    <w:rsid w:val="3CE36599"/>
    <w:rsid w:val="3D8726E3"/>
    <w:rsid w:val="3D900F63"/>
    <w:rsid w:val="3DB114AE"/>
    <w:rsid w:val="3E9E2D45"/>
    <w:rsid w:val="3EA83E34"/>
    <w:rsid w:val="3EB0121A"/>
    <w:rsid w:val="3EBB0667"/>
    <w:rsid w:val="3ED71449"/>
    <w:rsid w:val="3F2E4002"/>
    <w:rsid w:val="3F9458C8"/>
    <w:rsid w:val="3FA84300"/>
    <w:rsid w:val="3FAE6E8A"/>
    <w:rsid w:val="3FC525E0"/>
    <w:rsid w:val="3FCB1AE2"/>
    <w:rsid w:val="3FF9083F"/>
    <w:rsid w:val="40251883"/>
    <w:rsid w:val="40573EBD"/>
    <w:rsid w:val="415F1DBF"/>
    <w:rsid w:val="41AE167A"/>
    <w:rsid w:val="42075BA1"/>
    <w:rsid w:val="42D5564D"/>
    <w:rsid w:val="43166C39"/>
    <w:rsid w:val="43412506"/>
    <w:rsid w:val="4341761E"/>
    <w:rsid w:val="439B2B10"/>
    <w:rsid w:val="439E2535"/>
    <w:rsid w:val="444E6C42"/>
    <w:rsid w:val="44C34FC0"/>
    <w:rsid w:val="44F2408A"/>
    <w:rsid w:val="44F82041"/>
    <w:rsid w:val="452D1DC2"/>
    <w:rsid w:val="453244E6"/>
    <w:rsid w:val="453A46EE"/>
    <w:rsid w:val="45715825"/>
    <w:rsid w:val="459011D2"/>
    <w:rsid w:val="45A95257"/>
    <w:rsid w:val="46573FF7"/>
    <w:rsid w:val="465D35AC"/>
    <w:rsid w:val="471A45F0"/>
    <w:rsid w:val="47864485"/>
    <w:rsid w:val="478A5043"/>
    <w:rsid w:val="478C52E9"/>
    <w:rsid w:val="479836E7"/>
    <w:rsid w:val="479D42E1"/>
    <w:rsid w:val="47C7290D"/>
    <w:rsid w:val="48014AD3"/>
    <w:rsid w:val="482B1FEB"/>
    <w:rsid w:val="483F643C"/>
    <w:rsid w:val="48932167"/>
    <w:rsid w:val="48A21FE3"/>
    <w:rsid w:val="492175D8"/>
    <w:rsid w:val="493513A5"/>
    <w:rsid w:val="49521F55"/>
    <w:rsid w:val="49A97679"/>
    <w:rsid w:val="49D32EF1"/>
    <w:rsid w:val="4A3E058B"/>
    <w:rsid w:val="4A6B23AF"/>
    <w:rsid w:val="4AA8732C"/>
    <w:rsid w:val="4BFB68CF"/>
    <w:rsid w:val="4C402109"/>
    <w:rsid w:val="4C565975"/>
    <w:rsid w:val="4CAD52C4"/>
    <w:rsid w:val="4CF1268D"/>
    <w:rsid w:val="4D5A2B79"/>
    <w:rsid w:val="4D6A5182"/>
    <w:rsid w:val="4D7E0F3F"/>
    <w:rsid w:val="4D812CAB"/>
    <w:rsid w:val="4DAE594D"/>
    <w:rsid w:val="4DE57C10"/>
    <w:rsid w:val="4E034F77"/>
    <w:rsid w:val="4E2D11CD"/>
    <w:rsid w:val="4EF93012"/>
    <w:rsid w:val="4F3D2C02"/>
    <w:rsid w:val="4F477A26"/>
    <w:rsid w:val="4FAA6FB3"/>
    <w:rsid w:val="50CA10A7"/>
    <w:rsid w:val="51A629DE"/>
    <w:rsid w:val="51BB5D62"/>
    <w:rsid w:val="51D579E4"/>
    <w:rsid w:val="51DE5726"/>
    <w:rsid w:val="52095ACB"/>
    <w:rsid w:val="5354086A"/>
    <w:rsid w:val="537B1C8E"/>
    <w:rsid w:val="53A8235A"/>
    <w:rsid w:val="53B7606C"/>
    <w:rsid w:val="53C76785"/>
    <w:rsid w:val="53EA4514"/>
    <w:rsid w:val="54A44F37"/>
    <w:rsid w:val="54DD6C0E"/>
    <w:rsid w:val="55C71B60"/>
    <w:rsid w:val="55DD0C9B"/>
    <w:rsid w:val="565A547F"/>
    <w:rsid w:val="569B29BC"/>
    <w:rsid w:val="56B15D27"/>
    <w:rsid w:val="56F95425"/>
    <w:rsid w:val="578E796D"/>
    <w:rsid w:val="578F2F08"/>
    <w:rsid w:val="5798142B"/>
    <w:rsid w:val="57F26314"/>
    <w:rsid w:val="580A115D"/>
    <w:rsid w:val="58553D9E"/>
    <w:rsid w:val="5910004B"/>
    <w:rsid w:val="591F366D"/>
    <w:rsid w:val="59533FF6"/>
    <w:rsid w:val="59560AD3"/>
    <w:rsid w:val="59587BB4"/>
    <w:rsid w:val="59FE40FA"/>
    <w:rsid w:val="5A1564CD"/>
    <w:rsid w:val="5A2E24DB"/>
    <w:rsid w:val="5A3D14BA"/>
    <w:rsid w:val="5AC85796"/>
    <w:rsid w:val="5B1E6130"/>
    <w:rsid w:val="5B4A7339"/>
    <w:rsid w:val="5B6A67F2"/>
    <w:rsid w:val="5B6B57D0"/>
    <w:rsid w:val="5BE72ADA"/>
    <w:rsid w:val="5C214A75"/>
    <w:rsid w:val="5C512F80"/>
    <w:rsid w:val="5C592DEE"/>
    <w:rsid w:val="5C834C1E"/>
    <w:rsid w:val="5C836700"/>
    <w:rsid w:val="5C941C37"/>
    <w:rsid w:val="5CA41A38"/>
    <w:rsid w:val="5D032DE7"/>
    <w:rsid w:val="5D164608"/>
    <w:rsid w:val="5D347CB6"/>
    <w:rsid w:val="5D8B7A78"/>
    <w:rsid w:val="5ED864A3"/>
    <w:rsid w:val="5EF304D6"/>
    <w:rsid w:val="5F1826CC"/>
    <w:rsid w:val="5F74538D"/>
    <w:rsid w:val="5F845BC3"/>
    <w:rsid w:val="5F993B7F"/>
    <w:rsid w:val="5FB83B94"/>
    <w:rsid w:val="5FC17D83"/>
    <w:rsid w:val="5FF95C6B"/>
    <w:rsid w:val="606C644F"/>
    <w:rsid w:val="608A3166"/>
    <w:rsid w:val="60E3095A"/>
    <w:rsid w:val="60F914CD"/>
    <w:rsid w:val="613C51B5"/>
    <w:rsid w:val="61786CDB"/>
    <w:rsid w:val="61E02652"/>
    <w:rsid w:val="62150A03"/>
    <w:rsid w:val="62A314E6"/>
    <w:rsid w:val="62AF4585"/>
    <w:rsid w:val="62C40FEB"/>
    <w:rsid w:val="62DB6208"/>
    <w:rsid w:val="62E05087"/>
    <w:rsid w:val="63257CD6"/>
    <w:rsid w:val="63467FAF"/>
    <w:rsid w:val="634E197B"/>
    <w:rsid w:val="637D50C7"/>
    <w:rsid w:val="639B61E9"/>
    <w:rsid w:val="63AB02EC"/>
    <w:rsid w:val="63CF1FEF"/>
    <w:rsid w:val="63E17C3C"/>
    <w:rsid w:val="63FD6A79"/>
    <w:rsid w:val="643B7BC9"/>
    <w:rsid w:val="64842988"/>
    <w:rsid w:val="64F54465"/>
    <w:rsid w:val="650F127F"/>
    <w:rsid w:val="65BC4F2D"/>
    <w:rsid w:val="67234D02"/>
    <w:rsid w:val="68240786"/>
    <w:rsid w:val="686F613F"/>
    <w:rsid w:val="695D3C5E"/>
    <w:rsid w:val="69651263"/>
    <w:rsid w:val="69766056"/>
    <w:rsid w:val="69EA1BA0"/>
    <w:rsid w:val="6A1567FD"/>
    <w:rsid w:val="6A393713"/>
    <w:rsid w:val="6AA463CC"/>
    <w:rsid w:val="6AE84C44"/>
    <w:rsid w:val="6AEF52A0"/>
    <w:rsid w:val="6AF34E01"/>
    <w:rsid w:val="6B447CB8"/>
    <w:rsid w:val="6B570075"/>
    <w:rsid w:val="6B733163"/>
    <w:rsid w:val="6B8352F6"/>
    <w:rsid w:val="6BFB0A24"/>
    <w:rsid w:val="6C1330F9"/>
    <w:rsid w:val="6C8918EF"/>
    <w:rsid w:val="6C8D2AAD"/>
    <w:rsid w:val="6CEF05F5"/>
    <w:rsid w:val="6D0668AB"/>
    <w:rsid w:val="6DA44F0F"/>
    <w:rsid w:val="6E5B4E3E"/>
    <w:rsid w:val="6E5F5CA0"/>
    <w:rsid w:val="6E62139C"/>
    <w:rsid w:val="6E8C78A8"/>
    <w:rsid w:val="6EA844C9"/>
    <w:rsid w:val="6EC175DC"/>
    <w:rsid w:val="6F220A64"/>
    <w:rsid w:val="6F320E8D"/>
    <w:rsid w:val="6F87189B"/>
    <w:rsid w:val="6F873499"/>
    <w:rsid w:val="6FAF71C2"/>
    <w:rsid w:val="6FB1521A"/>
    <w:rsid w:val="70ED7DAD"/>
    <w:rsid w:val="70F13763"/>
    <w:rsid w:val="710B51AE"/>
    <w:rsid w:val="71892F73"/>
    <w:rsid w:val="71C12B36"/>
    <w:rsid w:val="71E62E3B"/>
    <w:rsid w:val="72D82629"/>
    <w:rsid w:val="72F81823"/>
    <w:rsid w:val="72F852ED"/>
    <w:rsid w:val="730955EE"/>
    <w:rsid w:val="73D24A1D"/>
    <w:rsid w:val="74B05150"/>
    <w:rsid w:val="74B81EF9"/>
    <w:rsid w:val="74FA302E"/>
    <w:rsid w:val="751A74A8"/>
    <w:rsid w:val="756133E7"/>
    <w:rsid w:val="756B1E7D"/>
    <w:rsid w:val="75731E6F"/>
    <w:rsid w:val="757717FD"/>
    <w:rsid w:val="761A0215"/>
    <w:rsid w:val="76362E57"/>
    <w:rsid w:val="76C0047B"/>
    <w:rsid w:val="76EB251F"/>
    <w:rsid w:val="77A85490"/>
    <w:rsid w:val="77D77248"/>
    <w:rsid w:val="7840714F"/>
    <w:rsid w:val="785773BF"/>
    <w:rsid w:val="788952B7"/>
    <w:rsid w:val="78A647AA"/>
    <w:rsid w:val="79872E81"/>
    <w:rsid w:val="7A76641C"/>
    <w:rsid w:val="7AC9751E"/>
    <w:rsid w:val="7B1558FE"/>
    <w:rsid w:val="7B24256E"/>
    <w:rsid w:val="7B2F4863"/>
    <w:rsid w:val="7BAD26A4"/>
    <w:rsid w:val="7BEA403E"/>
    <w:rsid w:val="7BF50ECB"/>
    <w:rsid w:val="7C885E24"/>
    <w:rsid w:val="7CBB4171"/>
    <w:rsid w:val="7CD85866"/>
    <w:rsid w:val="7D373731"/>
    <w:rsid w:val="7DC91981"/>
    <w:rsid w:val="7E142DF5"/>
    <w:rsid w:val="7E1F508A"/>
    <w:rsid w:val="7E2F5B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nhideWhenUsed="0" w:uiPriority="1" w:semiHidden="0" w:name="heading 6"/>
    <w:lsdException w:qFormat="1" w:unhideWhenUsed="0" w:uiPriority="1"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link w:val="34"/>
    <w:qFormat/>
    <w:uiPriority w:val="0"/>
    <w:pPr>
      <w:keepNext/>
      <w:spacing w:line="360" w:lineRule="auto"/>
      <w:jc w:val="center"/>
      <w:outlineLvl w:val="0"/>
    </w:pPr>
    <w:rPr>
      <w:rFonts w:ascii="Times New Roman" w:hAnsi="Times New Roman"/>
      <w:b/>
      <w:kern w:val="1"/>
      <w:sz w:val="36"/>
    </w:rPr>
  </w:style>
  <w:style w:type="paragraph" w:styleId="6">
    <w:name w:val="heading 2"/>
    <w:basedOn w:val="1"/>
    <w:next w:val="1"/>
    <w:link w:val="35"/>
    <w:semiHidden/>
    <w:unhideWhenUsed/>
    <w:qFormat/>
    <w:uiPriority w:val="0"/>
    <w:pPr>
      <w:keepNext/>
      <w:keepLines/>
      <w:spacing w:before="260" w:after="260" w:line="413" w:lineRule="auto"/>
      <w:outlineLvl w:val="1"/>
    </w:pPr>
    <w:rPr>
      <w:rFonts w:ascii="Arial" w:hAnsi="Arial"/>
      <w:b/>
      <w:kern w:val="1"/>
      <w:sz w:val="30"/>
    </w:rPr>
  </w:style>
  <w:style w:type="paragraph" w:styleId="7">
    <w:name w:val="heading 3"/>
    <w:basedOn w:val="1"/>
    <w:next w:val="1"/>
    <w:qFormat/>
    <w:uiPriority w:val="0"/>
    <w:pPr>
      <w:keepNext/>
      <w:keepLines/>
      <w:spacing w:before="260" w:after="260" w:line="415" w:lineRule="auto"/>
      <w:outlineLvl w:val="2"/>
    </w:pPr>
    <w:rPr>
      <w:b/>
      <w:bCs/>
      <w:sz w:val="32"/>
      <w:szCs w:val="32"/>
    </w:rPr>
  </w:style>
  <w:style w:type="paragraph" w:styleId="8">
    <w:name w:val="heading 4"/>
    <w:basedOn w:val="1"/>
    <w:next w:val="1"/>
    <w:qFormat/>
    <w:uiPriority w:val="0"/>
    <w:pPr>
      <w:keepNext/>
      <w:keepLines/>
      <w:spacing w:before="280" w:after="290" w:line="374" w:lineRule="auto"/>
      <w:outlineLvl w:val="3"/>
    </w:pPr>
    <w:rPr>
      <w:rFonts w:ascii="Arial" w:hAnsi="Arial" w:eastAsia="黑体"/>
      <w:b/>
      <w:bCs/>
      <w:sz w:val="28"/>
      <w:szCs w:val="28"/>
    </w:rPr>
  </w:style>
  <w:style w:type="paragraph" w:styleId="9">
    <w:name w:val="heading 7"/>
    <w:basedOn w:val="1"/>
    <w:next w:val="1"/>
    <w:qFormat/>
    <w:uiPriority w:val="1"/>
    <w:pPr>
      <w:spacing w:before="78"/>
      <w:ind w:left="606"/>
      <w:outlineLvl w:val="7"/>
    </w:pPr>
    <w:rPr>
      <w:rFonts w:ascii="微软雅黑" w:hAnsi="微软雅黑" w:eastAsia="微软雅黑" w:cs="微软雅黑"/>
      <w:b/>
      <w:bCs/>
      <w:sz w:val="21"/>
      <w:szCs w:val="21"/>
      <w:lang w:val="zh-CN" w:eastAsia="zh-CN" w:bidi="zh-CN"/>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
    <w:basedOn w:val="3"/>
    <w:next w:val="3"/>
    <w:qFormat/>
    <w:uiPriority w:val="0"/>
    <w:pPr>
      <w:spacing w:after="120" w:afterLines="0"/>
      <w:ind w:firstLine="420"/>
    </w:pPr>
    <w:rPr>
      <w:rFonts w:eastAsia="仿宋_GB2312"/>
      <w:kern w:val="2"/>
      <w:sz w:val="28"/>
      <w:szCs w:val="30"/>
    </w:rPr>
  </w:style>
  <w:style w:type="paragraph" w:styleId="3">
    <w:name w:val="Body Text"/>
    <w:basedOn w:val="1"/>
    <w:next w:val="4"/>
    <w:qFormat/>
    <w:uiPriority w:val="0"/>
    <w:pPr>
      <w:spacing w:after="120"/>
    </w:pPr>
  </w:style>
  <w:style w:type="paragraph" w:customStyle="1" w:styleId="4">
    <w:name w:val="Default"/>
    <w:next w:val="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0">
    <w:name w:val="Body Text 3"/>
    <w:basedOn w:val="1"/>
    <w:qFormat/>
    <w:uiPriority w:val="0"/>
    <w:rPr>
      <w:rFonts w:ascii="宋体"/>
      <w:sz w:val="24"/>
      <w:szCs w:val="20"/>
    </w:rPr>
  </w:style>
  <w:style w:type="paragraph" w:styleId="11">
    <w:name w:val="Plain Text"/>
    <w:basedOn w:val="1"/>
    <w:qFormat/>
    <w:uiPriority w:val="0"/>
    <w:rPr>
      <w:rFonts w:ascii="Courier New" w:hAnsi="Courier New"/>
      <w:szCs w:val="20"/>
    </w:rPr>
  </w:style>
  <w:style w:type="paragraph" w:styleId="12">
    <w:name w:val="Balloon Text"/>
    <w:basedOn w:val="1"/>
    <w:link w:val="64"/>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2"/>
    <w:basedOn w:val="1"/>
    <w:qFormat/>
    <w:uiPriority w:val="0"/>
    <w:pPr>
      <w:spacing w:line="900" w:lineRule="exact"/>
      <w:jc w:val="center"/>
    </w:pPr>
    <w:rPr>
      <w:rFonts w:eastAsia="楷体_GB2312"/>
      <w:b/>
      <w:sz w:val="36"/>
    </w:rPr>
  </w:style>
  <w:style w:type="paragraph" w:styleId="16">
    <w:name w:val="Normal (Web)"/>
    <w:basedOn w:val="1"/>
    <w:qFormat/>
    <w:uiPriority w:val="0"/>
    <w:pPr>
      <w:spacing w:beforeAutospacing="1" w:afterAutospacing="1"/>
      <w:jc w:val="left"/>
    </w:pPr>
    <w:rPr>
      <w:kern w:val="0"/>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0"/>
  </w:style>
  <w:style w:type="character" w:styleId="21">
    <w:name w:val="page number"/>
    <w:basedOn w:val="19"/>
    <w:qFormat/>
    <w:uiPriority w:val="0"/>
  </w:style>
  <w:style w:type="character" w:styleId="22">
    <w:name w:val="FollowedHyperlink"/>
    <w:basedOn w:val="19"/>
    <w:qFormat/>
    <w:uiPriority w:val="0"/>
    <w:rPr>
      <w:color w:val="800080"/>
      <w:u w:val="none"/>
    </w:rPr>
  </w:style>
  <w:style w:type="character" w:styleId="23">
    <w:name w:val="Emphasis"/>
    <w:basedOn w:val="19"/>
    <w:qFormat/>
    <w:uiPriority w:val="0"/>
  </w:style>
  <w:style w:type="character" w:styleId="24">
    <w:name w:val="HTML Definition"/>
    <w:basedOn w:val="19"/>
    <w:qFormat/>
    <w:uiPriority w:val="0"/>
  </w:style>
  <w:style w:type="character" w:styleId="25">
    <w:name w:val="HTML Typewriter"/>
    <w:basedOn w:val="19"/>
    <w:qFormat/>
    <w:uiPriority w:val="0"/>
    <w:rPr>
      <w:rFonts w:hint="default" w:ascii="monospace" w:hAnsi="monospace" w:eastAsia="monospace" w:cs="monospace"/>
      <w:sz w:val="20"/>
    </w:rPr>
  </w:style>
  <w:style w:type="character" w:styleId="26">
    <w:name w:val="HTML Acronym"/>
    <w:basedOn w:val="19"/>
    <w:qFormat/>
    <w:uiPriority w:val="0"/>
  </w:style>
  <w:style w:type="character" w:styleId="27">
    <w:name w:val="HTML Variable"/>
    <w:basedOn w:val="19"/>
    <w:qFormat/>
    <w:uiPriority w:val="0"/>
  </w:style>
  <w:style w:type="character" w:styleId="28">
    <w:name w:val="Hyperlink"/>
    <w:basedOn w:val="19"/>
    <w:qFormat/>
    <w:uiPriority w:val="0"/>
    <w:rPr>
      <w:color w:val="0000FF"/>
      <w:u w:val="none"/>
    </w:rPr>
  </w:style>
  <w:style w:type="character" w:styleId="29">
    <w:name w:val="HTML Code"/>
    <w:basedOn w:val="19"/>
    <w:qFormat/>
    <w:uiPriority w:val="0"/>
    <w:rPr>
      <w:rFonts w:hint="default" w:ascii="monospace" w:hAnsi="monospace" w:eastAsia="monospace" w:cs="monospace"/>
      <w:sz w:val="20"/>
    </w:rPr>
  </w:style>
  <w:style w:type="character" w:styleId="30">
    <w:name w:val="HTML Cite"/>
    <w:basedOn w:val="19"/>
    <w:qFormat/>
    <w:uiPriority w:val="0"/>
  </w:style>
  <w:style w:type="character" w:styleId="31">
    <w:name w:val="HTML Keyboard"/>
    <w:basedOn w:val="19"/>
    <w:qFormat/>
    <w:uiPriority w:val="0"/>
    <w:rPr>
      <w:rFonts w:ascii="monospace" w:hAnsi="monospace" w:eastAsia="monospace" w:cs="monospace"/>
      <w:sz w:val="20"/>
    </w:rPr>
  </w:style>
  <w:style w:type="character" w:styleId="32">
    <w:name w:val="HTML Sample"/>
    <w:basedOn w:val="19"/>
    <w:qFormat/>
    <w:uiPriority w:val="0"/>
    <w:rPr>
      <w:rFonts w:hint="default" w:ascii="monospace" w:hAnsi="monospace" w:eastAsia="monospace" w:cs="monospace"/>
    </w:rPr>
  </w:style>
  <w:style w:type="character" w:customStyle="1" w:styleId="33">
    <w:name w:val="UserStyle_0"/>
    <w:qFormat/>
    <w:uiPriority w:val="0"/>
    <w:rPr>
      <w:rFonts w:ascii="Calibri" w:hAnsi="Calibri" w:eastAsia="宋体" w:cs="Times New Roman"/>
      <w:kern w:val="2"/>
      <w:sz w:val="21"/>
      <w:szCs w:val="24"/>
      <w:lang w:val="en-US" w:eastAsia="zh-CN" w:bidi="ar-SA"/>
    </w:rPr>
  </w:style>
  <w:style w:type="character" w:customStyle="1" w:styleId="34">
    <w:name w:val="标题 1 Char"/>
    <w:link w:val="5"/>
    <w:qFormat/>
    <w:uiPriority w:val="0"/>
    <w:rPr>
      <w:rFonts w:ascii="Times New Roman" w:hAnsi="Times New Roman" w:eastAsia="宋体" w:cs="Times New Roman"/>
      <w:b/>
      <w:color w:val="auto"/>
      <w:kern w:val="1"/>
      <w:sz w:val="36"/>
      <w:szCs w:val="24"/>
    </w:rPr>
  </w:style>
  <w:style w:type="character" w:customStyle="1" w:styleId="35">
    <w:name w:val="标题 2 Char"/>
    <w:link w:val="6"/>
    <w:qFormat/>
    <w:uiPriority w:val="0"/>
    <w:rPr>
      <w:rFonts w:ascii="Arial" w:hAnsi="Arial" w:eastAsia="宋体" w:cs="Times New Roman"/>
      <w:b/>
      <w:color w:val="auto"/>
      <w:kern w:val="1"/>
      <w:sz w:val="30"/>
    </w:rPr>
  </w:style>
  <w:style w:type="paragraph" w:customStyle="1" w:styleId="36">
    <w:name w:val="WPSOffice手动目录 1"/>
    <w:qFormat/>
    <w:uiPriority w:val="0"/>
    <w:rPr>
      <w:rFonts w:ascii="Calibri" w:hAnsi="Calibri" w:eastAsia="宋体" w:cs="Times New Roman"/>
      <w:lang w:val="en-US" w:eastAsia="zh-CN" w:bidi="ar-SA"/>
    </w:rPr>
  </w:style>
  <w:style w:type="paragraph" w:customStyle="1" w:styleId="37">
    <w:name w:val="Table Paragraph"/>
    <w:basedOn w:val="38"/>
    <w:qFormat/>
    <w:uiPriority w:val="0"/>
    <w:rPr>
      <w:rFonts w:ascii="宋体" w:cs="宋体"/>
      <w:lang w:val="zh-CN" w:bidi="zh-CN"/>
    </w:rPr>
  </w:style>
  <w:style w:type="paragraph" w:customStyle="1" w:styleId="38">
    <w:name w:val="正文_1_0_0"/>
    <w:next w:val="39"/>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
    <w:name w:val="Default_1"/>
    <w:next w:val="40"/>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40">
    <w:name w:val="正文_1"/>
    <w:next w:val="4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1">
    <w:name w:val="正文文本_1"/>
    <w:basedOn w:val="42"/>
    <w:next w:val="43"/>
    <w:qFormat/>
    <w:uiPriority w:val="0"/>
    <w:rPr>
      <w:rFonts w:eastAsia="仿宋_GB2312"/>
      <w:kern w:val="2"/>
      <w:sz w:val="28"/>
      <w:szCs w:val="30"/>
    </w:rPr>
  </w:style>
  <w:style w:type="paragraph" w:customStyle="1" w:styleId="42">
    <w:name w:val="正文_1_2"/>
    <w:next w:val="41"/>
    <w:qFormat/>
    <w:uiPriority w:val="0"/>
    <w:pPr>
      <w:widowControl w:val="0"/>
      <w:jc w:val="both"/>
    </w:pPr>
    <w:rPr>
      <w:rFonts w:ascii="Times New Roman" w:hAnsi="Times New Roman" w:eastAsia="宋体" w:cs="Times New Roman"/>
      <w:lang w:val="en-US" w:eastAsia="zh-CN" w:bidi="ar-SA"/>
    </w:rPr>
  </w:style>
  <w:style w:type="paragraph" w:customStyle="1" w:styleId="43">
    <w:name w:val="Default_2"/>
    <w:next w:val="4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4">
    <w:name w:val="NormalCharacter"/>
    <w:qFormat/>
    <w:uiPriority w:val="0"/>
    <w:rPr>
      <w:rFonts w:ascii="Calibri" w:hAnsi="Calibri" w:eastAsia="宋体" w:cs="Times New Roman"/>
      <w:kern w:val="2"/>
      <w:sz w:val="21"/>
      <w:szCs w:val="24"/>
      <w:lang w:val="en-US" w:eastAsia="zh-CN" w:bidi="ar-SA"/>
    </w:rPr>
  </w:style>
  <w:style w:type="paragraph" w:customStyle="1" w:styleId="45">
    <w:name w:val="AnnotationText"/>
    <w:basedOn w:val="1"/>
    <w:qFormat/>
    <w:uiPriority w:val="0"/>
    <w:pPr>
      <w:jc w:val="left"/>
      <w:textAlignment w:val="baseline"/>
    </w:pPr>
    <w:rPr>
      <w:szCs w:val="20"/>
    </w:rPr>
  </w:style>
  <w:style w:type="paragraph" w:customStyle="1" w:styleId="46">
    <w:name w:val="UserStyle_9"/>
    <w:basedOn w:val="1"/>
    <w:qFormat/>
    <w:uiPriority w:val="0"/>
    <w:pPr>
      <w:widowControl/>
      <w:textAlignment w:val="baseline"/>
    </w:pPr>
    <w:rPr>
      <w:kern w:val="0"/>
      <w:szCs w:val="20"/>
    </w:rPr>
  </w:style>
  <w:style w:type="paragraph" w:customStyle="1" w:styleId="47">
    <w:name w:val="UserStyle_10"/>
    <w:basedOn w:val="1"/>
    <w:qFormat/>
    <w:uiPriority w:val="0"/>
    <w:pPr>
      <w:spacing w:before="100" w:after="100"/>
      <w:ind w:left="360" w:right="360"/>
      <w:jc w:val="left"/>
      <w:textAlignment w:val="baseline"/>
    </w:pPr>
    <w:rPr>
      <w:kern w:val="0"/>
      <w:sz w:val="24"/>
      <w:szCs w:val="20"/>
    </w:rPr>
  </w:style>
  <w:style w:type="paragraph" w:customStyle="1" w:styleId="48">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sz w:val="28"/>
      <w:szCs w:val="20"/>
    </w:rPr>
  </w:style>
  <w:style w:type="character" w:customStyle="1" w:styleId="49">
    <w:name w:val="hover53"/>
    <w:basedOn w:val="19"/>
    <w:qFormat/>
    <w:uiPriority w:val="0"/>
    <w:rPr>
      <w:color w:val="49B79D"/>
    </w:rPr>
  </w:style>
  <w:style w:type="character" w:customStyle="1" w:styleId="50">
    <w:name w:val="hover54"/>
    <w:basedOn w:val="19"/>
    <w:qFormat/>
    <w:uiPriority w:val="0"/>
    <w:rPr>
      <w:color w:val="000000"/>
    </w:rPr>
  </w:style>
  <w:style w:type="character" w:customStyle="1" w:styleId="51">
    <w:name w:val="hover55"/>
    <w:basedOn w:val="19"/>
    <w:qFormat/>
    <w:uiPriority w:val="0"/>
    <w:rPr>
      <w:sz w:val="21"/>
      <w:szCs w:val="21"/>
    </w:rPr>
  </w:style>
  <w:style w:type="character" w:customStyle="1" w:styleId="52">
    <w:name w:val="nth-of-type(1)"/>
    <w:basedOn w:val="19"/>
    <w:qFormat/>
    <w:uiPriority w:val="0"/>
  </w:style>
  <w:style w:type="character" w:customStyle="1" w:styleId="53">
    <w:name w:val="credit_name_pad"/>
    <w:basedOn w:val="19"/>
    <w:qFormat/>
    <w:uiPriority w:val="0"/>
  </w:style>
  <w:style w:type="character" w:customStyle="1" w:styleId="54">
    <w:name w:val="nth-of-type(3)"/>
    <w:basedOn w:val="19"/>
    <w:qFormat/>
    <w:uiPriority w:val="0"/>
  </w:style>
  <w:style w:type="character" w:customStyle="1" w:styleId="55">
    <w:name w:val="nth-of-type(2)"/>
    <w:basedOn w:val="19"/>
    <w:qFormat/>
    <w:uiPriority w:val="0"/>
  </w:style>
  <w:style w:type="character" w:customStyle="1" w:styleId="56">
    <w:name w:val="first-child1"/>
    <w:basedOn w:val="19"/>
    <w:qFormat/>
    <w:uiPriority w:val="0"/>
  </w:style>
  <w:style w:type="character" w:customStyle="1" w:styleId="57">
    <w:name w:val="first-child2"/>
    <w:basedOn w:val="19"/>
    <w:qFormat/>
    <w:uiPriority w:val="0"/>
  </w:style>
  <w:style w:type="character" w:customStyle="1" w:styleId="58">
    <w:name w:val="layui-this"/>
    <w:basedOn w:val="19"/>
    <w:qFormat/>
    <w:uiPriority w:val="0"/>
    <w:rPr>
      <w:bdr w:val="single" w:color="EEEEEE" w:sz="6" w:space="0"/>
      <w:shd w:val="clear" w:color="auto" w:fill="FFFFFF"/>
    </w:rPr>
  </w:style>
  <w:style w:type="character" w:customStyle="1" w:styleId="59">
    <w:name w:val="hover56"/>
    <w:basedOn w:val="19"/>
    <w:qFormat/>
    <w:uiPriority w:val="0"/>
    <w:rPr>
      <w:sz w:val="21"/>
      <w:szCs w:val="21"/>
    </w:rPr>
  </w:style>
  <w:style w:type="character" w:customStyle="1" w:styleId="60">
    <w:name w:val="first-child"/>
    <w:basedOn w:val="19"/>
    <w:qFormat/>
    <w:uiPriority w:val="0"/>
  </w:style>
  <w:style w:type="table" w:customStyle="1" w:styleId="61">
    <w:name w:val="Table Normal"/>
    <w:semiHidden/>
    <w:unhideWhenUsed/>
    <w:qFormat/>
    <w:uiPriority w:val="2"/>
    <w:tblPr>
      <w:tblCellMar>
        <w:top w:w="0" w:type="dxa"/>
        <w:left w:w="0" w:type="dxa"/>
        <w:bottom w:w="0" w:type="dxa"/>
        <w:right w:w="0" w:type="dxa"/>
      </w:tblCellMar>
    </w:tblPr>
  </w:style>
  <w:style w:type="character" w:customStyle="1" w:styleId="62">
    <w:name w:val="hover15"/>
    <w:basedOn w:val="19"/>
    <w:qFormat/>
    <w:uiPriority w:val="0"/>
  </w:style>
  <w:style w:type="character" w:customStyle="1" w:styleId="63">
    <w:name w:val="hover14"/>
    <w:basedOn w:val="19"/>
    <w:qFormat/>
    <w:uiPriority w:val="0"/>
  </w:style>
  <w:style w:type="character" w:customStyle="1" w:styleId="64">
    <w:name w:val="批注框文本 Char"/>
    <w:basedOn w:val="19"/>
    <w:link w:val="12"/>
    <w:qFormat/>
    <w:uiPriority w:val="0"/>
    <w:rPr>
      <w:rFonts w:ascii="Calibri" w:hAnsi="Calibri"/>
      <w:kern w:val="2"/>
      <w:sz w:val="18"/>
      <w:szCs w:val="18"/>
    </w:rPr>
  </w:style>
  <w:style w:type="paragraph" w:customStyle="1" w:styleId="65">
    <w:name w:val="*正文_0"/>
    <w:basedOn w:val="66"/>
    <w:next w:val="66"/>
    <w:qFormat/>
    <w:uiPriority w:val="0"/>
    <w:pPr>
      <w:widowControl/>
      <w:ind w:firstLine="482"/>
    </w:pPr>
    <w:rPr>
      <w:rFonts w:ascii="微软雅黑" w:hAnsi="微软雅黑" w:eastAsia="微软雅黑"/>
      <w:kern w:val="0"/>
      <w:szCs w:val="20"/>
    </w:rPr>
  </w:style>
  <w:style w:type="paragraph" w:customStyle="1" w:styleId="66">
    <w:name w:val="正文_1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67">
    <w:name w:val="*正文_1"/>
    <w:basedOn w:val="40"/>
    <w:next w:val="40"/>
    <w:qFormat/>
    <w:uiPriority w:val="0"/>
    <w:pPr>
      <w:widowControl/>
      <w:ind w:firstLine="482"/>
    </w:pPr>
    <w:rPr>
      <w:rFonts w:ascii="微软雅黑" w:hAnsi="微软雅黑" w:eastAsia="微软雅黑"/>
      <w:kern w:val="0"/>
      <w:szCs w:val="20"/>
    </w:rPr>
  </w:style>
  <w:style w:type="paragraph" w:customStyle="1" w:styleId="68">
    <w:name w:val="Body text|1"/>
    <w:basedOn w:val="1"/>
    <w:qFormat/>
    <w:uiPriority w:val="0"/>
    <w:pPr>
      <w:spacing w:after="220" w:afterLines="0" w:line="420" w:lineRule="auto"/>
      <w:ind w:firstLine="400"/>
      <w:jc w:val="left"/>
    </w:pPr>
    <w:rPr>
      <w:rFonts w:ascii="MingLiU" w:hAnsi="MingLiU" w:eastAsia="MingLiU" w:cs="MingLiU"/>
      <w:sz w:val="20"/>
      <w:szCs w:val="20"/>
      <w:lang w:val="zh-TW" w:eastAsia="zh-TW" w:bidi="zh-TW"/>
    </w:rPr>
  </w:style>
  <w:style w:type="paragraph" w:styleId="69">
    <w:name w:val="List Paragraph"/>
    <w:basedOn w:val="1"/>
    <w:qFormat/>
    <w:uiPriority w:val="0"/>
    <w:pPr>
      <w:widowControl/>
      <w:ind w:left="720"/>
      <w:contextualSpacing/>
      <w:jc w:val="left"/>
    </w:pPr>
    <w:rPr>
      <w:rFonts w:ascii="Calibri" w:hAnsi="Calibri"/>
      <w:kern w:val="0"/>
      <w:sz w:val="24"/>
      <w:szCs w:val="24"/>
      <w:lang w:eastAsia="en-US" w:bidi="en-US"/>
    </w:rPr>
  </w:style>
  <w:style w:type="paragraph" w:customStyle="1" w:styleId="70">
    <w:name w:val="&quot;Table caption|1&quot;"/>
    <w:basedOn w:val="1"/>
    <w:qFormat/>
    <w:uiPriority w:val="0"/>
    <w:pPr>
      <w:shd w:val="clear" w:color="FFFFFF" w:fill="FFFFFF"/>
    </w:pPr>
    <w:rPr>
      <w:rFonts w:ascii="MingLiU" w:hAnsi="MingLiU" w:eastAsia="MingLiU" w:cs="MingLiU"/>
      <w:sz w:val="19"/>
      <w:szCs w:val="19"/>
      <w:lang w:val="zh-TW" w:eastAsia="zh-TW" w:bidi="zh-TW"/>
    </w:rPr>
  </w:style>
  <w:style w:type="paragraph" w:customStyle="1" w:styleId="71">
    <w:name w:val="列出段落1"/>
    <w:basedOn w:val="1"/>
    <w:qFormat/>
    <w:uiPriority w:val="0"/>
    <w:pPr>
      <w:widowControl/>
      <w:spacing w:line="300" w:lineRule="auto"/>
      <w:ind w:firstLine="200" w:firstLineChars="200"/>
    </w:pPr>
    <w:rPr>
      <w:rFonts w:ascii="Arial" w:hAnsi="Arial"/>
      <w:kern w:val="0"/>
      <w:sz w:val="18"/>
    </w:rPr>
  </w:style>
  <w:style w:type="paragraph" w:customStyle="1" w:styleId="72">
    <w:name w:val="_Style 2"/>
    <w:basedOn w:val="73"/>
    <w:next w:val="73"/>
    <w:qFormat/>
    <w:uiPriority w:val="0"/>
    <w:pPr>
      <w:ind w:firstLine="420" w:firstLineChars="200"/>
    </w:pPr>
  </w:style>
  <w:style w:type="paragraph" w:customStyle="1" w:styleId="73">
    <w:name w:val="正文_2"/>
    <w:next w:val="41"/>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pn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50"/>
    <customShpInfo spid="_x0000_s2051"/>
    <customShpInfo spid="_x0000_s2049"/>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112</Pages>
  <Words>51332</Words>
  <Characters>54257</Characters>
  <Lines>298</Lines>
  <Paragraphs>84</Paragraphs>
  <TotalTime>71</TotalTime>
  <ScaleCrop>false</ScaleCrop>
  <LinksUpToDate>false</LinksUpToDate>
  <CharactersWithSpaces>56400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2020-04-20T02:39:00Z</dcterms:created>
  <dc:creator>Administrator</dc:creator>
  <cp:lastModifiedBy>NTKO</cp:lastModifiedBy>
  <cp:lastPrinted>2020-05-11T07:56:00Z</cp:lastPrinted>
  <dcterms:modified xsi:type="dcterms:W3CDTF">2022-03-30T10:02:33Z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7BFFD092FD234E10AE2582FE87D9BABA</vt:lpwstr>
  </property>
</Properties>
</file>