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bCs/>
          <w:sz w:val="30"/>
          <w:szCs w:val="30"/>
        </w:rPr>
      </w:pPr>
    </w:p>
    <w:p>
      <w:pPr>
        <w:pStyle w:val="2"/>
      </w:pPr>
    </w:p>
    <w:p>
      <w:pPr>
        <w:pStyle w:val="2"/>
      </w:pPr>
    </w:p>
    <w:p>
      <w:pPr>
        <w:jc w:val="center"/>
        <w:rPr>
          <w:b/>
          <w:bCs/>
          <w:sz w:val="44"/>
          <w:szCs w:val="44"/>
        </w:rPr>
      </w:pPr>
      <w:r>
        <w:rPr>
          <w:rFonts w:hint="eastAsia"/>
          <w:b/>
          <w:bCs/>
          <w:sz w:val="44"/>
          <w:szCs w:val="44"/>
        </w:rPr>
        <w:t>洛阳氢能电机装备产业园（一地块）西区---</w:t>
      </w:r>
    </w:p>
    <w:p>
      <w:pPr>
        <w:jc w:val="center"/>
        <w:rPr>
          <w:b/>
          <w:bCs/>
          <w:sz w:val="44"/>
          <w:szCs w:val="44"/>
        </w:rPr>
      </w:pPr>
      <w:r>
        <w:rPr>
          <w:rFonts w:hint="eastAsia"/>
          <w:b/>
          <w:bCs/>
          <w:sz w:val="44"/>
          <w:szCs w:val="44"/>
        </w:rPr>
        <w:t>洛阳氢能发动机项目全过程工程咨询服务</w:t>
      </w:r>
    </w:p>
    <w:p/>
    <w:p/>
    <w:p>
      <w:pPr>
        <w:jc w:val="center"/>
        <w:rPr>
          <w:b/>
          <w:bCs/>
          <w:sz w:val="80"/>
          <w:szCs w:val="80"/>
        </w:rPr>
      </w:pPr>
      <w:r>
        <w:rPr>
          <w:rFonts w:hint="eastAsia"/>
          <w:b/>
          <w:bCs/>
          <w:sz w:val="80"/>
          <w:szCs w:val="80"/>
        </w:rPr>
        <w:t>招 标 文 件</w:t>
      </w:r>
    </w:p>
    <w:p/>
    <w:p>
      <w:pPr>
        <w:jc w:val="center"/>
        <w:rPr>
          <w:sz w:val="32"/>
          <w:szCs w:val="32"/>
        </w:rPr>
      </w:pPr>
      <w:r>
        <w:rPr>
          <w:rFonts w:hint="eastAsia"/>
          <w:b/>
          <w:bCs/>
          <w:sz w:val="32"/>
          <w:szCs w:val="32"/>
        </w:rPr>
        <w:t>招标编号：涧西工服招标(2022)0040号</w:t>
      </w:r>
    </w:p>
    <w:p>
      <w:pPr>
        <w:rPr>
          <w:sz w:val="32"/>
          <w:szCs w:val="32"/>
        </w:rPr>
      </w:pPr>
    </w:p>
    <w:p>
      <w:pPr>
        <w:rPr>
          <w:sz w:val="32"/>
          <w:szCs w:val="32"/>
        </w:rPr>
      </w:pPr>
      <w:r>
        <w:rPr>
          <w:sz w:val="16"/>
          <w:szCs w:val="16"/>
        </w:rPr>
        <w:drawing>
          <wp:anchor distT="0" distB="0" distL="114300" distR="114300" simplePos="0" relativeHeight="251660288" behindDoc="1" locked="0" layoutInCell="1" allowOverlap="1">
            <wp:simplePos x="0" y="0"/>
            <wp:positionH relativeFrom="column">
              <wp:posOffset>1733550</wp:posOffset>
            </wp:positionH>
            <wp:positionV relativeFrom="paragraph">
              <wp:posOffset>170180</wp:posOffset>
            </wp:positionV>
            <wp:extent cx="2546350" cy="1062990"/>
            <wp:effectExtent l="0" t="0" r="44450" b="41910"/>
            <wp:wrapTight wrapText="bothSides">
              <wp:wrapPolygon>
                <wp:start x="0" y="0"/>
                <wp:lineTo x="0" y="21290"/>
                <wp:lineTo x="21492" y="21290"/>
                <wp:lineTo x="21492" y="0"/>
                <wp:lineTo x="0" y="0"/>
              </wp:wrapPolygon>
            </wp:wrapTight>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3"/>
                    <a:stretch>
                      <a:fillRect/>
                    </a:stretch>
                  </pic:blipFill>
                  <pic:spPr>
                    <a:xfrm>
                      <a:off x="0" y="0"/>
                      <a:ext cx="2546350" cy="1062990"/>
                    </a:xfrm>
                    <a:prstGeom prst="rect">
                      <a:avLst/>
                    </a:prstGeom>
                    <a:noFill/>
                    <a:ln>
                      <a:noFill/>
                    </a:ln>
                  </pic:spPr>
                </pic:pic>
              </a:graphicData>
            </a:graphic>
          </wp:anchor>
        </w:drawing>
      </w:r>
    </w:p>
    <w:p>
      <w:pPr>
        <w:rPr>
          <w:sz w:val="32"/>
          <w:szCs w:val="32"/>
        </w:rPr>
      </w:pPr>
    </w:p>
    <w:p>
      <w:pPr>
        <w:rPr>
          <w:sz w:val="32"/>
          <w:szCs w:val="32"/>
        </w:rPr>
      </w:pPr>
    </w:p>
    <w:p>
      <w:pPr>
        <w:rPr>
          <w:sz w:val="32"/>
          <w:szCs w:val="32"/>
        </w:rPr>
      </w:pPr>
    </w:p>
    <w:p>
      <w:pPr>
        <w:rPr>
          <w:sz w:val="32"/>
          <w:szCs w:val="32"/>
        </w:rPr>
      </w:pPr>
    </w:p>
    <w:p>
      <w:pPr>
        <w:rPr>
          <w:sz w:val="32"/>
          <w:szCs w:val="32"/>
        </w:rPr>
      </w:pPr>
    </w:p>
    <w:p>
      <w:pPr>
        <w:pStyle w:val="2"/>
        <w:rPr>
          <w:sz w:val="32"/>
          <w:szCs w:val="32"/>
        </w:rPr>
      </w:pPr>
    </w:p>
    <w:p>
      <w:pPr>
        <w:pStyle w:val="2"/>
      </w:pPr>
    </w:p>
    <w:p>
      <w:pPr>
        <w:rPr>
          <w:sz w:val="32"/>
          <w:szCs w:val="32"/>
        </w:rPr>
      </w:pPr>
    </w:p>
    <w:tbl>
      <w:tblPr>
        <w:tblStyle w:val="16"/>
        <w:tblW w:w="0" w:type="auto"/>
        <w:jc w:val="center"/>
        <w:tblLayout w:type="autofit"/>
        <w:tblCellMar>
          <w:top w:w="0" w:type="dxa"/>
          <w:left w:w="108" w:type="dxa"/>
          <w:bottom w:w="0" w:type="dxa"/>
          <w:right w:w="108" w:type="dxa"/>
        </w:tblCellMar>
      </w:tblPr>
      <w:tblGrid>
        <w:gridCol w:w="2094"/>
        <w:gridCol w:w="5285"/>
      </w:tblGrid>
      <w:tr>
        <w:tblPrEx>
          <w:tblCellMar>
            <w:top w:w="0" w:type="dxa"/>
            <w:left w:w="108" w:type="dxa"/>
            <w:bottom w:w="0" w:type="dxa"/>
            <w:right w:w="108" w:type="dxa"/>
          </w:tblCellMar>
        </w:tblPrEx>
        <w:trPr>
          <w:trHeight w:val="693" w:hRule="atLeast"/>
          <w:jc w:val="center"/>
        </w:trPr>
        <w:tc>
          <w:tcPr>
            <w:tcW w:w="2094" w:type="dxa"/>
          </w:tcPr>
          <w:p>
            <w:pPr>
              <w:pStyle w:val="34"/>
              <w:jc w:val="distribute"/>
              <w:rPr>
                <w:rFonts w:ascii="宋体" w:hAnsi="宋体" w:cs="宋体"/>
                <w:color w:val="000000"/>
                <w:sz w:val="30"/>
                <w:szCs w:val="30"/>
              </w:rPr>
            </w:pPr>
            <w:r>
              <w:rPr>
                <w:rFonts w:hint="eastAsia" w:ascii="宋体" w:hAnsi="宋体" w:cs="宋体"/>
                <w:bCs/>
                <w:color w:val="000000"/>
                <w:sz w:val="30"/>
                <w:szCs w:val="30"/>
              </w:rPr>
              <w:t>招   标   人</w:t>
            </w:r>
          </w:p>
        </w:tc>
        <w:tc>
          <w:tcPr>
            <w:tcW w:w="5285" w:type="dxa"/>
          </w:tcPr>
          <w:p>
            <w:pPr>
              <w:pStyle w:val="34"/>
              <w:jc w:val="distribute"/>
              <w:rPr>
                <w:rFonts w:ascii="宋体" w:hAnsi="宋体" w:cs="宋体"/>
                <w:color w:val="000000"/>
                <w:sz w:val="30"/>
                <w:szCs w:val="30"/>
              </w:rPr>
            </w:pPr>
            <w:r>
              <w:rPr>
                <w:rFonts w:hint="eastAsia" w:ascii="宋体" w:hAnsi="宋体" w:cs="宋体"/>
                <w:bCs/>
                <w:color w:val="000000"/>
                <w:sz w:val="30"/>
                <w:szCs w:val="30"/>
              </w:rPr>
              <w:t>：氢沄（河南）新能源科技有限公司</w:t>
            </w:r>
          </w:p>
        </w:tc>
      </w:tr>
      <w:tr>
        <w:tblPrEx>
          <w:tblCellMar>
            <w:top w:w="0" w:type="dxa"/>
            <w:left w:w="108" w:type="dxa"/>
            <w:bottom w:w="0" w:type="dxa"/>
            <w:right w:w="108" w:type="dxa"/>
          </w:tblCellMar>
        </w:tblPrEx>
        <w:trPr>
          <w:trHeight w:val="693" w:hRule="atLeast"/>
          <w:jc w:val="center"/>
        </w:trPr>
        <w:tc>
          <w:tcPr>
            <w:tcW w:w="2094" w:type="dxa"/>
          </w:tcPr>
          <w:p>
            <w:pPr>
              <w:pStyle w:val="34"/>
              <w:jc w:val="distribute"/>
              <w:rPr>
                <w:rFonts w:ascii="宋体" w:hAnsi="宋体" w:cs="宋体"/>
                <w:color w:val="000000"/>
                <w:sz w:val="30"/>
                <w:szCs w:val="30"/>
              </w:rPr>
            </w:pPr>
            <w:r>
              <w:rPr>
                <w:rFonts w:hint="eastAsia" w:ascii="宋体" w:hAnsi="宋体" w:cs="宋体"/>
                <w:bCs/>
                <w:color w:val="000000"/>
                <w:sz w:val="30"/>
                <w:szCs w:val="30"/>
              </w:rPr>
              <w:t>招标代理机构</w:t>
            </w:r>
          </w:p>
        </w:tc>
        <w:tc>
          <w:tcPr>
            <w:tcW w:w="5285" w:type="dxa"/>
          </w:tcPr>
          <w:p>
            <w:pPr>
              <w:pStyle w:val="34"/>
              <w:jc w:val="distribute"/>
              <w:rPr>
                <w:rFonts w:ascii="宋体" w:hAnsi="宋体" w:cs="宋体"/>
                <w:color w:val="000000"/>
                <w:sz w:val="30"/>
                <w:szCs w:val="30"/>
              </w:rPr>
            </w:pPr>
            <w:r>
              <w:rPr>
                <w:rFonts w:hint="eastAsia" w:ascii="宋体" w:hAnsi="宋体" w:cs="宋体"/>
                <w:bCs/>
                <w:color w:val="000000"/>
                <w:sz w:val="30"/>
                <w:szCs w:val="30"/>
              </w:rPr>
              <w:t>：智博建筑设计集团有限公司</w:t>
            </w:r>
          </w:p>
        </w:tc>
      </w:tr>
      <w:tr>
        <w:tblPrEx>
          <w:tblCellMar>
            <w:top w:w="0" w:type="dxa"/>
            <w:left w:w="108" w:type="dxa"/>
            <w:bottom w:w="0" w:type="dxa"/>
            <w:right w:w="108" w:type="dxa"/>
          </w:tblCellMar>
        </w:tblPrEx>
        <w:trPr>
          <w:trHeight w:val="693" w:hRule="atLeast"/>
          <w:jc w:val="center"/>
        </w:trPr>
        <w:tc>
          <w:tcPr>
            <w:tcW w:w="2094" w:type="dxa"/>
          </w:tcPr>
          <w:p>
            <w:pPr>
              <w:pStyle w:val="34"/>
              <w:jc w:val="distribute"/>
              <w:rPr>
                <w:rFonts w:ascii="宋体" w:hAnsi="宋体" w:cs="宋体"/>
                <w:color w:val="000000"/>
                <w:sz w:val="30"/>
                <w:szCs w:val="30"/>
              </w:rPr>
            </w:pPr>
            <w:r>
              <w:rPr>
                <w:rFonts w:hint="eastAsia" w:ascii="宋体" w:hAnsi="宋体" w:cs="宋体"/>
                <w:bCs/>
                <w:color w:val="000000"/>
                <w:sz w:val="30"/>
                <w:szCs w:val="30"/>
              </w:rPr>
              <w:t>日        期</w:t>
            </w:r>
          </w:p>
        </w:tc>
        <w:tc>
          <w:tcPr>
            <w:tcW w:w="5285" w:type="dxa"/>
          </w:tcPr>
          <w:p>
            <w:pPr>
              <w:pStyle w:val="34"/>
              <w:jc w:val="distribute"/>
              <w:rPr>
                <w:rFonts w:ascii="宋体" w:hAnsi="宋体" w:cs="宋体"/>
                <w:color w:val="000000"/>
                <w:sz w:val="30"/>
                <w:szCs w:val="30"/>
              </w:rPr>
            </w:pPr>
            <w:r>
              <w:rPr>
                <w:rFonts w:hint="eastAsia" w:ascii="宋体" w:hAnsi="宋体" w:cs="宋体"/>
                <w:bCs/>
                <w:color w:val="000000"/>
                <w:sz w:val="30"/>
                <w:szCs w:val="30"/>
              </w:rPr>
              <w:t>：二〇二二年四月</w:t>
            </w:r>
          </w:p>
        </w:tc>
      </w:tr>
    </w:tbl>
    <w:p>
      <w:pPr>
        <w:spacing w:line="700" w:lineRule="exact"/>
        <w:rPr>
          <w:b/>
          <w:bCs/>
          <w:sz w:val="24"/>
        </w:rPr>
      </w:pPr>
    </w:p>
    <w:p>
      <w:pPr>
        <w:pStyle w:val="2"/>
        <w:rPr>
          <w:b/>
          <w:bCs/>
          <w:sz w:val="24"/>
        </w:rPr>
      </w:pPr>
    </w:p>
    <w:p>
      <w:pPr>
        <w:pStyle w:val="2"/>
        <w:sectPr>
          <w:footnotePr>
            <w:pos w:val="beneathText"/>
          </w:footnotePr>
          <w:pgSz w:w="11906" w:h="16838"/>
          <w:pgMar w:top="1134" w:right="1134" w:bottom="1134" w:left="1134" w:header="851" w:footer="720" w:gutter="0"/>
          <w:pgNumType w:start="1"/>
          <w:cols w:space="720" w:num="1"/>
          <w:titlePg/>
          <w:docGrid w:type="lines" w:linePitch="312" w:charSpace="0"/>
        </w:sectPr>
      </w:pPr>
    </w:p>
    <w:p/>
    <w:p>
      <w:pPr>
        <w:pStyle w:val="35"/>
        <w:spacing w:line="276" w:lineRule="auto"/>
        <w:ind w:firstLine="0"/>
        <w:jc w:val="center"/>
        <w:rPr>
          <w:rFonts w:ascii="宋体" w:hAnsi="宋体" w:eastAsia="宋体" w:cs="宋体"/>
        </w:rPr>
      </w:pPr>
      <w:r>
        <w:rPr>
          <w:rFonts w:hint="eastAsia" w:ascii="宋体" w:hAnsi="宋体" w:eastAsia="宋体" w:cs="宋体"/>
          <w:b/>
          <w:color w:val="000000"/>
          <w:spacing w:val="14"/>
          <w:sz w:val="36"/>
          <w:szCs w:val="36"/>
        </w:rPr>
        <w:t>特 别 提 示</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b/>
          <w:color w:val="000000"/>
          <w:spacing w:val="14"/>
          <w:szCs w:val="21"/>
        </w:rPr>
        <w:t>1、投标文件制作</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1.1投标人登录“洛阳市公共资源交易中心”网站，按要求下载“新点投标文件制作软件”。</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1.2投标人凭CA锁登录，并按网上提示自行下载招标文件。使用“新点投标文件制作软件”按要求制作电子投标文件。投标人在制作电子投标文件时，应按要求进行电子签章。投标人编辑电子投标文件时，根据招标文件要求用法定代表人CA锁和企业CA锁进行签章制作；最后一步生成电子投标文件（*.lytf格式和*.nlytf格式）时，只能用本单位的企业CA锁。联合体投标的，投标文件由联合体牵头人按上述规定进行签章。</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1.3加密的电子投标文件为“洛阳市公共资源交易中心”网站提供的“新点投标文件制作软件”制作生成的加密版投标文件。未加密的电子投标文件应与加密的电子投标文件为同时生成的版本。</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1.4投标文件格式所要求包含的全部资料应全部制作在投标文件内，严格按照本项目投标文件所有格式如实填写（不涉及的内容除外），不应存在漏项或缺项，否则将存在投标被否决的风险。</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1.5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涉及资格审查或符合性审查的将不予通过。</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b/>
          <w:color w:val="000000"/>
          <w:spacing w:val="14"/>
          <w:szCs w:val="21"/>
        </w:rPr>
        <w:t>2、投标文件的提交</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2.1除电子投标文件外，投标时不再接受任何纸质文件、资料等。</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2.2投标人应在投标截止时间前上传加密的电子投标文件（*.lytf）到洛阳市电子招投标交易平台指定位置。上传时投标人须使用制作该投标文件的同一CA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2.3投标人因洛阳市电子招投标交易平台问题无法上传电子投标文件时，请在工作时间与交易中心联系。</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2.4（此条款仅适用于现场开标的项目）未加密的电子投标文件1份（*.nlytf格式）（U盘介质），密封包装，注明项目名称，并在封套上加盖投标人单位公章或由投标人的法定代表人（单位负责人）或其授权的代理人签字。</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b/>
          <w:color w:val="000000"/>
          <w:spacing w:val="14"/>
          <w:szCs w:val="21"/>
        </w:rPr>
        <w:t>3、招标文件的澄清、</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3.1招标文件的澄清、修改将在中国招标投标公共服务平台、河南省电子招标投标公共服务平台、洛阳市公共资源交易中心网站上发布“变更公告”，如需修改招标文件，则同时在洛阳市电子招投标交易平台发布“答疑文件”（答疑文件指修改后最新的招标文件）。对于各项目中已经成功报名并下载招标文件的投标人，将通过第三方短信群发方式提醒投标人进行查询。各投标人须重新下载最新的“答疑文件”，并以此编制投标文件。如不以最新发布的“答疑文件”编制投标文件，造成投标无效的后果由投标人自己承担。</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3.2因洛阳市电子招投标交易平台在开标前具有保密性，投标人在投标文件递交截止时间前须自行查看项目进展、变更通知、澄清及回复，因投标人未及时查看而造成的后果自负。</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b/>
          <w:color w:val="000000"/>
          <w:spacing w:val="14"/>
          <w:szCs w:val="21"/>
        </w:rPr>
        <w:t>4、开标</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4.1 招标人在招标文件规定的时间和地点开标，投标人授权代表应携带企业CA锁参加开标。</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4.2（此条款仅适用于现场开标的项目）开标前，招标代理机构将会同投标人代表检查自己的未加密的电子投标文件的密封情况，确认无误后开标。</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4.3开标时，各投标人应在规定时间内对本单位的投标文件解密。开标时，招标代理机构将通过洛阳市电子招投标交易平台进行唱标。</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4.4（此条款仅适用于现场开标的项目）如投标人现场解密失败，投标人应使用未加密的电子投标文件。</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4.5（此条款仅适用于现场开标的项目）开标前没有提交未加密的电子投标文件，视同放弃使用未加密的电子投标文件投标。未加密的投标文件现场无法成功上传的，投标无效。</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4.6（此条款仅适用于现场开标的项目）未加密的电子投标文件仅仅作为网上提交的加密的电子投标文件在特殊情况下才启用的备份资料。没有提交网上加密电子投标文件，仅提交未加密电子投标文件的，投标无效。</w:t>
      </w:r>
    </w:p>
    <w:p>
      <w:pPr>
        <w:keepNext w:val="0"/>
        <w:keepLines w:val="0"/>
        <w:pageBreakBefore w:val="0"/>
        <w:kinsoku/>
        <w:wordWrap/>
        <w:overflowPunct/>
        <w:topLinePunct w:val="0"/>
        <w:autoSpaceDE/>
        <w:autoSpaceDN/>
        <w:bidi w:val="0"/>
        <w:adjustRightInd/>
        <w:snapToGrid/>
        <w:spacing w:line="400" w:lineRule="exact"/>
        <w:ind w:firstLine="478"/>
        <w:textAlignment w:val="auto"/>
        <w:rPr>
          <w:rFonts w:ascii="宋体" w:hAnsi="宋体" w:cs="宋体"/>
        </w:rPr>
      </w:pPr>
      <w:r>
        <w:rPr>
          <w:rFonts w:hint="eastAsia" w:ascii="宋体" w:hAnsi="宋体" w:cs="宋体"/>
          <w:b/>
          <w:color w:val="000000"/>
          <w:spacing w:val="14"/>
          <w:szCs w:val="21"/>
        </w:rPr>
        <w:t>5、开标异常处理</w:t>
      </w:r>
    </w:p>
    <w:p>
      <w:pPr>
        <w:keepNext w:val="0"/>
        <w:keepLines w:val="0"/>
        <w:pageBreakBefore w:val="0"/>
        <w:kinsoku/>
        <w:wordWrap/>
        <w:overflowPunct/>
        <w:topLinePunct w:val="0"/>
        <w:autoSpaceDE/>
        <w:autoSpaceDN/>
        <w:bidi w:val="0"/>
        <w:adjustRightInd/>
        <w:snapToGrid/>
        <w:spacing w:line="400" w:lineRule="exact"/>
        <w:ind w:firstLine="476"/>
        <w:textAlignment w:val="auto"/>
        <w:rPr>
          <w:rFonts w:ascii="宋体" w:hAnsi="宋体" w:cs="宋体"/>
        </w:rPr>
      </w:pPr>
      <w:r>
        <w:rPr>
          <w:rFonts w:hint="eastAsia" w:ascii="宋体" w:hAnsi="宋体" w:cs="宋体"/>
          <w:color w:val="000000"/>
          <w:spacing w:val="14"/>
          <w:szCs w:val="21"/>
        </w:rPr>
        <w:t>当出现以下情况时，应对未开标的中止电子开标，对原有资料及信息作出妥善保密处理，并在恢复正常后及时安排时间开标：</w:t>
      </w:r>
    </w:p>
    <w:p>
      <w:pPr>
        <w:keepNext w:val="0"/>
        <w:keepLines w:val="0"/>
        <w:pageBreakBefore w:val="0"/>
        <w:kinsoku/>
        <w:wordWrap/>
        <w:overflowPunct/>
        <w:topLinePunct w:val="0"/>
        <w:autoSpaceDE/>
        <w:autoSpaceDN/>
        <w:bidi w:val="0"/>
        <w:adjustRightInd/>
        <w:snapToGrid/>
        <w:spacing w:line="400" w:lineRule="exact"/>
        <w:ind w:firstLine="476"/>
        <w:textAlignment w:val="auto"/>
        <w:rPr>
          <w:rFonts w:ascii="宋体" w:hAnsi="宋体" w:cs="宋体"/>
        </w:rPr>
      </w:pPr>
      <w:r>
        <w:rPr>
          <w:rFonts w:hint="eastAsia" w:ascii="宋体" w:hAnsi="宋体" w:cs="宋体"/>
          <w:color w:val="000000"/>
          <w:spacing w:val="14"/>
          <w:szCs w:val="21"/>
        </w:rPr>
        <w:t>（1）系统服务器发生故障，无法访问或无法使用系统；</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（2）系统的软件或数据库出现错误，不能进行正常操作；</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（3）系统发现有安全漏洞，有潜在的泄密危险；</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（4）出现断电事故且短时间内无法恢复供电；</w:t>
      </w:r>
    </w:p>
    <w:p>
      <w:pPr>
        <w:pStyle w:val="35"/>
        <w:keepNext w:val="0"/>
        <w:keepLines w:val="0"/>
        <w:pageBreakBefore w:val="0"/>
        <w:kinsoku/>
        <w:wordWrap/>
        <w:overflowPunct/>
        <w:topLinePunct w:val="0"/>
        <w:autoSpaceDE/>
        <w:autoSpaceDN/>
        <w:bidi w:val="0"/>
        <w:adjustRightInd/>
        <w:snapToGrid/>
        <w:spacing w:line="400" w:lineRule="exact"/>
        <w:textAlignment w:val="auto"/>
        <w:rPr>
          <w:rFonts w:ascii="宋体" w:hAnsi="宋体" w:eastAsia="宋体" w:cs="宋体"/>
        </w:rPr>
      </w:pPr>
      <w:r>
        <w:rPr>
          <w:rFonts w:hint="eastAsia" w:ascii="宋体" w:hAnsi="宋体" w:eastAsia="宋体" w:cs="宋体"/>
          <w:color w:val="000000"/>
          <w:spacing w:val="14"/>
          <w:szCs w:val="21"/>
        </w:rPr>
        <w:t>（5）其他无法保证招投标过程正常进行的情形。</w:t>
      </w:r>
    </w:p>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cs="宋体"/>
          <w:color w:val="000000"/>
          <w:spacing w:val="14"/>
          <w:szCs w:val="21"/>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ascii="宋体" w:hAnsi="宋体" w:cs="宋体"/>
          <w:color w:val="000000"/>
        </w:rPr>
      </w:pPr>
      <w:r>
        <w:rPr>
          <w:rFonts w:hint="eastAsia" w:ascii="宋体" w:hAnsi="宋体" w:cs="宋体"/>
          <w:color w:val="000000"/>
        </w:rPr>
        <w:t>注：以上提示性内容与招标文件正文不符的，以招标文件正文为准。</w:t>
      </w:r>
    </w:p>
    <w:p>
      <w:pPr>
        <w:spacing w:line="700" w:lineRule="exact"/>
        <w:ind w:firstLine="480" w:firstLineChars="200"/>
        <w:rPr>
          <w:sz w:val="24"/>
        </w:rPr>
      </w:pPr>
    </w:p>
    <w:p>
      <w:pPr>
        <w:rPr>
          <w:sz w:val="24"/>
        </w:rPr>
      </w:pPr>
      <w:r>
        <w:rPr>
          <w:rFonts w:hint="eastAsia"/>
          <w:sz w:val="24"/>
        </w:rPr>
        <w:br w:type="page"/>
      </w:r>
    </w:p>
    <w:p>
      <w:pPr>
        <w:spacing w:line="600" w:lineRule="exact"/>
        <w:jc w:val="center"/>
        <w:rPr>
          <w:b/>
          <w:bCs/>
          <w:sz w:val="28"/>
          <w:szCs w:val="28"/>
        </w:rPr>
      </w:pPr>
      <w:r>
        <w:rPr>
          <w:rFonts w:hint="eastAsia"/>
          <w:b/>
          <w:bCs/>
          <w:sz w:val="28"/>
          <w:szCs w:val="28"/>
        </w:rPr>
        <w:t>致房屋建筑和市政基础设施工程建设项目</w:t>
      </w:r>
    </w:p>
    <w:p>
      <w:pPr>
        <w:spacing w:line="600" w:lineRule="exact"/>
        <w:jc w:val="center"/>
        <w:rPr>
          <w:b/>
          <w:bCs/>
          <w:sz w:val="28"/>
          <w:szCs w:val="28"/>
        </w:rPr>
      </w:pPr>
      <w:r>
        <w:rPr>
          <w:rFonts w:hint="eastAsia"/>
          <w:b/>
          <w:bCs/>
          <w:sz w:val="28"/>
          <w:szCs w:val="28"/>
        </w:rPr>
        <w:t>招标投标各方主体的一封公开信</w:t>
      </w:r>
    </w:p>
    <w:p>
      <w:pPr>
        <w:pStyle w:val="38"/>
        <w:spacing w:line="420" w:lineRule="exact"/>
        <w:rPr>
          <w:rFonts w:hint="eastAsia" w:ascii="宋体" w:hAnsi="宋体" w:cs="宋体"/>
          <w:color w:val="000000"/>
        </w:rPr>
      </w:pPr>
      <w:r>
        <w:rPr>
          <w:rFonts w:hint="eastAsia" w:ascii="宋体" w:hAnsi="宋体" w:cs="宋体"/>
          <w:color w:val="000000"/>
          <w:sz w:val="21"/>
          <w:szCs w:val="21"/>
        </w:rPr>
        <w:t>参与全市房屋建筑和市政基础设施工程建设项目招标投标的各方主体：</w:t>
      </w:r>
    </w:p>
    <w:p>
      <w:pPr>
        <w:pStyle w:val="38"/>
        <w:spacing w:line="420" w:lineRule="exact"/>
        <w:ind w:firstLine="640"/>
        <w:rPr>
          <w:rFonts w:hint="eastAsia" w:ascii="宋体" w:hAnsi="宋体" w:cs="宋体"/>
          <w:color w:val="000000"/>
        </w:rPr>
      </w:pPr>
      <w:r>
        <w:rPr>
          <w:rFonts w:hint="eastAsia" w:ascii="宋体" w:hAnsi="宋体" w:cs="宋体"/>
          <w:color w:val="000000"/>
          <w:sz w:val="21"/>
          <w:szCs w:val="21"/>
        </w:rPr>
        <w:t>为深入贯彻落实中央、省委、市委关于扫黑除恶专项斗争的决策部署，根据《住房和城乡建设部办公厅关于开展工程建设行业专项整治的通知》（建办市函〔2020〕298号）精神，我市聚焦房屋建筑和市政基础设施工程建设领域招标投标活动中存在的恶意竞标、强揽工程、借用资质、干扰招标投标正常秩序等违法违规行为，正在开展专项整治活动，重点治理以下行为：</w:t>
      </w:r>
    </w:p>
    <w:p>
      <w:pPr>
        <w:pStyle w:val="38"/>
        <w:spacing w:line="420" w:lineRule="exact"/>
        <w:rPr>
          <w:rFonts w:hint="eastAsia" w:ascii="宋体" w:hAnsi="宋体" w:cs="宋体"/>
          <w:color w:val="000000"/>
        </w:rPr>
      </w:pPr>
      <w:r>
        <w:rPr>
          <w:rFonts w:hint="eastAsia" w:ascii="宋体" w:hAnsi="宋体" w:cs="宋体"/>
          <w:color w:val="000000"/>
          <w:sz w:val="21"/>
          <w:szCs w:val="21"/>
        </w:rPr>
        <w:t xml:space="preserve">    （一）招标人在招标文件中设置不合理条件，限制或者排斥潜在投标人，或招标人以任何方式规避招标。</w:t>
      </w:r>
    </w:p>
    <w:p>
      <w:pPr>
        <w:pStyle w:val="38"/>
        <w:spacing w:line="420" w:lineRule="exact"/>
        <w:rPr>
          <w:rFonts w:hint="eastAsia" w:ascii="宋体" w:hAnsi="宋体" w:cs="宋体"/>
          <w:color w:val="000000"/>
        </w:rPr>
      </w:pPr>
      <w:r>
        <w:rPr>
          <w:rFonts w:hint="eastAsia" w:ascii="宋体" w:hAnsi="宋体" w:cs="宋体"/>
          <w:color w:val="000000"/>
          <w:sz w:val="21"/>
          <w:szCs w:val="21"/>
        </w:rPr>
        <w:t>　　（二）投标人相互串通投标或者与招标人、招标代理机构串通投标，或者投标人以向招标人、招标代理机构或者评标委员会成员行贿的手段谋取中标。</w:t>
      </w:r>
    </w:p>
    <w:p>
      <w:pPr>
        <w:pStyle w:val="38"/>
        <w:spacing w:line="420" w:lineRule="exact"/>
        <w:rPr>
          <w:rFonts w:hint="eastAsia" w:ascii="宋体" w:hAnsi="宋体" w:cs="宋体"/>
          <w:color w:val="000000"/>
        </w:rPr>
      </w:pPr>
      <w:r>
        <w:rPr>
          <w:rFonts w:hint="eastAsia" w:ascii="宋体" w:hAnsi="宋体" w:cs="宋体"/>
          <w:color w:val="000000"/>
          <w:sz w:val="21"/>
          <w:szCs w:val="21"/>
        </w:rPr>
        <w:t>　　（三）投标人以他人名义投标，挂靠、借用资质投标或者以其他方式弄虚作假，骗取中标。</w:t>
      </w:r>
    </w:p>
    <w:p>
      <w:pPr>
        <w:pStyle w:val="38"/>
        <w:spacing w:line="420" w:lineRule="exact"/>
        <w:rPr>
          <w:rFonts w:hint="eastAsia" w:ascii="宋体" w:hAnsi="宋体" w:cs="宋体"/>
          <w:color w:val="000000"/>
        </w:rPr>
      </w:pPr>
      <w:r>
        <w:rPr>
          <w:rFonts w:hint="eastAsia" w:ascii="宋体" w:hAnsi="宋体" w:cs="宋体"/>
          <w:color w:val="000000"/>
          <w:sz w:val="21"/>
          <w:szCs w:val="21"/>
        </w:rPr>
        <w:t>　　（四）招标人或投标人胁迫其他潜在投标人放弃投标，或胁迫中标人放弃中标。</w:t>
      </w:r>
    </w:p>
    <w:p>
      <w:pPr>
        <w:pStyle w:val="38"/>
        <w:spacing w:line="420" w:lineRule="exact"/>
        <w:rPr>
          <w:rFonts w:hint="eastAsia" w:ascii="宋体" w:hAnsi="宋体" w:cs="宋体"/>
          <w:color w:val="000000"/>
        </w:rPr>
      </w:pPr>
      <w:r>
        <w:rPr>
          <w:rFonts w:hint="eastAsia" w:ascii="宋体" w:hAnsi="宋体" w:cs="宋体"/>
          <w:color w:val="000000"/>
          <w:sz w:val="21"/>
          <w:szCs w:val="21"/>
        </w:rPr>
        <w:t>　　（五）投标人恶意举报投诉中标人或其他潜在投标人，干扰招标投标正常秩序。</w:t>
      </w:r>
    </w:p>
    <w:p>
      <w:pPr>
        <w:pStyle w:val="38"/>
        <w:spacing w:line="420" w:lineRule="exact"/>
        <w:rPr>
          <w:rFonts w:hint="eastAsia" w:ascii="宋体" w:hAnsi="宋体" w:cs="宋体"/>
          <w:color w:val="000000"/>
        </w:rPr>
      </w:pPr>
      <w:r>
        <w:rPr>
          <w:rFonts w:hint="eastAsia" w:ascii="宋体" w:hAnsi="宋体" w:cs="宋体"/>
          <w:color w:val="000000"/>
          <w:sz w:val="21"/>
          <w:szCs w:val="21"/>
        </w:rPr>
        <w:t>　　（六）中标人将中标项目转让给他人，或者将中标项目肢解后分别转让给他人，以及将中标项目违法分包给他人。</w:t>
      </w:r>
    </w:p>
    <w:p>
      <w:pPr>
        <w:pStyle w:val="38"/>
        <w:spacing w:line="420" w:lineRule="exact"/>
        <w:rPr>
          <w:rFonts w:hint="eastAsia" w:ascii="宋体" w:hAnsi="宋体" w:cs="宋体"/>
          <w:color w:val="000000"/>
        </w:rPr>
      </w:pPr>
      <w:r>
        <w:rPr>
          <w:rFonts w:hint="eastAsia" w:ascii="宋体" w:hAnsi="宋体" w:cs="宋体"/>
          <w:color w:val="000000"/>
          <w:sz w:val="21"/>
          <w:szCs w:val="21"/>
        </w:rPr>
        <w:t>　　（七）党政机关、事业单位、行业协（学）会等单位领导干部或工作人员利用职权或者职务上的影响干预招标投标活动。</w:t>
      </w:r>
    </w:p>
    <w:p>
      <w:pPr>
        <w:pStyle w:val="38"/>
        <w:spacing w:line="420" w:lineRule="exact"/>
        <w:rPr>
          <w:rFonts w:hint="eastAsia" w:ascii="宋体" w:hAnsi="宋体" w:cs="宋体"/>
          <w:color w:val="000000"/>
        </w:rPr>
      </w:pPr>
      <w:r>
        <w:rPr>
          <w:rFonts w:hint="eastAsia" w:ascii="宋体" w:hAnsi="宋体" w:cs="宋体"/>
          <w:color w:val="000000"/>
          <w:sz w:val="21"/>
          <w:szCs w:val="21"/>
        </w:rPr>
        <w:t xml:space="preserve">    如果您单位和个人在参与投标活动中发现以上行为或《河南省房屋建筑和市政基础设施工程项目招标投标监管禁止行为清单》《河南省房屋建筑和市政基础设施工程项目招标投标活动禁止行为清单》《洛阳市房屋建筑和市政基础设施工程招标投标负面行为清单》中所列行为，请依法向当地住房城乡建设主管部门举报，举报电话： 0379-63937963，举报地址：洛阳市洛龙区开元大道与民生路万众金融广场B座520 </w:t>
      </w:r>
    </w:p>
    <w:p>
      <w:pPr>
        <w:pStyle w:val="38"/>
        <w:spacing w:line="420" w:lineRule="exact"/>
        <w:rPr>
          <w:rFonts w:hint="eastAsia" w:ascii="宋体" w:hAnsi="宋体" w:cs="宋体"/>
          <w:color w:val="000000"/>
        </w:rPr>
      </w:pPr>
      <w:r>
        <w:rPr>
          <w:rFonts w:hint="eastAsia" w:ascii="宋体" w:hAnsi="宋体" w:cs="宋体"/>
          <w:color w:val="000000"/>
          <w:sz w:val="21"/>
          <w:szCs w:val="21"/>
        </w:rPr>
        <w:t xml:space="preserve">    如果您单位和个人在参与投标活动中发现涉黑涉恶线索，可登录河南省住房城乡建设厅官方网站首页“投诉举报”专栏“住房城乡建设领域涉黑涉恶违法线索在线举报”窗口反映。</w:t>
      </w:r>
    </w:p>
    <w:p>
      <w:pPr>
        <w:pStyle w:val="38"/>
        <w:spacing w:line="420" w:lineRule="exact"/>
        <w:rPr>
          <w:rFonts w:hint="eastAsia" w:ascii="宋体" w:hAnsi="宋体" w:cs="宋体"/>
          <w:color w:val="000000"/>
        </w:rPr>
      </w:pPr>
      <w:r>
        <w:rPr>
          <w:rFonts w:hint="eastAsia" w:ascii="宋体" w:hAnsi="宋体" w:cs="宋体"/>
          <w:color w:val="000000"/>
          <w:sz w:val="21"/>
          <w:szCs w:val="21"/>
        </w:rPr>
        <w:t xml:space="preserve">    举报时请尽量提供详细的事实材料，我们将认真落实行业监管责任，坚决依法依规处理。涉及实名举报的，我们将严格为举报人保密。</w:t>
      </w:r>
    </w:p>
    <w:p>
      <w:pPr>
        <w:pStyle w:val="38"/>
        <w:spacing w:line="420" w:lineRule="exact"/>
        <w:rPr>
          <w:rFonts w:hint="eastAsia" w:ascii="宋体" w:hAnsi="宋体" w:cs="宋体"/>
          <w:color w:val="000000"/>
        </w:rPr>
      </w:pPr>
      <w:r>
        <w:rPr>
          <w:rFonts w:hint="eastAsia" w:ascii="宋体" w:hAnsi="宋体" w:cs="宋体"/>
          <w:color w:val="000000"/>
          <w:sz w:val="21"/>
          <w:szCs w:val="21"/>
        </w:rPr>
        <w:t xml:space="preserve">    让我们大家共同行动起来，为营造公平公正的招标投标市场环境而努力！</w:t>
      </w:r>
    </w:p>
    <w:p>
      <w:pPr>
        <w:pStyle w:val="38"/>
        <w:spacing w:line="420" w:lineRule="exact"/>
        <w:jc w:val="center"/>
        <w:rPr>
          <w:rFonts w:hint="eastAsia" w:ascii="宋体" w:hAnsi="宋体" w:cs="宋体"/>
          <w:color w:val="000000"/>
          <w:sz w:val="21"/>
          <w:szCs w:val="21"/>
        </w:rPr>
      </w:pPr>
      <w:r>
        <w:rPr>
          <w:rFonts w:hint="eastAsia" w:ascii="宋体" w:hAnsi="宋体" w:cs="宋体"/>
          <w:color w:val="000000"/>
          <w:sz w:val="21"/>
          <w:szCs w:val="21"/>
        </w:rPr>
        <w:t xml:space="preserve">                                        </w:t>
      </w:r>
    </w:p>
    <w:p>
      <w:pPr>
        <w:pStyle w:val="38"/>
        <w:spacing w:line="420" w:lineRule="exact"/>
        <w:jc w:val="center"/>
        <w:rPr>
          <w:rFonts w:hint="eastAsia" w:ascii="宋体" w:hAnsi="宋体" w:cs="宋体"/>
          <w:color w:val="000000"/>
          <w:sz w:val="21"/>
          <w:szCs w:val="21"/>
        </w:rPr>
      </w:pPr>
    </w:p>
    <w:p>
      <w:pPr>
        <w:pStyle w:val="38"/>
        <w:spacing w:line="420" w:lineRule="exact"/>
        <w:jc w:val="right"/>
        <w:rPr>
          <w:rFonts w:hint="eastAsia" w:ascii="宋体" w:hAnsi="宋体" w:cs="宋体"/>
          <w:color w:val="000000"/>
        </w:rPr>
      </w:pPr>
      <w:r>
        <w:rPr>
          <w:rFonts w:hint="eastAsia" w:ascii="宋体" w:hAnsi="宋体" w:cs="宋体"/>
          <w:color w:val="000000"/>
          <w:sz w:val="21"/>
          <w:szCs w:val="21"/>
        </w:rPr>
        <w:t xml:space="preserve"> 洛阳市住房和城乡建设局</w:t>
      </w:r>
    </w:p>
    <w:p>
      <w:pPr>
        <w:spacing w:line="420" w:lineRule="exact"/>
        <w:jc w:val="right"/>
        <w:rPr>
          <w:rFonts w:hint="eastAsia" w:ascii="宋体" w:hAnsi="宋体" w:eastAsia="宋体" w:cs="宋体"/>
          <w:color w:val="000000"/>
        </w:rPr>
        <w:sectPr>
          <w:footerReference r:id="rId4" w:type="first"/>
          <w:footerReference r:id="rId3" w:type="default"/>
          <w:footnotePr>
            <w:pos w:val="beneathText"/>
          </w:footnotePr>
          <w:pgSz w:w="11906" w:h="16838"/>
          <w:pgMar w:top="1134" w:right="1134" w:bottom="1134" w:left="1134" w:header="851" w:footer="720" w:gutter="0"/>
          <w:pgNumType w:fmt="numberInDash" w:start="1"/>
          <w:cols w:space="720" w:num="1"/>
          <w:titlePg/>
          <w:docGrid w:type="lines" w:linePitch="312" w:charSpace="0"/>
        </w:sectPr>
      </w:pPr>
      <w:r>
        <w:rPr>
          <w:rFonts w:hint="eastAsia" w:ascii="宋体" w:hAnsi="宋体" w:eastAsia="宋体" w:cs="宋体"/>
          <w:color w:val="000000"/>
          <w:szCs w:val="21"/>
        </w:rPr>
        <w:t xml:space="preserve">                                          2020年7月1日</w:t>
      </w:r>
    </w:p>
    <w:p>
      <w:pPr>
        <w:spacing w:line="700" w:lineRule="exact"/>
        <w:jc w:val="center"/>
        <w:rPr>
          <w:b/>
          <w:bCs/>
          <w:sz w:val="36"/>
          <w:szCs w:val="36"/>
        </w:rPr>
      </w:pPr>
      <w:r>
        <w:rPr>
          <w:rFonts w:hint="eastAsia"/>
          <w:b/>
          <w:bCs/>
          <w:sz w:val="36"/>
          <w:szCs w:val="36"/>
        </w:rPr>
        <w:t>目</w:t>
      </w:r>
      <w:r>
        <w:rPr>
          <w:rFonts w:hint="eastAsia"/>
          <w:b/>
          <w:bCs/>
          <w:sz w:val="36"/>
          <w:szCs w:val="36"/>
          <w:lang w:val="en-US" w:eastAsia="zh-CN"/>
        </w:rPr>
        <w:t xml:space="preserve">  </w:t>
      </w:r>
      <w:r>
        <w:rPr>
          <w:rFonts w:hint="eastAsia"/>
          <w:b/>
          <w:bCs/>
          <w:sz w:val="36"/>
          <w:szCs w:val="36"/>
        </w:rPr>
        <w:t>录</w:t>
      </w:r>
    </w:p>
    <w:p>
      <w:pPr>
        <w:pStyle w:val="13"/>
        <w:keepNext w:val="0"/>
        <w:keepLines w:val="0"/>
        <w:pageBreakBefore w:val="0"/>
        <w:widowControl w:val="0"/>
        <w:tabs>
          <w:tab w:val="right" w:leader="dot" w:pos="9751"/>
        </w:tabs>
        <w:kinsoku/>
        <w:wordWrap/>
        <w:overflowPunct/>
        <w:topLinePunct w:val="0"/>
        <w:autoSpaceDE/>
        <w:autoSpaceDN/>
        <w:bidi w:val="0"/>
        <w:adjustRightInd/>
        <w:snapToGrid/>
        <w:spacing w:line="1000" w:lineRule="exact"/>
        <w:textAlignment w:val="auto"/>
        <w:rPr>
          <w:sz w:val="28"/>
          <w:szCs w:val="28"/>
        </w:rPr>
      </w:pPr>
      <w:bookmarkStart w:id="0" w:name="_Toc2819"/>
      <w:bookmarkStart w:id="1" w:name="_Toc8787"/>
      <w:bookmarkStart w:id="2" w:name="_Toc23159_WPSOffice_Level1"/>
      <w:r>
        <w:rPr>
          <w:sz w:val="28"/>
          <w:szCs w:val="28"/>
        </w:rPr>
        <w:fldChar w:fldCharType="begin"/>
      </w:r>
      <w:r>
        <w:rPr>
          <w:sz w:val="28"/>
          <w:szCs w:val="28"/>
        </w:rPr>
        <w:instrText xml:space="preserve">TOC \o "1-1" \h \u </w:instrText>
      </w:r>
      <w:r>
        <w:rPr>
          <w:sz w:val="28"/>
          <w:szCs w:val="28"/>
        </w:rPr>
        <w:fldChar w:fldCharType="separate"/>
      </w:r>
      <w:r>
        <w:rPr>
          <w:sz w:val="28"/>
          <w:szCs w:val="28"/>
        </w:rPr>
        <w:fldChar w:fldCharType="begin"/>
      </w:r>
      <w:r>
        <w:rPr>
          <w:sz w:val="28"/>
          <w:szCs w:val="28"/>
        </w:rPr>
        <w:instrText xml:space="preserve"> HYPERLINK \l "_Toc30706" </w:instrText>
      </w:r>
      <w:r>
        <w:rPr>
          <w:sz w:val="28"/>
          <w:szCs w:val="28"/>
        </w:rPr>
        <w:fldChar w:fldCharType="separate"/>
      </w:r>
      <w:r>
        <w:rPr>
          <w:rFonts w:hint="eastAsia"/>
          <w:bCs/>
          <w:sz w:val="28"/>
          <w:szCs w:val="28"/>
        </w:rPr>
        <w:t>第一章 招标公告</w:t>
      </w:r>
      <w:r>
        <w:rPr>
          <w:sz w:val="28"/>
          <w:szCs w:val="28"/>
        </w:rPr>
        <w:tab/>
      </w:r>
      <w:r>
        <w:rPr>
          <w:sz w:val="28"/>
          <w:szCs w:val="28"/>
        </w:rPr>
        <w:fldChar w:fldCharType="begin"/>
      </w:r>
      <w:r>
        <w:rPr>
          <w:sz w:val="28"/>
          <w:szCs w:val="28"/>
        </w:rPr>
        <w:instrText xml:space="preserve"> PAGEREF _Toc30706 </w:instrText>
      </w:r>
      <w:r>
        <w:rPr>
          <w:sz w:val="28"/>
          <w:szCs w:val="28"/>
        </w:rPr>
        <w:fldChar w:fldCharType="separate"/>
      </w:r>
      <w:r>
        <w:rPr>
          <w:sz w:val="28"/>
          <w:szCs w:val="28"/>
        </w:rPr>
        <w:t>- 5 -</w:t>
      </w:r>
      <w:r>
        <w:rPr>
          <w:sz w:val="28"/>
          <w:szCs w:val="28"/>
        </w:rPr>
        <w:fldChar w:fldCharType="end"/>
      </w:r>
      <w:r>
        <w:rPr>
          <w:sz w:val="28"/>
          <w:szCs w:val="28"/>
        </w:rPr>
        <w:fldChar w:fldCharType="end"/>
      </w:r>
    </w:p>
    <w:p>
      <w:pPr>
        <w:pStyle w:val="13"/>
        <w:keepNext w:val="0"/>
        <w:keepLines w:val="0"/>
        <w:pageBreakBefore w:val="0"/>
        <w:widowControl w:val="0"/>
        <w:tabs>
          <w:tab w:val="right" w:leader="dot" w:pos="9751"/>
        </w:tabs>
        <w:kinsoku/>
        <w:wordWrap/>
        <w:overflowPunct/>
        <w:topLinePunct w:val="0"/>
        <w:autoSpaceDE/>
        <w:autoSpaceDN/>
        <w:bidi w:val="0"/>
        <w:adjustRightInd/>
        <w:snapToGrid/>
        <w:spacing w:line="1000" w:lineRule="exact"/>
        <w:textAlignment w:val="auto"/>
        <w:rPr>
          <w:sz w:val="28"/>
          <w:szCs w:val="28"/>
        </w:rPr>
      </w:pPr>
      <w:r>
        <w:rPr>
          <w:sz w:val="28"/>
          <w:szCs w:val="28"/>
        </w:rPr>
        <w:fldChar w:fldCharType="begin"/>
      </w:r>
      <w:r>
        <w:rPr>
          <w:sz w:val="28"/>
          <w:szCs w:val="28"/>
        </w:rPr>
        <w:instrText xml:space="preserve"> HYPERLINK \l "_Toc32641" </w:instrText>
      </w:r>
      <w:r>
        <w:rPr>
          <w:sz w:val="28"/>
          <w:szCs w:val="28"/>
        </w:rPr>
        <w:fldChar w:fldCharType="separate"/>
      </w:r>
      <w:r>
        <w:rPr>
          <w:rFonts w:hint="eastAsia"/>
          <w:bCs/>
          <w:sz w:val="28"/>
          <w:szCs w:val="28"/>
        </w:rPr>
        <w:t>第二章 投标人须知</w:t>
      </w:r>
      <w:r>
        <w:rPr>
          <w:sz w:val="28"/>
          <w:szCs w:val="28"/>
        </w:rPr>
        <w:tab/>
      </w:r>
      <w:r>
        <w:rPr>
          <w:sz w:val="28"/>
          <w:szCs w:val="28"/>
        </w:rPr>
        <w:fldChar w:fldCharType="begin"/>
      </w:r>
      <w:r>
        <w:rPr>
          <w:sz w:val="28"/>
          <w:szCs w:val="28"/>
        </w:rPr>
        <w:instrText xml:space="preserve"> PAGEREF _Toc32641 </w:instrText>
      </w:r>
      <w:r>
        <w:rPr>
          <w:sz w:val="28"/>
          <w:szCs w:val="28"/>
        </w:rPr>
        <w:fldChar w:fldCharType="separate"/>
      </w:r>
      <w:r>
        <w:rPr>
          <w:sz w:val="28"/>
          <w:szCs w:val="28"/>
        </w:rPr>
        <w:t>- 9 -</w:t>
      </w:r>
      <w:r>
        <w:rPr>
          <w:sz w:val="28"/>
          <w:szCs w:val="28"/>
        </w:rPr>
        <w:fldChar w:fldCharType="end"/>
      </w:r>
      <w:r>
        <w:rPr>
          <w:sz w:val="28"/>
          <w:szCs w:val="28"/>
        </w:rPr>
        <w:fldChar w:fldCharType="end"/>
      </w:r>
    </w:p>
    <w:p>
      <w:pPr>
        <w:pStyle w:val="13"/>
        <w:keepNext w:val="0"/>
        <w:keepLines w:val="0"/>
        <w:pageBreakBefore w:val="0"/>
        <w:widowControl w:val="0"/>
        <w:tabs>
          <w:tab w:val="right" w:leader="dot" w:pos="9751"/>
        </w:tabs>
        <w:kinsoku/>
        <w:wordWrap/>
        <w:overflowPunct/>
        <w:topLinePunct w:val="0"/>
        <w:autoSpaceDE/>
        <w:autoSpaceDN/>
        <w:bidi w:val="0"/>
        <w:adjustRightInd/>
        <w:snapToGrid/>
        <w:spacing w:line="1000" w:lineRule="exact"/>
        <w:textAlignment w:val="auto"/>
        <w:rPr>
          <w:sz w:val="28"/>
          <w:szCs w:val="28"/>
        </w:rPr>
      </w:pPr>
      <w:r>
        <w:rPr>
          <w:sz w:val="28"/>
          <w:szCs w:val="28"/>
        </w:rPr>
        <w:fldChar w:fldCharType="begin"/>
      </w:r>
      <w:r>
        <w:rPr>
          <w:sz w:val="28"/>
          <w:szCs w:val="28"/>
        </w:rPr>
        <w:instrText xml:space="preserve"> HYPERLINK \l "_Toc7582" </w:instrText>
      </w:r>
      <w:r>
        <w:rPr>
          <w:sz w:val="28"/>
          <w:szCs w:val="28"/>
        </w:rPr>
        <w:fldChar w:fldCharType="separate"/>
      </w:r>
      <w:r>
        <w:rPr>
          <w:rFonts w:hint="eastAsia"/>
          <w:bCs/>
          <w:sz w:val="28"/>
          <w:szCs w:val="28"/>
        </w:rPr>
        <w:t>第三章 评标办法</w:t>
      </w:r>
      <w:r>
        <w:rPr>
          <w:sz w:val="28"/>
          <w:szCs w:val="28"/>
        </w:rPr>
        <w:tab/>
      </w:r>
      <w:r>
        <w:rPr>
          <w:sz w:val="28"/>
          <w:szCs w:val="28"/>
        </w:rPr>
        <w:fldChar w:fldCharType="begin"/>
      </w:r>
      <w:r>
        <w:rPr>
          <w:sz w:val="28"/>
          <w:szCs w:val="28"/>
        </w:rPr>
        <w:instrText xml:space="preserve"> PAGEREF _Toc7582 </w:instrText>
      </w:r>
      <w:r>
        <w:rPr>
          <w:sz w:val="28"/>
          <w:szCs w:val="28"/>
        </w:rPr>
        <w:fldChar w:fldCharType="separate"/>
      </w:r>
      <w:r>
        <w:rPr>
          <w:sz w:val="28"/>
          <w:szCs w:val="28"/>
        </w:rPr>
        <w:t>- 28 -</w:t>
      </w:r>
      <w:r>
        <w:rPr>
          <w:sz w:val="28"/>
          <w:szCs w:val="28"/>
        </w:rPr>
        <w:fldChar w:fldCharType="end"/>
      </w:r>
      <w:r>
        <w:rPr>
          <w:sz w:val="28"/>
          <w:szCs w:val="28"/>
        </w:rPr>
        <w:fldChar w:fldCharType="end"/>
      </w:r>
    </w:p>
    <w:p>
      <w:pPr>
        <w:pStyle w:val="13"/>
        <w:keepNext w:val="0"/>
        <w:keepLines w:val="0"/>
        <w:pageBreakBefore w:val="0"/>
        <w:widowControl w:val="0"/>
        <w:tabs>
          <w:tab w:val="right" w:leader="dot" w:pos="9751"/>
        </w:tabs>
        <w:kinsoku/>
        <w:wordWrap/>
        <w:overflowPunct/>
        <w:topLinePunct w:val="0"/>
        <w:autoSpaceDE/>
        <w:autoSpaceDN/>
        <w:bidi w:val="0"/>
        <w:adjustRightInd/>
        <w:snapToGrid/>
        <w:spacing w:line="1000" w:lineRule="exact"/>
        <w:textAlignment w:val="auto"/>
        <w:rPr>
          <w:sz w:val="28"/>
          <w:szCs w:val="28"/>
        </w:rPr>
      </w:pPr>
      <w:r>
        <w:rPr>
          <w:sz w:val="28"/>
          <w:szCs w:val="28"/>
        </w:rPr>
        <w:fldChar w:fldCharType="begin"/>
      </w:r>
      <w:r>
        <w:rPr>
          <w:sz w:val="28"/>
          <w:szCs w:val="28"/>
        </w:rPr>
        <w:instrText xml:space="preserve"> HYPERLINK \l "_Toc17044" </w:instrText>
      </w:r>
      <w:r>
        <w:rPr>
          <w:sz w:val="28"/>
          <w:szCs w:val="28"/>
        </w:rPr>
        <w:fldChar w:fldCharType="separate"/>
      </w:r>
      <w:r>
        <w:rPr>
          <w:rFonts w:hint="eastAsia" w:ascii="宋体" w:hAnsi="宋体" w:cs="宋体"/>
          <w:bCs/>
          <w:sz w:val="28"/>
          <w:szCs w:val="28"/>
        </w:rPr>
        <w:t xml:space="preserve">第四章 合同条款及格式 </w:t>
      </w:r>
      <w:r>
        <w:rPr>
          <w:sz w:val="28"/>
          <w:szCs w:val="28"/>
        </w:rPr>
        <w:tab/>
      </w:r>
      <w:r>
        <w:rPr>
          <w:sz w:val="28"/>
          <w:szCs w:val="28"/>
        </w:rPr>
        <w:fldChar w:fldCharType="begin"/>
      </w:r>
      <w:r>
        <w:rPr>
          <w:sz w:val="28"/>
          <w:szCs w:val="28"/>
        </w:rPr>
        <w:instrText xml:space="preserve"> PAGEREF _Toc17044 </w:instrText>
      </w:r>
      <w:r>
        <w:rPr>
          <w:sz w:val="28"/>
          <w:szCs w:val="28"/>
        </w:rPr>
        <w:fldChar w:fldCharType="separate"/>
      </w:r>
      <w:r>
        <w:rPr>
          <w:sz w:val="28"/>
          <w:szCs w:val="28"/>
        </w:rPr>
        <w:t>- 37 -</w:t>
      </w:r>
      <w:r>
        <w:rPr>
          <w:sz w:val="28"/>
          <w:szCs w:val="28"/>
        </w:rPr>
        <w:fldChar w:fldCharType="end"/>
      </w:r>
      <w:r>
        <w:rPr>
          <w:sz w:val="28"/>
          <w:szCs w:val="28"/>
        </w:rPr>
        <w:fldChar w:fldCharType="end"/>
      </w:r>
    </w:p>
    <w:p>
      <w:pPr>
        <w:pStyle w:val="13"/>
        <w:keepNext w:val="0"/>
        <w:keepLines w:val="0"/>
        <w:pageBreakBefore w:val="0"/>
        <w:widowControl w:val="0"/>
        <w:tabs>
          <w:tab w:val="right" w:leader="dot" w:pos="9751"/>
        </w:tabs>
        <w:kinsoku/>
        <w:wordWrap/>
        <w:overflowPunct/>
        <w:topLinePunct w:val="0"/>
        <w:autoSpaceDE/>
        <w:autoSpaceDN/>
        <w:bidi w:val="0"/>
        <w:adjustRightInd/>
        <w:snapToGrid/>
        <w:spacing w:line="1000" w:lineRule="exact"/>
        <w:textAlignment w:val="auto"/>
        <w:rPr>
          <w:sz w:val="28"/>
          <w:szCs w:val="28"/>
        </w:rPr>
      </w:pPr>
      <w:r>
        <w:rPr>
          <w:sz w:val="28"/>
          <w:szCs w:val="28"/>
        </w:rPr>
        <w:fldChar w:fldCharType="begin"/>
      </w:r>
      <w:r>
        <w:rPr>
          <w:sz w:val="28"/>
          <w:szCs w:val="28"/>
        </w:rPr>
        <w:instrText xml:space="preserve"> HYPERLINK \l "_Toc15548" </w:instrText>
      </w:r>
      <w:r>
        <w:rPr>
          <w:sz w:val="28"/>
          <w:szCs w:val="28"/>
        </w:rPr>
        <w:fldChar w:fldCharType="separate"/>
      </w:r>
      <w:r>
        <w:rPr>
          <w:rFonts w:hint="eastAsia"/>
          <w:bCs/>
          <w:sz w:val="28"/>
          <w:szCs w:val="28"/>
        </w:rPr>
        <w:t>第五章</w:t>
      </w:r>
      <w:r>
        <w:rPr>
          <w:rFonts w:hint="eastAsia"/>
          <w:bCs/>
          <w:sz w:val="28"/>
          <w:szCs w:val="28"/>
          <w:lang w:val="en-US" w:eastAsia="zh-CN"/>
        </w:rPr>
        <w:t xml:space="preserve"> </w:t>
      </w:r>
      <w:r>
        <w:rPr>
          <w:rFonts w:hint="eastAsia"/>
          <w:bCs/>
          <w:sz w:val="28"/>
          <w:szCs w:val="28"/>
        </w:rPr>
        <w:t>委托人要求</w:t>
      </w:r>
      <w:r>
        <w:rPr>
          <w:sz w:val="28"/>
          <w:szCs w:val="28"/>
        </w:rPr>
        <w:tab/>
      </w:r>
      <w:r>
        <w:rPr>
          <w:sz w:val="28"/>
          <w:szCs w:val="28"/>
        </w:rPr>
        <w:fldChar w:fldCharType="begin"/>
      </w:r>
      <w:r>
        <w:rPr>
          <w:sz w:val="28"/>
          <w:szCs w:val="28"/>
        </w:rPr>
        <w:instrText xml:space="preserve"> PAGEREF _Toc15548 </w:instrText>
      </w:r>
      <w:r>
        <w:rPr>
          <w:sz w:val="28"/>
          <w:szCs w:val="28"/>
        </w:rPr>
        <w:fldChar w:fldCharType="separate"/>
      </w:r>
      <w:r>
        <w:rPr>
          <w:sz w:val="28"/>
          <w:szCs w:val="28"/>
        </w:rPr>
        <w:t>- 54 -</w:t>
      </w:r>
      <w:r>
        <w:rPr>
          <w:sz w:val="28"/>
          <w:szCs w:val="28"/>
        </w:rPr>
        <w:fldChar w:fldCharType="end"/>
      </w:r>
      <w:r>
        <w:rPr>
          <w:sz w:val="28"/>
          <w:szCs w:val="28"/>
        </w:rPr>
        <w:fldChar w:fldCharType="end"/>
      </w:r>
    </w:p>
    <w:p>
      <w:pPr>
        <w:pStyle w:val="13"/>
        <w:keepNext w:val="0"/>
        <w:keepLines w:val="0"/>
        <w:pageBreakBefore w:val="0"/>
        <w:widowControl w:val="0"/>
        <w:tabs>
          <w:tab w:val="right" w:leader="dot" w:pos="9751"/>
        </w:tabs>
        <w:kinsoku/>
        <w:wordWrap/>
        <w:overflowPunct/>
        <w:topLinePunct w:val="0"/>
        <w:autoSpaceDE/>
        <w:autoSpaceDN/>
        <w:bidi w:val="0"/>
        <w:adjustRightInd/>
        <w:snapToGrid/>
        <w:spacing w:line="1000" w:lineRule="exact"/>
        <w:textAlignment w:val="auto"/>
        <w:rPr>
          <w:sz w:val="28"/>
          <w:szCs w:val="28"/>
        </w:rPr>
      </w:pPr>
      <w:r>
        <w:rPr>
          <w:sz w:val="28"/>
          <w:szCs w:val="28"/>
        </w:rPr>
        <w:fldChar w:fldCharType="begin"/>
      </w:r>
      <w:r>
        <w:rPr>
          <w:sz w:val="28"/>
          <w:szCs w:val="28"/>
        </w:rPr>
        <w:instrText xml:space="preserve"> HYPERLINK \l "_Toc7769" </w:instrText>
      </w:r>
      <w:r>
        <w:rPr>
          <w:sz w:val="28"/>
          <w:szCs w:val="28"/>
        </w:rPr>
        <w:fldChar w:fldCharType="separate"/>
      </w:r>
      <w:r>
        <w:rPr>
          <w:rFonts w:hint="eastAsia"/>
          <w:bCs/>
          <w:sz w:val="28"/>
          <w:szCs w:val="28"/>
        </w:rPr>
        <w:t>第六章</w:t>
      </w:r>
      <w:r>
        <w:rPr>
          <w:rFonts w:hint="eastAsia"/>
          <w:bCs/>
          <w:sz w:val="28"/>
          <w:szCs w:val="28"/>
          <w:lang w:val="zh-CN"/>
        </w:rPr>
        <w:t xml:space="preserve"> </w:t>
      </w:r>
      <w:r>
        <w:rPr>
          <w:rFonts w:hint="eastAsia"/>
          <w:bCs/>
          <w:sz w:val="28"/>
          <w:szCs w:val="28"/>
        </w:rPr>
        <w:t>投标文件格式</w:t>
      </w:r>
      <w:r>
        <w:rPr>
          <w:sz w:val="28"/>
          <w:szCs w:val="28"/>
        </w:rPr>
        <w:tab/>
      </w:r>
      <w:r>
        <w:rPr>
          <w:sz w:val="28"/>
          <w:szCs w:val="28"/>
        </w:rPr>
        <w:fldChar w:fldCharType="begin"/>
      </w:r>
      <w:r>
        <w:rPr>
          <w:sz w:val="28"/>
          <w:szCs w:val="28"/>
        </w:rPr>
        <w:instrText xml:space="preserve"> PAGEREF _Toc7769 </w:instrText>
      </w:r>
      <w:r>
        <w:rPr>
          <w:sz w:val="28"/>
          <w:szCs w:val="28"/>
        </w:rPr>
        <w:fldChar w:fldCharType="separate"/>
      </w:r>
      <w:r>
        <w:rPr>
          <w:sz w:val="28"/>
          <w:szCs w:val="28"/>
        </w:rPr>
        <w:t>- 59 -</w:t>
      </w:r>
      <w:r>
        <w:rPr>
          <w:sz w:val="28"/>
          <w:szCs w:val="28"/>
        </w:rPr>
        <w:fldChar w:fldCharType="end"/>
      </w:r>
      <w:r>
        <w:rPr>
          <w:sz w:val="28"/>
          <w:szCs w:val="28"/>
        </w:rPr>
        <w:fldChar w:fldCharType="end"/>
      </w:r>
    </w:p>
    <w:p>
      <w:pPr>
        <w:keepNext w:val="0"/>
        <w:keepLines w:val="0"/>
        <w:pageBreakBefore w:val="0"/>
        <w:widowControl w:val="0"/>
        <w:kinsoku/>
        <w:wordWrap/>
        <w:overflowPunct/>
        <w:topLinePunct w:val="0"/>
        <w:autoSpaceDE/>
        <w:autoSpaceDN/>
        <w:bidi w:val="0"/>
        <w:adjustRightInd/>
        <w:snapToGrid/>
        <w:spacing w:line="1000" w:lineRule="exact"/>
        <w:textAlignment w:val="auto"/>
        <w:rPr>
          <w:sz w:val="30"/>
          <w:szCs w:val="30"/>
        </w:rPr>
      </w:pPr>
      <w:r>
        <w:rPr>
          <w:sz w:val="28"/>
          <w:szCs w:val="28"/>
        </w:rPr>
        <w:fldChar w:fldCharType="end"/>
      </w:r>
    </w:p>
    <w:p>
      <w:pPr>
        <w:rPr>
          <w:sz w:val="24"/>
        </w:rPr>
      </w:pPr>
      <w:r>
        <w:rPr>
          <w:sz w:val="24"/>
        </w:rPr>
        <w:br w:type="page"/>
      </w:r>
    </w:p>
    <w:p>
      <w:pPr>
        <w:tabs>
          <w:tab w:val="left" w:pos="8610"/>
        </w:tabs>
        <w:spacing w:line="700" w:lineRule="exact"/>
        <w:jc w:val="center"/>
        <w:outlineLvl w:val="0"/>
        <w:rPr>
          <w:b/>
          <w:bCs/>
          <w:sz w:val="44"/>
          <w:szCs w:val="44"/>
        </w:rPr>
      </w:pPr>
      <w:bookmarkStart w:id="3" w:name="_Toc30706"/>
      <w:r>
        <w:rPr>
          <w:rFonts w:hint="eastAsia"/>
          <w:b/>
          <w:bCs/>
          <w:sz w:val="44"/>
          <w:szCs w:val="44"/>
        </w:rPr>
        <w:t>第一章 招标公告</w:t>
      </w:r>
      <w:bookmarkEnd w:id="0"/>
      <w:bookmarkEnd w:id="1"/>
      <w:bookmarkEnd w:id="2"/>
      <w:bookmarkEnd w:id="3"/>
    </w:p>
    <w:p>
      <w:pPr>
        <w:spacing w:line="500" w:lineRule="exact"/>
        <w:rPr>
          <w:b/>
          <w:bCs/>
          <w:sz w:val="24"/>
        </w:rPr>
      </w:pPr>
      <w:r>
        <w:rPr>
          <w:rFonts w:hint="eastAsia"/>
          <w:b/>
          <w:bCs/>
          <w:sz w:val="24"/>
        </w:rPr>
        <w:t>一、招标条件</w:t>
      </w:r>
    </w:p>
    <w:p>
      <w:pPr>
        <w:snapToGrid w:val="0"/>
        <w:spacing w:line="500" w:lineRule="exact"/>
        <w:ind w:firstLine="420" w:firstLineChars="200"/>
        <w:rPr>
          <w:rFonts w:ascii="宋体" w:hAnsi="宋体" w:cs="宋体"/>
          <w:color w:val="000000"/>
          <w:szCs w:val="21"/>
        </w:rPr>
      </w:pPr>
      <w:r>
        <w:rPr>
          <w:rFonts w:hint="eastAsia" w:ascii="宋体" w:hAnsi="宋体" w:cs="宋体"/>
          <w:color w:val="000000"/>
          <w:szCs w:val="21"/>
        </w:rPr>
        <w:t>本招标项目洛阳氢能电机装备产业园（一地块）西区--洛阳氢能发动机项目已由相关部门批准建设，项目业主为氢沄（河南）新能源科技有限公司，现就本项目的全过程工程咨询服务进行公开招标，招标代理机构为智博建筑设计集团有限公司，建设资金为企业自筹资金。</w:t>
      </w:r>
    </w:p>
    <w:p>
      <w:pPr>
        <w:spacing w:line="500" w:lineRule="exact"/>
        <w:rPr>
          <w:b/>
          <w:bCs/>
          <w:sz w:val="24"/>
        </w:rPr>
      </w:pPr>
      <w:r>
        <w:rPr>
          <w:rFonts w:hint="eastAsia"/>
          <w:b/>
          <w:bCs/>
          <w:sz w:val="24"/>
        </w:rPr>
        <w:t xml:space="preserve">二、项目概况与招标范围 </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1、项目名称：洛阳氢能电机装备产业园（一地块）西区--洛阳氢能发动机项目全过程工程咨询服务</w:t>
      </w:r>
    </w:p>
    <w:p>
      <w:pPr>
        <w:snapToGrid w:val="0"/>
        <w:spacing w:line="500" w:lineRule="exact"/>
        <w:ind w:firstLine="420"/>
        <w:rPr>
          <w:rFonts w:hint="eastAsia" w:ascii="宋体" w:hAnsi="宋体" w:cs="宋体"/>
          <w:color w:val="000000"/>
          <w:szCs w:val="21"/>
        </w:rPr>
      </w:pPr>
      <w:r>
        <w:rPr>
          <w:rFonts w:hint="eastAsia" w:ascii="宋体" w:hAnsi="宋体" w:cs="宋体"/>
          <w:color w:val="000000"/>
          <w:szCs w:val="21"/>
        </w:rPr>
        <w:t>2、招标编号：涧西工服招标(2022)0040号</w:t>
      </w:r>
    </w:p>
    <w:p>
      <w:pPr>
        <w:snapToGrid w:val="0"/>
        <w:spacing w:line="500" w:lineRule="exact"/>
        <w:ind w:firstLine="420"/>
        <w:rPr>
          <w:rFonts w:hint="eastAsia" w:ascii="宋体" w:hAnsi="宋体" w:cs="宋体"/>
          <w:color w:val="000000"/>
          <w:szCs w:val="21"/>
        </w:rPr>
      </w:pPr>
      <w:r>
        <w:rPr>
          <w:rFonts w:hint="eastAsia" w:ascii="宋体" w:hAnsi="宋体" w:cs="宋体"/>
          <w:color w:val="000000"/>
          <w:szCs w:val="21"/>
        </w:rPr>
        <w:t>3、资金来源：企业自筹。</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4、建设地点：洛阳市涧西区丝路大道以东，孙白路以北，蓬莱路以南。</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5、标段划分：本项目共一个标段</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6、工程概况：本项目规划总用地面积约37596.98平方米，占地约合56.39亩。总建筑面积约23125平方米，主要建筑包括生产厂房及相关配套用房、室外工程等。</w:t>
      </w:r>
    </w:p>
    <w:p>
      <w:pPr>
        <w:snapToGrid w:val="0"/>
        <w:spacing w:line="500" w:lineRule="exact"/>
        <w:ind w:firstLine="420"/>
        <w:rPr>
          <w:rFonts w:ascii="宋体" w:hAnsi="宋体" w:cs="宋体"/>
          <w:color w:val="000000"/>
          <w:szCs w:val="21"/>
        </w:rPr>
      </w:pPr>
      <w:r>
        <w:rPr>
          <w:rFonts w:hint="eastAsia" w:ascii="宋体" w:hAnsi="宋体" w:cs="宋体"/>
          <w:color w:val="000000"/>
          <w:szCs w:val="21"/>
          <w:lang w:val="en-US" w:eastAsia="zh-CN"/>
        </w:rPr>
        <w:t>7</w:t>
      </w:r>
      <w:r>
        <w:rPr>
          <w:rFonts w:hint="eastAsia" w:ascii="宋体" w:hAnsi="宋体" w:cs="宋体"/>
          <w:color w:val="000000"/>
          <w:szCs w:val="21"/>
        </w:rPr>
        <w:t>、招标范围：本次招标项目共一个标段，具体服务范围为洛阳氢能电机装备产业园（一地块）西区</w:t>
      </w:r>
      <w:r>
        <w:rPr>
          <w:rFonts w:hint="eastAsia" w:ascii="宋体" w:hAnsi="宋体" w:cs="宋体"/>
          <w:color w:val="000000"/>
          <w:szCs w:val="21"/>
          <w:lang w:val="en-US" w:eastAsia="zh-CN"/>
        </w:rPr>
        <w:t>内</w:t>
      </w:r>
      <w:r>
        <w:rPr>
          <w:rFonts w:hint="eastAsia" w:ascii="宋体" w:hAnsi="宋体" w:cs="宋体"/>
          <w:color w:val="000000"/>
          <w:szCs w:val="21"/>
        </w:rPr>
        <w:t>生产厂房及相关配套用房、室外工程的土建、水电安装、消防等的全过程工程咨询服务，具体服务内容包括：本工程的项目管理、造价咨询、工程监理</w:t>
      </w:r>
      <w:r>
        <w:rPr>
          <w:rFonts w:hint="eastAsia" w:ascii="宋体" w:hAnsi="宋体" w:cs="宋体"/>
          <w:color w:val="000000"/>
          <w:szCs w:val="21"/>
          <w:lang w:eastAsia="zh-CN"/>
        </w:rPr>
        <w:t>、</w:t>
      </w:r>
      <w:r>
        <w:rPr>
          <w:rFonts w:hint="eastAsia" w:ascii="宋体" w:hAnsi="宋体" w:cs="宋体"/>
          <w:color w:val="000000"/>
          <w:szCs w:val="21"/>
          <w:lang w:val="en-US" w:eastAsia="zh-CN"/>
        </w:rPr>
        <w:t>采购管理</w:t>
      </w:r>
      <w:r>
        <w:rPr>
          <w:rFonts w:hint="eastAsia" w:ascii="宋体" w:hAnsi="宋体" w:cs="宋体"/>
          <w:color w:val="000000"/>
          <w:szCs w:val="21"/>
        </w:rPr>
        <w:t>。（注：本次招标范围不包含工艺及动力设备的工作）</w:t>
      </w:r>
    </w:p>
    <w:p>
      <w:pPr>
        <w:snapToGrid w:val="0"/>
        <w:spacing w:line="500" w:lineRule="exact"/>
        <w:ind w:firstLine="420"/>
        <w:rPr>
          <w:rFonts w:ascii="宋体" w:hAnsi="宋体" w:cs="宋体"/>
          <w:color w:val="auto"/>
          <w:szCs w:val="21"/>
          <w:highlight w:val="none"/>
        </w:rPr>
      </w:pP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、预算控制价（最高投标限价）：320.51万元。</w:t>
      </w:r>
    </w:p>
    <w:p>
      <w:pPr>
        <w:snapToGrid w:val="0"/>
        <w:spacing w:line="500" w:lineRule="exact"/>
        <w:ind w:firstLine="420"/>
        <w:rPr>
          <w:rFonts w:hint="eastAsia" w:ascii="宋体" w:hAnsi="宋体" w:eastAsia="宋体" w:cs="宋体"/>
          <w:color w:val="000000"/>
          <w:szCs w:val="21"/>
          <w:lang w:eastAsia="zh-CN"/>
        </w:rPr>
      </w:pPr>
      <w:r>
        <w:rPr>
          <w:rFonts w:hint="eastAsia" w:ascii="宋体" w:hAnsi="宋体" w:cs="宋体"/>
          <w:color w:val="000000"/>
          <w:szCs w:val="21"/>
          <w:lang w:val="en-US" w:eastAsia="zh-CN"/>
        </w:rPr>
        <w:t>9</w:t>
      </w:r>
      <w:r>
        <w:rPr>
          <w:rFonts w:hint="eastAsia" w:ascii="宋体" w:hAnsi="宋体" w:cs="宋体"/>
          <w:color w:val="000000"/>
          <w:szCs w:val="21"/>
        </w:rPr>
        <w:t>、服务期限：</w:t>
      </w:r>
      <w:r>
        <w:rPr>
          <w:rFonts w:hint="eastAsia" w:ascii="宋体" w:hAnsi="宋体" w:cs="宋体"/>
          <w:color w:val="000000"/>
          <w:szCs w:val="21"/>
          <w:lang w:val="en-US"/>
        </w:rPr>
        <w:t>自全过程咨询合同签订之日开始至工程通过竣工验收，竣工结算完毕（含缺陷责任期）</w:t>
      </w:r>
      <w:r>
        <w:rPr>
          <w:rFonts w:hint="eastAsia" w:ascii="宋体" w:hAnsi="宋体" w:cs="宋体"/>
          <w:color w:val="000000"/>
          <w:szCs w:val="21"/>
          <w:lang w:val="en-US" w:eastAsia="zh-CN"/>
        </w:rPr>
        <w:t>。</w:t>
      </w:r>
    </w:p>
    <w:p>
      <w:pPr>
        <w:spacing w:line="500" w:lineRule="exact"/>
        <w:rPr>
          <w:b/>
          <w:bCs/>
          <w:sz w:val="24"/>
        </w:rPr>
      </w:pPr>
      <w:r>
        <w:rPr>
          <w:rFonts w:hint="eastAsia"/>
          <w:b/>
          <w:bCs/>
          <w:sz w:val="24"/>
        </w:rPr>
        <w:t>三、投标人资格要求</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1、投标人须具有有效的营业执照或事业单位登记证书（须投标文件中附营业执照或事业单位登记证书原件的扫描件，并加盖投标单位电子章）。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2、投标人须具国家建设行政主管部门颁发的房屋建筑监理甲级资质或工程监理综合资质（须在投标文件中附资质证书的原件扫描件，并加盖投标单位电子章）。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3、项目总负责人资格要求：</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投标人拟派全过程工程咨询项目总负责人须具备注册监理工程师证书（房屋建筑工程专业）或注册一级造价工程师证书或一级注册建造师证书（建筑工程专业），且同时具有中级工程师及以上技术职称（投标文件中须附以上证书原件的扫描件，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4、各专业团队项目负责人资格要求：</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（1）项目管理团队负责人：须具有注册监理工程师（房屋建筑工程专业）或注册一级建造师（建筑工程专业）；</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 xml:space="preserve">（2）工程监理团队负责人：具有国家注册监理工程师资格（房屋建筑工程专业）； </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（3）造价咨询团队负责人：具有国家注册一级造价工程师执业资格；</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注：项目总负责人与各专业团队项目负责人不得为同一人（须在投标文件中附注册证书的原件扫描件，并加盖投标单位电子章）。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5、投标人拟派全过程工程咨询项目总负责人、各专业团队负责人及被授权委托人：须提供自 2021年01月01日以来投标人为其缴纳的任意连续 6 个月（含）以上社保证明。（须在投标文件中提供社保的个人明细查询单加盖社保部门印章的原件扫描件或在社保部门开通的网站打印的社保个人明细查询单并加盖投标单位电子章）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6、财务要求：投标人财务状况良好，须提</w:t>
      </w:r>
      <w:r>
        <w:rPr>
          <w:rFonts w:hint="eastAsia" w:ascii="宋体" w:hAnsi="宋体" w:cs="宋体"/>
          <w:color w:val="000000"/>
          <w:szCs w:val="21"/>
          <w:highlight w:val="none"/>
        </w:rPr>
        <w:t>供2020年度</w:t>
      </w:r>
      <w:r>
        <w:rPr>
          <w:rFonts w:hint="eastAsia" w:ascii="宋体" w:hAnsi="宋体" w:cs="宋体"/>
          <w:color w:val="000000"/>
          <w:szCs w:val="21"/>
          <w:highlight w:val="none"/>
          <w:lang w:val="en-US" w:eastAsia="zh-CN"/>
        </w:rPr>
        <w:t>或2021年度</w:t>
      </w:r>
      <w:r>
        <w:rPr>
          <w:rFonts w:hint="eastAsia" w:ascii="宋体" w:hAnsi="宋体" w:cs="宋体"/>
          <w:color w:val="000000"/>
          <w:szCs w:val="21"/>
        </w:rPr>
        <w:t>财务审计报告，包括经第三方审计机构出具的审计报告和经审计的财务报表（包含资产负债表、利润表、现金流量表）；成立不足一年的企业无需提供财务审计报告，仅提供单位最近一个月的财务报表即可（须在投标文件中附以上资料全文的原件扫描件，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7、纳税及社保：投标人须提供自2021年06月01日以来中任意连续3个月份依法缴纳税收和社会保障资金的证明资料：主要是指投标人有效期内的税务登记证（投标人提供加载有统一社会信用代码“多证合一”营业执照的，视为已提供税务登记证）以及缴纳增值税的凭据，缴纳社会保险的凭据（专用收据或社会保险缴纳清单或完税证明）。依法免税或不需要缴纳社会保障资金的投标人，应提供相应文件证明其依法免税或不需要缴纳社会保障资金；（投标文件中须附以上证明资料原件的扫描件，并加盖投标单位电子章）</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8、信誉要求：根据《财政部关于在政府采购活动中查询及使用信用记录有关问题的通知》（财库〔2016〕125号）和《河南省财政厅关于转发财政部关于在政府采购活动中查询及使用信用记录有关问题的通知》（豫财购〔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投标人将被拒绝参加投标；</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9、单位负责人为同一人或者存在控股、管理关系的不同单位，不符合参加同一标段投标或者划分标段的同一招标项目招标。</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10、本项目不接受联合体投标</w:t>
      </w:r>
    </w:p>
    <w:p>
      <w:pPr>
        <w:spacing w:line="500" w:lineRule="exact"/>
        <w:rPr>
          <w:b/>
          <w:bCs/>
          <w:sz w:val="24"/>
        </w:rPr>
      </w:pPr>
      <w:r>
        <w:rPr>
          <w:rFonts w:hint="eastAsia"/>
          <w:b/>
          <w:bCs/>
          <w:sz w:val="24"/>
        </w:rPr>
        <w:t>四、招标文件的获取</w:t>
      </w:r>
    </w:p>
    <w:p>
      <w:pPr>
        <w:snapToGrid w:val="0"/>
        <w:spacing w:line="500" w:lineRule="exact"/>
        <w:ind w:firstLine="420"/>
        <w:jc w:val="left"/>
        <w:rPr>
          <w:rFonts w:ascii="宋体" w:hAnsi="宋体" w:cs="宋体"/>
        </w:rPr>
      </w:pPr>
      <w:r>
        <w:rPr>
          <w:rFonts w:hint="eastAsia" w:ascii="宋体" w:hAnsi="宋体" w:cs="宋体"/>
          <w:color w:val="000000"/>
          <w:szCs w:val="21"/>
        </w:rPr>
        <w:t>1、本次招标在网上进行，凡有意参加投标者，请登录洛阳市公共资源交易中心网站（www.lyggzyjy.cn），点击“交易登录”进入“洛阳市电子招投标交易平台”进行用户注册，并办理CA数字证书。用户注册请咨询：0379-69921065；CA数字证书办理及使用，请咨询：96596（省外请加0371）18567666420，18567666421；</w:t>
      </w:r>
    </w:p>
    <w:p>
      <w:pPr>
        <w:snapToGrid w:val="0"/>
        <w:spacing w:line="500" w:lineRule="exact"/>
        <w:ind w:firstLine="420"/>
        <w:jc w:val="left"/>
        <w:rPr>
          <w:rFonts w:ascii="宋体" w:hAnsi="宋体" w:cs="宋体"/>
        </w:rPr>
      </w:pPr>
      <w:r>
        <w:rPr>
          <w:rFonts w:hint="eastAsia" w:ascii="宋体" w:hAnsi="宋体" w:cs="宋体"/>
          <w:color w:val="000000"/>
          <w:szCs w:val="21"/>
        </w:rPr>
        <w:t>2、办理数字证书后，请于</w:t>
      </w:r>
      <w:bookmarkStart w:id="227" w:name="_GoBack"/>
      <w:r>
        <w:rPr>
          <w:rFonts w:hint="eastAsia" w:ascii="宋体" w:hAnsi="宋体" w:cs="宋体"/>
          <w:color w:val="000000"/>
          <w:szCs w:val="21"/>
          <w:highlight w:val="none"/>
        </w:rPr>
        <w:t>2022年0</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月</w:t>
      </w:r>
      <w:r>
        <w:rPr>
          <w:rFonts w:hint="eastAsia" w:ascii="宋体" w:hAnsi="宋体" w:cs="宋体"/>
          <w:color w:val="000000"/>
          <w:szCs w:val="21"/>
          <w:highlight w:val="none"/>
          <w:lang w:val="en-US" w:eastAsia="zh-CN"/>
        </w:rPr>
        <w:t>05</w:t>
      </w:r>
      <w:r>
        <w:rPr>
          <w:rFonts w:hint="eastAsia" w:ascii="宋体" w:hAnsi="宋体" w:cs="宋体"/>
          <w:color w:val="000000"/>
          <w:szCs w:val="21"/>
          <w:highlight w:val="none"/>
        </w:rPr>
        <w:t>日至2022年0</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月</w:t>
      </w:r>
      <w:r>
        <w:rPr>
          <w:rFonts w:hint="eastAsia" w:ascii="宋体" w:hAnsi="宋体" w:cs="宋体"/>
          <w:color w:val="000000"/>
          <w:szCs w:val="21"/>
          <w:highlight w:val="none"/>
          <w:lang w:val="en-US" w:eastAsia="zh-CN"/>
        </w:rPr>
        <w:t>10</w:t>
      </w:r>
      <w:r>
        <w:rPr>
          <w:rFonts w:hint="eastAsia" w:ascii="宋体" w:hAnsi="宋体" w:cs="宋体"/>
          <w:color w:val="000000"/>
          <w:szCs w:val="21"/>
          <w:highlight w:val="none"/>
        </w:rPr>
        <w:t>日24:00</w:t>
      </w:r>
      <w:bookmarkEnd w:id="227"/>
      <w:r>
        <w:rPr>
          <w:rFonts w:hint="eastAsia" w:ascii="宋体" w:hAnsi="宋体" w:cs="宋体"/>
          <w:color w:val="000000"/>
          <w:szCs w:val="21"/>
        </w:rPr>
        <w:t>时，登录洛阳市公共资源交易网站，点击“交易登录”，选择“证书Key”方式登录，缴费（免费的除外）下载招标文件。联合体投标的，由联合体牵头人完成招标文件下载；</w:t>
      </w:r>
    </w:p>
    <w:p>
      <w:pPr>
        <w:snapToGrid w:val="0"/>
        <w:spacing w:line="500" w:lineRule="exact"/>
        <w:ind w:firstLine="420"/>
        <w:jc w:val="left"/>
        <w:rPr>
          <w:rFonts w:ascii="宋体" w:hAnsi="宋体" w:cs="宋体"/>
        </w:rPr>
      </w:pPr>
      <w:r>
        <w:rPr>
          <w:rFonts w:hint="eastAsia" w:ascii="宋体" w:hAnsi="宋体" w:cs="宋体"/>
          <w:color w:val="000000"/>
          <w:szCs w:val="21"/>
        </w:rPr>
        <w:t>3、本次招标文件免费提供下载；</w:t>
      </w:r>
    </w:p>
    <w:p>
      <w:pPr>
        <w:snapToGrid w:val="0"/>
        <w:spacing w:line="500" w:lineRule="exact"/>
        <w:ind w:firstLine="420"/>
        <w:jc w:val="left"/>
        <w:rPr>
          <w:rFonts w:ascii="宋体" w:hAnsi="宋体" w:cs="宋体"/>
        </w:rPr>
      </w:pPr>
      <w:r>
        <w:rPr>
          <w:rFonts w:hint="eastAsia" w:ascii="宋体" w:hAnsi="宋体" w:cs="宋体"/>
          <w:color w:val="000000"/>
          <w:szCs w:val="21"/>
        </w:rPr>
        <w:t>4、获取招标文件后，投标人请到洛阳市公共资源交易中心网站—交易服务—下载中心栏目下载并安装最新版本投标文件制作工具，查看招标文件和制作电子投标文件。</w:t>
      </w:r>
    </w:p>
    <w:p>
      <w:pPr>
        <w:spacing w:line="500" w:lineRule="exact"/>
        <w:rPr>
          <w:b/>
          <w:bCs/>
          <w:sz w:val="24"/>
        </w:rPr>
      </w:pPr>
      <w:r>
        <w:rPr>
          <w:rFonts w:hint="eastAsia"/>
          <w:b/>
          <w:bCs/>
          <w:sz w:val="24"/>
        </w:rPr>
        <w:t>五、投标文件的递交</w:t>
      </w:r>
    </w:p>
    <w:p>
      <w:pPr>
        <w:snapToGrid w:val="0"/>
        <w:spacing w:line="500" w:lineRule="exact"/>
        <w:ind w:firstLine="420"/>
        <w:jc w:val="left"/>
        <w:rPr>
          <w:rFonts w:ascii="宋体" w:hAnsi="宋体" w:cs="宋体"/>
        </w:rPr>
      </w:pPr>
      <w:r>
        <w:rPr>
          <w:rFonts w:hint="eastAsia" w:ascii="宋体" w:hAnsi="宋体" w:cs="宋体"/>
          <w:color w:val="000000"/>
          <w:szCs w:val="21"/>
        </w:rPr>
        <w:t>1、投标文件递交的截止时间（投标截止时间）为</w:t>
      </w:r>
      <w:r>
        <w:rPr>
          <w:rFonts w:hint="eastAsia" w:ascii="宋体" w:hAnsi="宋体" w:cs="宋体"/>
          <w:color w:val="000000"/>
          <w:szCs w:val="21"/>
          <w:u w:val="single"/>
          <w:lang w:val="en-US" w:eastAsia="zh-CN"/>
        </w:rPr>
        <w:t xml:space="preserve"> </w:t>
      </w:r>
      <w:r>
        <w:rPr>
          <w:rFonts w:hint="eastAsia" w:ascii="宋体" w:hAnsi="宋体" w:cs="宋体"/>
          <w:color w:val="000000"/>
          <w:szCs w:val="21"/>
          <w:highlight w:val="none"/>
          <w:u w:val="single"/>
        </w:rPr>
        <w:t>2022</w:t>
      </w:r>
      <w:r>
        <w:rPr>
          <w:rFonts w:hint="eastAsia" w:ascii="宋体" w:hAnsi="宋体" w:cs="宋体"/>
          <w:color w:val="000000"/>
          <w:szCs w:val="21"/>
          <w:highlight w:val="none"/>
          <w:u w:val="single"/>
          <w:lang w:val="en-US" w:eastAsia="zh-CN"/>
        </w:rPr>
        <w:t xml:space="preserve"> </w:t>
      </w:r>
      <w:r>
        <w:rPr>
          <w:rFonts w:hint="eastAsia" w:ascii="宋体" w:hAnsi="宋体" w:cs="宋体"/>
          <w:color w:val="000000"/>
          <w:szCs w:val="21"/>
          <w:highlight w:val="none"/>
        </w:rPr>
        <w:t>年</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u w:val="single"/>
          <w:lang w:val="en-US" w:eastAsia="zh-CN"/>
        </w:rPr>
        <w:t>05</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rPr>
        <w:t>月</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u w:val="single"/>
          <w:lang w:val="en-US" w:eastAsia="zh-CN"/>
        </w:rPr>
        <w:t>25</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rPr>
        <w:t>日</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u w:val="single"/>
          <w:lang w:val="en-US" w:eastAsia="zh-CN"/>
        </w:rPr>
        <w:t>09</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rPr>
        <w:t>时</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u w:val="single"/>
          <w:lang w:val="en-US" w:eastAsia="zh-CN"/>
        </w:rPr>
        <w:t>30</w:t>
      </w:r>
      <w:r>
        <w:rPr>
          <w:rFonts w:hint="eastAsia" w:ascii="宋体" w:hAnsi="宋体" w:cs="宋体"/>
          <w:color w:val="000000"/>
          <w:szCs w:val="21"/>
          <w:highlight w:val="none"/>
          <w:u w:val="single"/>
        </w:rPr>
        <w:t xml:space="preserve"> </w:t>
      </w:r>
      <w:r>
        <w:rPr>
          <w:rFonts w:hint="eastAsia" w:ascii="宋体" w:hAnsi="宋体" w:cs="宋体"/>
          <w:color w:val="000000"/>
          <w:szCs w:val="21"/>
          <w:highlight w:val="none"/>
        </w:rPr>
        <w:t>分</w:t>
      </w:r>
      <w:r>
        <w:rPr>
          <w:rFonts w:hint="eastAsia" w:ascii="宋体" w:hAnsi="宋体" w:cs="宋体"/>
          <w:color w:val="000000"/>
          <w:szCs w:val="21"/>
        </w:rPr>
        <w:t xml:space="preserve"> (北京时间)；</w:t>
      </w:r>
    </w:p>
    <w:p>
      <w:pPr>
        <w:snapToGrid w:val="0"/>
        <w:spacing w:line="500" w:lineRule="exact"/>
        <w:ind w:firstLine="420"/>
        <w:rPr>
          <w:rFonts w:ascii="宋体" w:hAnsi="宋体" w:cs="宋体"/>
        </w:rPr>
      </w:pPr>
      <w:r>
        <w:rPr>
          <w:rFonts w:hint="eastAsia" w:ascii="宋体" w:hAnsi="宋体" w:cs="宋体"/>
          <w:color w:val="000000"/>
          <w:szCs w:val="21"/>
        </w:rPr>
        <w:t>2、投标文件接收地点及开标地点为涧西区公共资源交易中心</w:t>
      </w:r>
      <w:r>
        <w:rPr>
          <w:rFonts w:hint="eastAsia" w:ascii="宋体" w:hAnsi="宋体" w:cs="宋体"/>
          <w:color w:val="000000"/>
          <w:szCs w:val="21"/>
          <w:highlight w:val="none"/>
        </w:rPr>
        <w:t>开标一室（涧西区）</w:t>
      </w:r>
      <w:r>
        <w:rPr>
          <w:rFonts w:hint="eastAsia" w:ascii="宋体" w:hAnsi="宋体" w:cs="宋体"/>
          <w:color w:val="000000"/>
          <w:szCs w:val="21"/>
        </w:rPr>
        <w:t>；</w:t>
      </w:r>
    </w:p>
    <w:p>
      <w:pPr>
        <w:snapToGrid w:val="0"/>
        <w:spacing w:line="500" w:lineRule="exact"/>
        <w:ind w:firstLine="420"/>
        <w:rPr>
          <w:rFonts w:ascii="宋体" w:hAnsi="宋体" w:cs="宋体"/>
        </w:rPr>
      </w:pPr>
      <w:r>
        <w:rPr>
          <w:rFonts w:hint="eastAsia" w:ascii="宋体" w:hAnsi="宋体" w:cs="宋体"/>
          <w:color w:val="000000"/>
          <w:szCs w:val="21"/>
        </w:rPr>
        <w:t>3、投标人应在投标截止时间前，通过互联网使用 CA 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w:t>
      </w:r>
    </w:p>
    <w:p>
      <w:pPr>
        <w:snapToGrid w:val="0"/>
        <w:spacing w:line="500" w:lineRule="exact"/>
        <w:ind w:firstLine="420"/>
        <w:jc w:val="left"/>
        <w:rPr>
          <w:rFonts w:ascii="宋体" w:hAnsi="宋体" w:cs="宋体"/>
        </w:rPr>
      </w:pPr>
      <w:r>
        <w:rPr>
          <w:rFonts w:hint="eastAsia" w:ascii="宋体" w:hAnsi="宋体" w:cs="宋体"/>
          <w:color w:val="000000"/>
          <w:szCs w:val="21"/>
        </w:rPr>
        <w:t xml:space="preserve">4、本项目采用远程不见面交易的模式，开标当日，投标人无需到开标现场参加开标会议，投标人应当在投标截止时间前，登录到洛阳市电子招投标交易平台（http://www.lyggzyjy.cn/TPBidder），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 </w:t>
      </w:r>
    </w:p>
    <w:p>
      <w:pPr>
        <w:snapToGrid w:val="0"/>
        <w:spacing w:line="500" w:lineRule="exact"/>
        <w:ind w:firstLine="420"/>
        <w:rPr>
          <w:rFonts w:ascii="宋体" w:hAnsi="宋体" w:cs="宋体"/>
        </w:rPr>
      </w:pPr>
      <w:r>
        <w:rPr>
          <w:rFonts w:hint="eastAsia" w:ascii="宋体" w:hAnsi="宋体" w:cs="宋体"/>
          <w:color w:val="000000"/>
          <w:szCs w:val="21"/>
        </w:rPr>
        <w:t xml:space="preserve">5、除电子投标文件外，投标时不再接受任何纸质文件、资料等。逾期送达的或者未送达指定地点的投标文件，招标人不予受理。 </w:t>
      </w:r>
    </w:p>
    <w:p>
      <w:pPr>
        <w:spacing w:line="500" w:lineRule="exact"/>
        <w:rPr>
          <w:b/>
          <w:bCs/>
          <w:sz w:val="24"/>
        </w:rPr>
      </w:pPr>
      <w:r>
        <w:rPr>
          <w:rFonts w:hint="eastAsia"/>
          <w:b/>
          <w:bCs/>
          <w:sz w:val="24"/>
        </w:rPr>
        <w:t>六、发布公告的媒体</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1、本次招标公告同时在《中国招标投标公共服务平台》、《河南省电子招标投标公共服务平台》、《洛阳市公共资源交易中心网》上发布。</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2、投标人在参与本项目招标采购活动期间应及时关注本网站获取相关澄清或变更等信息。</w:t>
      </w:r>
    </w:p>
    <w:p>
      <w:pPr>
        <w:spacing w:line="500" w:lineRule="exact"/>
        <w:rPr>
          <w:b/>
          <w:bCs/>
          <w:sz w:val="24"/>
        </w:rPr>
      </w:pPr>
      <w:r>
        <w:rPr>
          <w:rFonts w:hint="eastAsia"/>
          <w:b/>
          <w:bCs/>
          <w:sz w:val="24"/>
        </w:rPr>
        <w:t>七、联系方式</w:t>
      </w:r>
    </w:p>
    <w:p>
      <w:pPr>
        <w:snapToGrid w:val="0"/>
        <w:spacing w:line="500" w:lineRule="exact"/>
        <w:ind w:firstLine="420"/>
        <w:rPr>
          <w:rFonts w:ascii="宋体" w:hAnsi="宋体" w:cs="宋体"/>
        </w:rPr>
      </w:pPr>
      <w:r>
        <w:rPr>
          <w:rFonts w:hint="eastAsia" w:ascii="宋体" w:hAnsi="宋体" w:cs="宋体"/>
          <w:color w:val="000000"/>
          <w:szCs w:val="21"/>
        </w:rPr>
        <w:t>招 标 人：氢沄（河南）新能源科技有限公司</w:t>
      </w:r>
    </w:p>
    <w:p>
      <w:pPr>
        <w:snapToGrid w:val="0"/>
        <w:spacing w:line="500" w:lineRule="exact"/>
        <w:ind w:firstLine="420"/>
        <w:rPr>
          <w:rFonts w:ascii="宋体" w:hAnsi="宋体" w:cs="宋体"/>
        </w:rPr>
      </w:pPr>
      <w:r>
        <w:rPr>
          <w:rFonts w:hint="eastAsia" w:ascii="宋体" w:hAnsi="宋体" w:cs="宋体"/>
          <w:color w:val="000000"/>
          <w:szCs w:val="21"/>
        </w:rPr>
        <w:t>地    址：河南省洛阳市涧西区蓬莱路2号洛阳国家大学科技园2A2号楼217室</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 xml:space="preserve">联 系 人：韦先生 </w:t>
      </w:r>
    </w:p>
    <w:p>
      <w:pPr>
        <w:snapToGrid w:val="0"/>
        <w:spacing w:line="500" w:lineRule="exact"/>
        <w:ind w:firstLine="420"/>
        <w:rPr>
          <w:rFonts w:ascii="宋体" w:hAnsi="宋体" w:cs="宋体"/>
        </w:rPr>
      </w:pPr>
      <w:r>
        <w:rPr>
          <w:rFonts w:hint="eastAsia" w:ascii="宋体" w:hAnsi="宋体" w:cs="宋体"/>
          <w:color w:val="000000"/>
          <w:szCs w:val="21"/>
        </w:rPr>
        <w:t>电    话：15838569603</w:t>
      </w:r>
    </w:p>
    <w:p>
      <w:pPr>
        <w:snapToGrid w:val="0"/>
        <w:spacing w:line="500" w:lineRule="exact"/>
        <w:ind w:firstLine="420"/>
        <w:rPr>
          <w:rFonts w:ascii="宋体" w:hAnsi="宋体" w:cs="宋体"/>
        </w:rPr>
      </w:pPr>
      <w:r>
        <w:rPr>
          <w:rFonts w:hint="eastAsia" w:ascii="宋体" w:hAnsi="宋体" w:cs="宋体"/>
          <w:color w:val="000000"/>
          <w:szCs w:val="21"/>
        </w:rPr>
        <w:t>招标代理机构：智博建筑设计集团有限公司</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地    址：洛阳市洛龙区洛阳智慧工场科技园D1办公楼</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联 系 人：赵先生</w:t>
      </w:r>
    </w:p>
    <w:p>
      <w:pPr>
        <w:snapToGrid w:val="0"/>
        <w:spacing w:line="500" w:lineRule="exact"/>
        <w:ind w:firstLine="420"/>
        <w:rPr>
          <w:rFonts w:ascii="宋体" w:hAnsi="宋体" w:cs="宋体"/>
        </w:rPr>
      </w:pPr>
      <w:r>
        <w:rPr>
          <w:rFonts w:hint="eastAsia" w:ascii="宋体" w:hAnsi="宋体" w:cs="宋体"/>
          <w:color w:val="000000"/>
          <w:szCs w:val="21"/>
        </w:rPr>
        <w:t>电    话：0379-64720261</w:t>
      </w:r>
    </w:p>
    <w:p>
      <w:pPr>
        <w:snapToGrid w:val="0"/>
        <w:spacing w:line="500" w:lineRule="exact"/>
        <w:ind w:firstLine="420"/>
        <w:rPr>
          <w:rFonts w:ascii="宋体" w:hAnsi="宋体" w:cs="宋体"/>
        </w:rPr>
      </w:pPr>
      <w:r>
        <w:rPr>
          <w:rFonts w:hint="eastAsia" w:ascii="宋体" w:hAnsi="宋体" w:cs="宋体"/>
          <w:color w:val="000000"/>
          <w:szCs w:val="21"/>
        </w:rPr>
        <w:t>邮    箱：209276021@qq.com</w:t>
      </w:r>
    </w:p>
    <w:p>
      <w:pPr>
        <w:snapToGrid w:val="0"/>
        <w:spacing w:line="500" w:lineRule="exact"/>
        <w:ind w:firstLine="420"/>
        <w:rPr>
          <w:rFonts w:ascii="宋体" w:hAnsi="宋体" w:cs="宋体"/>
        </w:rPr>
      </w:pPr>
      <w:r>
        <w:rPr>
          <w:rFonts w:hint="eastAsia" w:ascii="宋体" w:hAnsi="宋体" w:cs="宋体"/>
          <w:color w:val="000000"/>
          <w:szCs w:val="21"/>
        </w:rPr>
        <w:t>监管部门：涧西区财政监管部门</w:t>
      </w:r>
    </w:p>
    <w:p>
      <w:pPr>
        <w:snapToGrid w:val="0"/>
        <w:spacing w:line="500" w:lineRule="exact"/>
        <w:ind w:firstLine="420"/>
        <w:rPr>
          <w:rFonts w:ascii="宋体" w:hAnsi="宋体" w:cs="宋体"/>
          <w:color w:val="000000"/>
          <w:szCs w:val="21"/>
        </w:rPr>
      </w:pPr>
      <w:r>
        <w:rPr>
          <w:rFonts w:hint="eastAsia" w:ascii="宋体" w:hAnsi="宋体" w:cs="宋体"/>
          <w:color w:val="000000"/>
          <w:szCs w:val="21"/>
        </w:rPr>
        <w:t>监管部门联系方式：0379-64823351</w:t>
      </w: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rPr>
          <w:color w:val="000000"/>
          <w:szCs w:val="21"/>
        </w:rPr>
      </w:pPr>
    </w:p>
    <w:p>
      <w:pPr>
        <w:rPr>
          <w:rFonts w:ascii="宋体" w:hAnsi="宋体" w:cs="宋体"/>
          <w:color w:val="000000"/>
          <w:szCs w:val="21"/>
        </w:rPr>
      </w:pPr>
    </w:p>
    <w:p>
      <w:pPr>
        <w:pStyle w:val="2"/>
      </w:pPr>
    </w:p>
    <w:p>
      <w:pPr>
        <w:spacing w:line="700" w:lineRule="exact"/>
        <w:jc w:val="center"/>
        <w:outlineLvl w:val="0"/>
        <w:rPr>
          <w:b/>
          <w:bCs/>
          <w:sz w:val="44"/>
          <w:szCs w:val="44"/>
        </w:rPr>
      </w:pPr>
      <w:bookmarkStart w:id="4" w:name="_Toc32103"/>
      <w:bookmarkStart w:id="5" w:name="_Toc24657"/>
      <w:bookmarkStart w:id="6" w:name="_Toc32641"/>
      <w:bookmarkStart w:id="7" w:name="_Toc1418_WPSOffice_Level1"/>
      <w:r>
        <w:rPr>
          <w:rFonts w:hint="eastAsia"/>
          <w:b/>
          <w:bCs/>
          <w:sz w:val="44"/>
          <w:szCs w:val="44"/>
        </w:rPr>
        <w:t>第二章 投标人须知</w:t>
      </w:r>
      <w:bookmarkEnd w:id="4"/>
      <w:bookmarkEnd w:id="5"/>
      <w:bookmarkEnd w:id="6"/>
      <w:bookmarkEnd w:id="7"/>
    </w:p>
    <w:p>
      <w:pPr>
        <w:spacing w:line="700" w:lineRule="exact"/>
        <w:jc w:val="center"/>
        <w:rPr>
          <w:b/>
          <w:bCs/>
          <w:sz w:val="24"/>
        </w:rPr>
      </w:pPr>
      <w:bookmarkStart w:id="8" w:name="投标人须知前附表"/>
      <w:bookmarkEnd w:id="8"/>
      <w:r>
        <w:rPr>
          <w:rFonts w:hint="eastAsia"/>
          <w:b/>
          <w:bCs/>
          <w:sz w:val="24"/>
        </w:rPr>
        <w:t>投标人须知前附表</w:t>
      </w:r>
    </w:p>
    <w:tbl>
      <w:tblPr>
        <w:tblStyle w:val="16"/>
        <w:tblW w:w="9770"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1"/>
        <w:gridCol w:w="2144"/>
        <w:gridCol w:w="67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b/>
                <w:bCs/>
                <w:szCs w:val="21"/>
              </w:rPr>
            </w:pPr>
            <w:r>
              <w:rPr>
                <w:rFonts w:hint="eastAsia" w:ascii="宋体" w:hAnsi="宋体" w:eastAsia="宋体" w:cs="宋体"/>
                <w:b/>
                <w:bCs/>
                <w:szCs w:val="21"/>
              </w:rPr>
              <w:t>条款号</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b/>
                <w:bCs/>
                <w:szCs w:val="21"/>
              </w:rPr>
            </w:pPr>
            <w:r>
              <w:rPr>
                <w:rFonts w:hint="eastAsia" w:ascii="宋体" w:hAnsi="宋体" w:eastAsia="宋体" w:cs="宋体"/>
                <w:b/>
                <w:bCs/>
                <w:szCs w:val="21"/>
              </w:rPr>
              <w:t>条 款 名 称</w:t>
            </w:r>
          </w:p>
        </w:tc>
        <w:tc>
          <w:tcPr>
            <w:tcW w:w="6785"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b/>
                <w:bCs/>
                <w:szCs w:val="21"/>
              </w:rPr>
            </w:pPr>
            <w:r>
              <w:rPr>
                <w:rFonts w:hint="eastAsia" w:ascii="宋体" w:hAnsi="宋体" w:eastAsia="宋体" w:cs="宋体"/>
                <w:b/>
                <w:bCs/>
                <w:szCs w:val="21"/>
              </w:rPr>
              <w:t>编</w:t>
            </w:r>
            <w:r>
              <w:rPr>
                <w:rFonts w:hint="eastAsia" w:ascii="宋体" w:hAnsi="宋体" w:eastAsia="宋体" w:cs="宋体"/>
                <w:b/>
                <w:bCs/>
                <w:szCs w:val="21"/>
              </w:rPr>
              <w:tab/>
            </w:r>
            <w:r>
              <w:rPr>
                <w:rFonts w:hint="eastAsia" w:ascii="宋体" w:hAnsi="宋体" w:eastAsia="宋体" w:cs="宋体"/>
                <w:b/>
                <w:bCs/>
                <w:szCs w:val="21"/>
              </w:rPr>
              <w:t>列</w:t>
            </w:r>
            <w:r>
              <w:rPr>
                <w:rFonts w:hint="eastAsia" w:ascii="宋体" w:hAnsi="宋体" w:eastAsia="宋体" w:cs="宋体"/>
                <w:b/>
                <w:bCs/>
                <w:szCs w:val="21"/>
              </w:rPr>
              <w:tab/>
            </w:r>
            <w:r>
              <w:rPr>
                <w:rFonts w:hint="eastAsia" w:ascii="宋体" w:hAnsi="宋体" w:eastAsia="宋体" w:cs="宋体"/>
                <w:b/>
                <w:bCs/>
                <w:szCs w:val="21"/>
              </w:rPr>
              <w:t>内</w:t>
            </w:r>
            <w:r>
              <w:rPr>
                <w:rFonts w:hint="eastAsia" w:ascii="宋体" w:hAnsi="宋体" w:eastAsia="宋体" w:cs="宋体"/>
                <w:b/>
                <w:bCs/>
                <w:szCs w:val="21"/>
              </w:rPr>
              <w:tab/>
            </w:r>
            <w:r>
              <w:rPr>
                <w:rFonts w:hint="eastAsia" w:ascii="宋体" w:hAnsi="宋体" w:eastAsia="宋体" w:cs="宋体"/>
                <w:b/>
                <w:bCs/>
                <w:szCs w:val="21"/>
              </w:rP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招标人</w:t>
            </w:r>
          </w:p>
        </w:tc>
        <w:tc>
          <w:tcPr>
            <w:tcW w:w="6785" w:type="dxa"/>
          </w:tcPr>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lang w:val="zh-CN"/>
              </w:rPr>
            </w:pPr>
            <w:r>
              <w:rPr>
                <w:rFonts w:hint="eastAsia" w:ascii="宋体" w:hAnsi="宋体" w:eastAsia="宋体" w:cs="宋体"/>
                <w:szCs w:val="21"/>
                <w:lang w:val="zh-CN"/>
              </w:rPr>
              <w:t>名</w:t>
            </w:r>
            <w:r>
              <w:rPr>
                <w:rFonts w:hint="eastAsia" w:ascii="宋体" w:hAnsi="宋体" w:eastAsia="宋体" w:cs="宋体"/>
                <w:szCs w:val="21"/>
                <w:lang w:val="zh-CN"/>
              </w:rPr>
              <w:tab/>
            </w:r>
            <w:r>
              <w:rPr>
                <w:rFonts w:hint="eastAsia" w:ascii="宋体" w:hAnsi="宋体" w:eastAsia="宋体" w:cs="宋体"/>
                <w:szCs w:val="21"/>
                <w:lang w:val="zh-CN"/>
              </w:rPr>
              <w:t>称：</w:t>
            </w:r>
            <w:r>
              <w:rPr>
                <w:rFonts w:hint="eastAsia" w:ascii="宋体" w:hAnsi="宋体" w:eastAsia="宋体" w:cs="宋体"/>
                <w:szCs w:val="21"/>
              </w:rPr>
              <w:t>氢沄（河南）新能源科技有限公司</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lang w:val="zh-CN"/>
              </w:rPr>
              <w:t>地</w:t>
            </w:r>
            <w:r>
              <w:rPr>
                <w:rFonts w:hint="eastAsia" w:ascii="宋体" w:hAnsi="宋体" w:eastAsia="宋体" w:cs="宋体"/>
                <w:szCs w:val="21"/>
                <w:lang w:val="zh-CN"/>
              </w:rPr>
              <w:tab/>
            </w:r>
            <w:r>
              <w:rPr>
                <w:rFonts w:hint="eastAsia" w:ascii="宋体" w:hAnsi="宋体" w:eastAsia="宋体" w:cs="宋体"/>
                <w:szCs w:val="21"/>
                <w:lang w:val="zh-CN"/>
              </w:rPr>
              <w:t>址：</w:t>
            </w:r>
            <w:r>
              <w:rPr>
                <w:rFonts w:hint="eastAsia" w:ascii="宋体" w:hAnsi="宋体" w:eastAsia="宋体" w:cs="宋体"/>
                <w:color w:val="000000"/>
                <w:szCs w:val="21"/>
              </w:rPr>
              <w:t>洛阳市涧西区蓬莱路2号洛阳国家大学科技园2A2号楼217室</w:t>
            </w:r>
            <w:r>
              <w:rPr>
                <w:rFonts w:hint="eastAsia" w:ascii="宋体" w:hAnsi="宋体" w:eastAsia="宋体" w:cs="宋体"/>
                <w:szCs w:val="21"/>
              </w:rPr>
              <w:t xml:space="preserve"> </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lang w:val="zh-CN"/>
              </w:rPr>
              <w:t>联系人：</w:t>
            </w:r>
            <w:r>
              <w:rPr>
                <w:rFonts w:hint="eastAsia" w:ascii="宋体" w:hAnsi="宋体" w:cs="宋体"/>
                <w:color w:val="000000"/>
                <w:szCs w:val="21"/>
              </w:rPr>
              <w:t>韦先生</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电</w:t>
            </w:r>
            <w:r>
              <w:rPr>
                <w:rFonts w:hint="eastAsia" w:ascii="宋体" w:hAnsi="宋体" w:eastAsia="宋体" w:cs="宋体"/>
                <w:szCs w:val="21"/>
              </w:rPr>
              <w:tab/>
            </w:r>
            <w:r>
              <w:rPr>
                <w:rFonts w:hint="eastAsia" w:ascii="宋体" w:hAnsi="宋体" w:eastAsia="宋体" w:cs="宋体"/>
                <w:szCs w:val="21"/>
              </w:rPr>
              <w:t>话：</w:t>
            </w:r>
            <w:r>
              <w:rPr>
                <w:rFonts w:hint="eastAsia" w:ascii="宋体" w:hAnsi="宋体" w:cs="宋体"/>
                <w:color w:val="000000"/>
                <w:szCs w:val="21"/>
              </w:rPr>
              <w:t>15838569603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招标代理机构</w:t>
            </w:r>
          </w:p>
        </w:tc>
        <w:tc>
          <w:tcPr>
            <w:tcW w:w="6785" w:type="dxa"/>
          </w:tcPr>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名  称：智博建筑设计集团有限公司</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地  址：洛阳市洛龙区洛阳智慧工场科技园D1办公楼</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联系人：赵先生</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电  话：0379-64720261</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邮  箱：209276021@qq.com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项目名称</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洛阳氢能电机装备产业园（一地块）西区—洛阳氢能发动机项目全过程工程咨询服务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1.1.5</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建设规模</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本项目规划总用地面积约37596.98平方米，占地约合56.39亩。总建筑面积约23125㎡，主要建筑包括生产厂房及相关配套用房、室外工程等。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1.1.6</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标段划分</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本项目共一个标段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1.1.7</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招标方式</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公开招标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1.2.1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资金来源</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企业自筹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1.2.2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出资比例</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100%自筹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1.2.3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资金落实情况</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已到位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1.3.1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招标范围</w:t>
            </w:r>
          </w:p>
        </w:tc>
        <w:tc>
          <w:tcPr>
            <w:tcW w:w="6785" w:type="dxa"/>
          </w:tcPr>
          <w:p>
            <w:pPr>
              <w:keepNext w:val="0"/>
              <w:keepLines w:val="0"/>
              <w:pageBreakBefore w:val="0"/>
              <w:widowControl w:val="0"/>
              <w:kinsoku/>
              <w:wordWrap/>
              <w:overflowPunct/>
              <w:topLinePunct w:val="0"/>
              <w:bidi w:val="0"/>
              <w:snapToGrid w:val="0"/>
              <w:spacing w:line="460" w:lineRule="exact"/>
              <w:ind w:firstLine="210" w:firstLineChars="100"/>
              <w:textAlignment w:val="auto"/>
              <w:rPr>
                <w:rFonts w:hint="eastAsia" w:ascii="宋体" w:hAnsi="宋体" w:eastAsia="宋体" w:cs="宋体"/>
                <w:szCs w:val="21"/>
                <w:lang w:eastAsia="zh-CN"/>
              </w:rPr>
            </w:pPr>
            <w:r>
              <w:rPr>
                <w:rFonts w:hint="eastAsia" w:ascii="宋体" w:hAnsi="宋体" w:eastAsia="宋体" w:cs="宋体"/>
                <w:color w:val="000000"/>
                <w:szCs w:val="21"/>
              </w:rPr>
              <w:t>本次招标项目共一个标段，具体服务范围为洛阳氢能电机装备产业园（一地块）西区</w:t>
            </w:r>
            <w:r>
              <w:rPr>
                <w:rFonts w:hint="eastAsia" w:ascii="宋体" w:hAnsi="宋体" w:eastAsia="宋体" w:cs="宋体"/>
                <w:color w:val="000000"/>
                <w:szCs w:val="21"/>
                <w:lang w:val="en-US" w:eastAsia="zh-CN"/>
              </w:rPr>
              <w:t>内</w:t>
            </w:r>
            <w:r>
              <w:rPr>
                <w:rFonts w:hint="eastAsia" w:ascii="宋体" w:hAnsi="宋体" w:eastAsia="宋体" w:cs="宋体"/>
                <w:color w:val="000000"/>
                <w:szCs w:val="21"/>
              </w:rPr>
              <w:t>生产厂房及相关配套用房、室外工程的土建、水电安装、消防等的全过程工程咨询服务，具体服务内容包括：本工程的项目管理、造价咨询、工程监理</w:t>
            </w:r>
            <w:r>
              <w:rPr>
                <w:rFonts w:hint="eastAsia" w:ascii="宋体" w:hAnsi="宋体" w:cs="宋体"/>
                <w:color w:val="000000"/>
                <w:szCs w:val="21"/>
                <w:lang w:eastAsia="zh-CN"/>
              </w:rPr>
              <w:t>、</w:t>
            </w:r>
            <w:r>
              <w:rPr>
                <w:rFonts w:hint="eastAsia" w:ascii="宋体" w:hAnsi="宋体" w:cs="宋体"/>
                <w:color w:val="000000"/>
                <w:szCs w:val="21"/>
                <w:lang w:val="en-US" w:eastAsia="zh-CN"/>
              </w:rPr>
              <w:t>采购管理</w:t>
            </w:r>
            <w:r>
              <w:rPr>
                <w:rFonts w:hint="eastAsia" w:ascii="宋体" w:hAnsi="宋体" w:eastAsia="宋体" w:cs="宋体"/>
                <w:color w:val="000000"/>
                <w:szCs w:val="21"/>
              </w:rPr>
              <w:t>。（注：本次招标范围不包含工艺及动力设备的工作）。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1.3.2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rPr>
              <w:t>服务</w:t>
            </w:r>
            <w:r>
              <w:rPr>
                <w:rFonts w:hint="eastAsia" w:ascii="宋体" w:hAnsi="宋体" w:cs="宋体"/>
                <w:szCs w:val="21"/>
                <w:lang w:val="en-US" w:eastAsia="zh-CN"/>
              </w:rPr>
              <w:t>期限</w:t>
            </w:r>
          </w:p>
        </w:tc>
        <w:tc>
          <w:tcPr>
            <w:tcW w:w="6785" w:type="dxa"/>
          </w:tcPr>
          <w:p>
            <w:pPr>
              <w:keepNext w:val="0"/>
              <w:keepLines w:val="0"/>
              <w:pageBreakBefore w:val="0"/>
              <w:widowControl w:val="0"/>
              <w:kinsoku/>
              <w:wordWrap/>
              <w:overflowPunct/>
              <w:topLinePunct w:val="0"/>
              <w:bidi w:val="0"/>
              <w:snapToGrid w:val="0"/>
              <w:spacing w:line="460" w:lineRule="exact"/>
              <w:ind w:firstLine="420" w:firstLineChars="200"/>
              <w:textAlignment w:val="auto"/>
              <w:rPr>
                <w:rFonts w:hint="eastAsia" w:ascii="宋体" w:hAnsi="宋体" w:eastAsia="宋体" w:cs="宋体"/>
                <w:szCs w:val="21"/>
              </w:rPr>
            </w:pPr>
            <w:r>
              <w:rPr>
                <w:rFonts w:hint="eastAsia" w:ascii="宋体" w:hAnsi="宋体" w:eastAsia="宋体" w:cs="宋体"/>
                <w:color w:val="000000"/>
                <w:szCs w:val="21"/>
                <w:lang w:val="en-US"/>
              </w:rPr>
              <w:t>自全过程咨询合同签订之日开始至工程通过竣工验收，竣工结算完毕（含缺陷责任期）</w:t>
            </w:r>
            <w:r>
              <w:rPr>
                <w:rFonts w:hint="eastAsia" w:ascii="宋体" w:hAnsi="宋体" w:eastAsia="宋体" w:cs="宋体"/>
                <w:color w:val="000000"/>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1.3.3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建设目标</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质量目标：符合国家、行业及地方相关规范、标准规定；</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进度目标：在计划工期内完成。</w:t>
            </w:r>
          </w:p>
          <w:p>
            <w:pPr>
              <w:pStyle w:val="3"/>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 w:val="21"/>
                <w:szCs w:val="21"/>
              </w:rPr>
            </w:pPr>
            <w:r>
              <w:rPr>
                <w:rFonts w:hint="eastAsia" w:ascii="宋体" w:hAnsi="宋体" w:eastAsia="宋体" w:cs="宋体"/>
                <w:sz w:val="21"/>
                <w:szCs w:val="21"/>
              </w:rPr>
              <w:t>安全目标：无重大安全事故，杜绝死亡事故发生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1.4.1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投标人资质条件、能力和信誉</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见第一章招标公告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1.4.2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是否接受</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联合体投标</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lang w:eastAsia="zh-CN"/>
              </w:rPr>
            </w:pPr>
            <w:r>
              <w:rPr>
                <w:rFonts w:hint="eastAsia" w:ascii="宋体" w:hAnsi="宋体" w:eastAsia="宋体" w:cs="宋体"/>
                <w:szCs w:val="21"/>
                <w:lang w:val="en-US" w:eastAsia="zh-CN"/>
              </w:rPr>
              <w:t>不接受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1.4.3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投标人不得存在的其他情形</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jc w:val="left"/>
              <w:textAlignment w:val="auto"/>
              <w:rPr>
                <w:rFonts w:hint="eastAsia" w:ascii="宋体" w:hAnsi="宋体" w:eastAsia="宋体" w:cs="宋体"/>
                <w:szCs w:val="21"/>
              </w:rPr>
            </w:pPr>
            <w:r>
              <w:rPr>
                <w:rFonts w:hint="eastAsia" w:ascii="宋体" w:hAnsi="宋体" w:eastAsia="宋体" w:cs="宋体"/>
                <w:szCs w:val="21"/>
              </w:rPr>
              <w:t>见投标人须知 1.4.3 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1.9.1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踏勘现场</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不组织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1.10.1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投标预备会</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不召开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1.10.2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投标人提出问题的截止时间</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投标截止时间 10 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1.10.3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招标人书面澄清</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的时间</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投标截止时间 15 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1.11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分包</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2.1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构成招标文件的</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其他材料</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jc w:val="both"/>
              <w:textAlignment w:val="auto"/>
              <w:rPr>
                <w:rFonts w:hint="eastAsia" w:ascii="宋体" w:hAnsi="宋体" w:eastAsia="宋体" w:cs="宋体"/>
                <w:szCs w:val="21"/>
              </w:rPr>
            </w:pPr>
            <w:r>
              <w:rPr>
                <w:rFonts w:hint="eastAsia" w:ascii="宋体" w:hAnsi="宋体" w:eastAsia="宋体" w:cs="宋体"/>
                <w:szCs w:val="21"/>
              </w:rPr>
              <w:t>对招标文件所作的澄清（含答疑）、修改，构成招标文件的组成部分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2.2.1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投标人对招标文件提出异议的截止时间</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投标截止时间 10 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2.2.2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招标人澄清招标文件的截止时间</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投标截止时间 15 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2.2.3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投标人确认收到招标文件澄清的时间</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投标人收到招标文件澄清文件后 24 小时以内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2.3.2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投标人确认收到招标文件修改的时间</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投标人收到招标文件修改文件后 24 小时以内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构成投标文件的</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其他材料</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jc w:val="both"/>
              <w:textAlignment w:val="auto"/>
              <w:rPr>
                <w:rFonts w:hint="eastAsia" w:ascii="宋体" w:hAnsi="宋体" w:eastAsia="宋体" w:cs="宋体"/>
                <w:szCs w:val="21"/>
              </w:rPr>
            </w:pPr>
            <w:r>
              <w:rPr>
                <w:rFonts w:hint="eastAsia" w:ascii="宋体" w:hAnsi="宋体" w:eastAsia="宋体" w:cs="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3.2.4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最高投标限价</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（招标控制价）</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最高投标限价（招标控制价）：320.51万元</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超过招标控制价的投标报价将被拒绝接受。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3.2.5</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投标报价的方式及其他要求</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 xml:space="preserve">采用总价方式报价 </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3.3.1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投标有效期</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提交投标文件截止时间后 90 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3.4.1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投标保证金</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本项目免收投标保证金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3.5</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资格证明资料的</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特殊要求</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3.5.4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信誉要求的证明材料</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要求提交，具体见第一章招标公告投标人资格要求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3.6</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是否允许递交备选投标方案</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4.1.1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签字或盖章要求</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投标文件应按照招标文件要求在规定处加盖企业电子章和法定代表人电子章。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4.2.1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投标截止时间和地点</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同招标公告告知的时间及地点。</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电子投标文件（加密版）递交地点：在投标截止时间前通过全国公共资源交易平台（河南省·洛阳市）系统中在线完成上传加密的电子投标文件。</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b/>
                <w:bCs/>
                <w:szCs w:val="21"/>
              </w:rPr>
              <w:t>提醒：投标人应考虑投标数据传输耗时以及意外情况的影响，适当提前上传。因洛阳市电子招投标交易平台问题无法上传电子响应文件时，请在工作时间与交易中心联系，联系方式：400-998-0000；0379-69921055。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4.2.2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递交投标文件地点</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洛阳市公共资源交易中心电子平台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4.2.3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投标文件份数</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加密的电子响应文件一份（*.lytf 格式）；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4.2.6</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是否退还投标文件</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5.1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开标时间和地点</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开标时间：同投标截止时间</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开标地点：同投标文件递交地点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5.4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开标程序</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开标方式：本项目采用远程不见面交易的模式，开标当日，投标人无需到开标现场参加开标会议，投标人应当在投标截止时间前，登录到洛阳市电子招投标交易平台</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rPr>
              <w:fldChar w:fldCharType="begin"/>
            </w:r>
            <w:r>
              <w:rPr>
                <w:rFonts w:hint="eastAsia" w:ascii="宋体" w:hAnsi="宋体" w:eastAsia="宋体" w:cs="宋体"/>
              </w:rPr>
              <w:instrText xml:space="preserve"> HYPERLINK "http://www.lyggzyjy.cn/TPBidder" \h </w:instrText>
            </w:r>
            <w:r>
              <w:rPr>
                <w:rFonts w:hint="eastAsia" w:ascii="宋体" w:hAnsi="宋体" w:eastAsia="宋体" w:cs="宋体"/>
              </w:rPr>
              <w:fldChar w:fldCharType="separate"/>
            </w:r>
            <w:r>
              <w:rPr>
                <w:rFonts w:hint="eastAsia" w:ascii="宋体" w:hAnsi="宋体" w:eastAsia="宋体" w:cs="宋体"/>
                <w:szCs w:val="21"/>
              </w:rPr>
              <w:t>http://www.lyggzyjy.cn/TPBidder</w:t>
            </w:r>
            <w:r>
              <w:rPr>
                <w:rFonts w:hint="eastAsia" w:ascii="宋体" w:hAnsi="宋体" w:eastAsia="宋体" w:cs="宋体"/>
                <w:szCs w:val="21"/>
              </w:rPr>
              <w:fldChar w:fldCharType="end"/>
            </w:r>
            <w:r>
              <w:rPr>
                <w:rFonts w:hint="eastAsia" w:ascii="宋体" w:hAnsi="宋体" w:eastAsia="宋体" w:cs="宋体"/>
                <w:szCs w:val="21"/>
              </w:rPr>
              <w:t>），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6.1.1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评标委员会的组建</w:t>
            </w:r>
          </w:p>
        </w:tc>
        <w:tc>
          <w:tcPr>
            <w:tcW w:w="6785" w:type="dxa"/>
          </w:tcPr>
          <w:p>
            <w:pPr>
              <w:keepNext w:val="0"/>
              <w:keepLines w:val="0"/>
              <w:pageBreakBefore w:val="0"/>
              <w:widowControl w:val="0"/>
              <w:kinsoku/>
              <w:wordWrap/>
              <w:overflowPunct/>
              <w:topLinePunct w:val="0"/>
              <w:bidi w:val="0"/>
              <w:spacing w:line="460" w:lineRule="exact"/>
              <w:ind w:left="210" w:leftChars="100" w:firstLine="0" w:firstLineChars="0"/>
              <w:textAlignment w:val="auto"/>
              <w:rPr>
                <w:rFonts w:hint="eastAsia" w:ascii="宋体" w:hAnsi="宋体" w:eastAsia="宋体" w:cs="宋体"/>
                <w:szCs w:val="21"/>
              </w:rPr>
            </w:pPr>
            <w:r>
              <w:rPr>
                <w:rFonts w:hint="eastAsia" w:ascii="宋体" w:hAnsi="宋体" w:eastAsia="宋体" w:cs="宋体"/>
                <w:szCs w:val="21"/>
              </w:rPr>
              <w:t>评标委员会构成：5 人，其中经济、技术专家 4 人，招标人代表 1人。评标专家确定方式：开标前从河南省综合评标专家库中随机抽取。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6.3.2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评标委员会推荐中标候选人的人数</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按照得分由高到低顺序推荐前3名为中标候选人。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6.4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中标候选人公示媒介及期限</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公示媒介：《中国招标投标公共服务平台》、《河南省电子招标投标公共服务平台》、《洛阳市公共资源交易中心网》</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公示期限：3日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7.1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是否授权评标委员会确定中标人</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否，按照得分由高到低顺序推荐前3名为中标候选人。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7.2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中标结果公告媒介及</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期限</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公告媒介：《中国招标投标公共服务平台》、《河南省电子招标投标公共服务平台》、《洛阳市公共资源交易中心网》</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公告期限：1日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7.4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履约保证金</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本项目免收履约保证金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10</w:t>
            </w:r>
          </w:p>
        </w:tc>
        <w:tc>
          <w:tcPr>
            <w:tcW w:w="8929" w:type="dxa"/>
            <w:gridSpan w:val="2"/>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需要补充的其他内容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10.1</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是否采用电子招标投标</w:t>
            </w:r>
          </w:p>
        </w:tc>
        <w:tc>
          <w:tcPr>
            <w:tcW w:w="6785" w:type="dxa"/>
            <w:vAlign w:val="center"/>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10.2</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付款办法</w:t>
            </w:r>
          </w:p>
        </w:tc>
        <w:tc>
          <w:tcPr>
            <w:tcW w:w="6785" w:type="dxa"/>
            <w:vAlign w:val="center"/>
          </w:tcPr>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szCs w:val="21"/>
              </w:rPr>
              <w:t>分</w:t>
            </w:r>
            <w:r>
              <w:rPr>
                <w:rFonts w:hint="eastAsia" w:ascii="宋体" w:hAnsi="宋体" w:eastAsia="宋体" w:cs="宋体"/>
                <w:szCs w:val="21"/>
                <w:lang w:val="en-US" w:eastAsia="zh-CN"/>
              </w:rPr>
              <w:t>八</w:t>
            </w:r>
            <w:r>
              <w:rPr>
                <w:rFonts w:hint="eastAsia" w:ascii="宋体" w:hAnsi="宋体" w:eastAsia="宋体" w:cs="宋体"/>
                <w:szCs w:val="21"/>
              </w:rPr>
              <w:t>次支付，支付节点：</w:t>
            </w:r>
          </w:p>
          <w:p>
            <w:pPr>
              <w:spacing w:line="460" w:lineRule="exact"/>
              <w:ind w:firstLine="210" w:firstLineChars="100"/>
              <w:rPr>
                <w:rFonts w:ascii="宋体" w:hAnsi="宋体" w:cs="宋体"/>
                <w:szCs w:val="21"/>
              </w:rPr>
            </w:pPr>
            <w:r>
              <w:rPr>
                <w:rFonts w:hint="eastAsia" w:ascii="宋体" w:hAnsi="宋体" w:cs="宋体"/>
                <w:szCs w:val="21"/>
              </w:rPr>
              <w:t>1、开工后1个月内支付合同额的10%；</w:t>
            </w:r>
          </w:p>
          <w:p>
            <w:pPr>
              <w:spacing w:line="460" w:lineRule="exact"/>
              <w:ind w:firstLine="210" w:firstLineChars="100"/>
              <w:rPr>
                <w:rFonts w:ascii="宋体" w:hAnsi="宋体" w:cs="宋体"/>
                <w:szCs w:val="21"/>
              </w:rPr>
            </w:pPr>
            <w:r>
              <w:rPr>
                <w:rFonts w:hint="eastAsia" w:ascii="宋体" w:hAnsi="宋体" w:cs="宋体"/>
                <w:szCs w:val="21"/>
              </w:rPr>
              <w:t>2、开工后</w:t>
            </w:r>
            <w:r>
              <w:rPr>
                <w:rFonts w:ascii="宋体" w:hAnsi="宋体" w:cs="宋体"/>
                <w:szCs w:val="21"/>
              </w:rPr>
              <w:t>3</w:t>
            </w:r>
            <w:r>
              <w:rPr>
                <w:rFonts w:hint="eastAsia" w:ascii="宋体" w:hAnsi="宋体" w:cs="宋体"/>
                <w:szCs w:val="21"/>
              </w:rPr>
              <w:t>个月，付至合同额的25%；</w:t>
            </w:r>
          </w:p>
          <w:p>
            <w:pPr>
              <w:spacing w:line="460" w:lineRule="exact"/>
              <w:ind w:firstLine="210" w:firstLineChars="100"/>
              <w:rPr>
                <w:rFonts w:ascii="宋体" w:hAnsi="宋体" w:cs="宋体"/>
                <w:szCs w:val="21"/>
              </w:rPr>
            </w:pPr>
            <w:r>
              <w:rPr>
                <w:rFonts w:hint="eastAsia" w:ascii="宋体" w:hAnsi="宋体" w:cs="宋体"/>
                <w:szCs w:val="21"/>
              </w:rPr>
              <w:t>3、开工后5个月，付至合同额的40%；</w:t>
            </w:r>
          </w:p>
          <w:p>
            <w:pPr>
              <w:spacing w:line="460" w:lineRule="exact"/>
              <w:ind w:firstLine="210" w:firstLineChars="100"/>
              <w:rPr>
                <w:rFonts w:ascii="宋体" w:hAnsi="宋体" w:cs="宋体"/>
                <w:szCs w:val="21"/>
              </w:rPr>
            </w:pPr>
            <w:r>
              <w:rPr>
                <w:rFonts w:hint="eastAsia" w:ascii="宋体" w:hAnsi="宋体" w:cs="宋体"/>
                <w:szCs w:val="21"/>
              </w:rPr>
              <w:t>4、开工后</w:t>
            </w:r>
            <w:r>
              <w:rPr>
                <w:rFonts w:ascii="宋体" w:hAnsi="宋体" w:cs="宋体"/>
                <w:szCs w:val="21"/>
              </w:rPr>
              <w:t>7</w:t>
            </w:r>
            <w:r>
              <w:rPr>
                <w:rFonts w:hint="eastAsia" w:ascii="宋体" w:hAnsi="宋体" w:cs="宋体"/>
                <w:szCs w:val="21"/>
              </w:rPr>
              <w:t>个月，付至合同额的55%；</w:t>
            </w:r>
          </w:p>
          <w:p>
            <w:pPr>
              <w:spacing w:line="460" w:lineRule="exact"/>
              <w:ind w:firstLine="210" w:firstLineChars="100"/>
              <w:rPr>
                <w:rFonts w:ascii="宋体" w:hAnsi="宋体" w:cs="宋体"/>
                <w:szCs w:val="21"/>
              </w:rPr>
            </w:pPr>
            <w:r>
              <w:rPr>
                <w:rFonts w:hint="eastAsia" w:ascii="宋体" w:hAnsi="宋体" w:cs="宋体"/>
                <w:szCs w:val="21"/>
              </w:rPr>
              <w:t>5、开工后</w:t>
            </w:r>
            <w:r>
              <w:rPr>
                <w:rFonts w:ascii="宋体" w:hAnsi="宋体" w:cs="宋体"/>
                <w:szCs w:val="21"/>
              </w:rPr>
              <w:t>9</w:t>
            </w:r>
            <w:r>
              <w:rPr>
                <w:rFonts w:hint="eastAsia" w:ascii="宋体" w:hAnsi="宋体" w:cs="宋体"/>
                <w:szCs w:val="21"/>
              </w:rPr>
              <w:t>个月，付至合同额的70%；</w:t>
            </w:r>
          </w:p>
          <w:p>
            <w:pPr>
              <w:spacing w:line="460" w:lineRule="exact"/>
              <w:ind w:firstLine="210" w:firstLineChars="100"/>
              <w:rPr>
                <w:rFonts w:ascii="宋体" w:hAnsi="宋体" w:cs="宋体"/>
                <w:szCs w:val="21"/>
              </w:rPr>
            </w:pPr>
            <w:r>
              <w:rPr>
                <w:rFonts w:hint="eastAsia" w:ascii="宋体" w:hAnsi="宋体" w:cs="宋体"/>
                <w:szCs w:val="21"/>
              </w:rPr>
              <w:t>6、工程竣工验收合格，付至合同额的80%；</w:t>
            </w:r>
          </w:p>
          <w:p>
            <w:pPr>
              <w:spacing w:line="460" w:lineRule="exact"/>
              <w:ind w:firstLine="210" w:firstLineChars="100"/>
              <w:rPr>
                <w:rFonts w:ascii="宋体" w:hAnsi="宋体" w:cs="宋体"/>
                <w:szCs w:val="21"/>
              </w:rPr>
            </w:pPr>
            <w:r>
              <w:rPr>
                <w:rFonts w:hint="eastAsia" w:ascii="宋体" w:hAnsi="宋体" w:cs="宋体"/>
                <w:szCs w:val="21"/>
              </w:rPr>
              <w:t>7、竣工验收备案后7天内，付至合同额的90%；</w:t>
            </w:r>
          </w:p>
          <w:p>
            <w:pPr>
              <w:spacing w:line="460" w:lineRule="exact"/>
              <w:ind w:firstLine="210" w:firstLineChars="100"/>
              <w:rPr>
                <w:rFonts w:ascii="宋体" w:hAnsi="宋体" w:cs="宋体"/>
                <w:szCs w:val="21"/>
              </w:rPr>
            </w:pPr>
            <w:r>
              <w:rPr>
                <w:rFonts w:hint="eastAsia" w:ascii="宋体" w:hAnsi="宋体" w:cs="宋体"/>
                <w:szCs w:val="21"/>
              </w:rPr>
              <w:t>8、完成工程结算通过，付至合同金额的100%。</w:t>
            </w:r>
          </w:p>
          <w:p>
            <w:pPr>
              <w:keepNext w:val="0"/>
              <w:keepLines w:val="0"/>
              <w:pageBreakBefore w:val="0"/>
              <w:widowControl w:val="0"/>
              <w:kinsoku/>
              <w:wordWrap/>
              <w:overflowPunct/>
              <w:topLinePunct w:val="0"/>
              <w:bidi w:val="0"/>
              <w:spacing w:line="460" w:lineRule="exact"/>
              <w:ind w:firstLine="210" w:firstLineChars="100"/>
              <w:textAlignment w:val="auto"/>
              <w:rPr>
                <w:rFonts w:hint="eastAsia"/>
              </w:rPr>
            </w:pPr>
            <w:r>
              <w:rPr>
                <w:rFonts w:hint="eastAsia" w:ascii="宋体" w:hAnsi="宋体" w:eastAsia="宋体" w:cs="宋体"/>
                <w:szCs w:val="21"/>
                <w:lang w:val="en-US" w:eastAsia="zh-CN"/>
              </w:rPr>
              <w:t>（最终以双方签订的合同为准。）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10.</w:t>
            </w:r>
            <w:r>
              <w:rPr>
                <w:rFonts w:hint="eastAsia" w:ascii="宋体" w:hAnsi="宋体" w:eastAsia="宋体" w:cs="宋体"/>
                <w:szCs w:val="21"/>
                <w:lang w:val="en-US" w:eastAsia="zh-CN"/>
              </w:rPr>
              <w:t>3</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投标人代表参加</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开标会议</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本项目采用远程不见面交易的模式。开标当日，投标人无需到开标现场参加开标会议，投标人应当在投标截止时间前，登录不见面开标大厅选择洛阳市公共资源电子招投标系统进行登录（网址为http://t.cn/A6huPROa），在线准时参加开标活动并进行投标文件解密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10.</w:t>
            </w:r>
            <w:r>
              <w:rPr>
                <w:rFonts w:hint="eastAsia" w:ascii="宋体" w:hAnsi="宋体" w:eastAsia="宋体" w:cs="宋体"/>
                <w:szCs w:val="21"/>
                <w:lang w:val="en-US" w:eastAsia="zh-CN"/>
              </w:rPr>
              <w:t>4</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知识产权</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10.</w:t>
            </w:r>
            <w:r>
              <w:rPr>
                <w:rFonts w:hint="eastAsia" w:ascii="宋体" w:hAnsi="宋体" w:eastAsia="宋体" w:cs="宋体"/>
                <w:szCs w:val="21"/>
                <w:lang w:val="en-US" w:eastAsia="zh-CN"/>
              </w:rPr>
              <w:t>5</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监督</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本项目的招标投标活动及其相关当事人应当接受</w:t>
            </w:r>
            <w:r>
              <w:rPr>
                <w:rFonts w:hint="eastAsia" w:ascii="宋体" w:hAnsi="宋体" w:eastAsia="宋体" w:cs="宋体"/>
                <w:szCs w:val="21"/>
                <w:lang w:val="en-US" w:eastAsia="zh-CN"/>
              </w:rPr>
              <w:t>相关部门</w:t>
            </w:r>
            <w:r>
              <w:rPr>
                <w:rFonts w:hint="eastAsia" w:ascii="宋体" w:hAnsi="宋体" w:eastAsia="宋体" w:cs="宋体"/>
                <w:szCs w:val="21"/>
              </w:rPr>
              <w:t>的监督。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10.</w:t>
            </w:r>
            <w:r>
              <w:rPr>
                <w:rFonts w:hint="eastAsia" w:ascii="宋体" w:hAnsi="宋体" w:eastAsia="宋体" w:cs="宋体"/>
                <w:szCs w:val="21"/>
                <w:lang w:val="en-US" w:eastAsia="zh-CN"/>
              </w:rPr>
              <w:t>6</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解释权</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构成本招标文件的各个组成文件应互为解释，互为说明；如有不明确或不一致，构成合同文件组成内容的，以合同文件约定内容为准，且以专用合同条款约定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或招标代理机构负责解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10.</w:t>
            </w:r>
            <w:r>
              <w:rPr>
                <w:rFonts w:hint="eastAsia" w:ascii="宋体" w:hAnsi="宋体" w:eastAsia="宋体" w:cs="宋体"/>
                <w:szCs w:val="21"/>
                <w:lang w:val="en-US" w:eastAsia="zh-CN"/>
              </w:rPr>
              <w:t>7</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招标代理服务费</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招标代理服务费参照计委计价[2002]1980号、发改价格[2011]534号文件规定的收费标准标准，由中标人在领取中标通知书时向代理机构支付。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eastAsia="zh-CN"/>
              </w:rPr>
            </w:pPr>
            <w:r>
              <w:rPr>
                <w:rFonts w:hint="eastAsia" w:ascii="宋体" w:hAnsi="宋体" w:eastAsia="宋体" w:cs="宋体"/>
                <w:szCs w:val="21"/>
              </w:rPr>
              <w:t>10.</w:t>
            </w:r>
            <w:r>
              <w:rPr>
                <w:rFonts w:hint="eastAsia" w:ascii="宋体" w:hAnsi="宋体" w:eastAsia="宋体" w:cs="宋体"/>
                <w:szCs w:val="21"/>
                <w:lang w:val="en-US" w:eastAsia="zh-CN"/>
              </w:rPr>
              <w:t>8</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投标人违法行为的</w:t>
            </w:r>
          </w:p>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rPr>
            </w:pPr>
            <w:r>
              <w:rPr>
                <w:rFonts w:hint="eastAsia" w:ascii="宋体" w:hAnsi="宋体" w:eastAsia="宋体" w:cs="宋体"/>
                <w:szCs w:val="21"/>
              </w:rPr>
              <w:t>处理</w:t>
            </w:r>
          </w:p>
        </w:tc>
        <w:tc>
          <w:tcPr>
            <w:tcW w:w="6785" w:type="dxa"/>
          </w:tcPr>
          <w:p>
            <w:pPr>
              <w:keepNext w:val="0"/>
              <w:keepLines w:val="0"/>
              <w:pageBreakBefore w:val="0"/>
              <w:widowControl w:val="0"/>
              <w:kinsoku/>
              <w:wordWrap/>
              <w:overflowPunct/>
              <w:topLinePunct w:val="0"/>
              <w:bidi w:val="0"/>
              <w:spacing w:line="460" w:lineRule="exact"/>
              <w:ind w:firstLine="210" w:firstLineChars="100"/>
              <w:textAlignment w:val="auto"/>
              <w:rPr>
                <w:rFonts w:hint="eastAsia" w:ascii="宋体" w:hAnsi="宋体" w:eastAsia="宋体" w:cs="宋体"/>
                <w:szCs w:val="21"/>
              </w:rPr>
            </w:pPr>
            <w:r>
              <w:rPr>
                <w:rFonts w:hint="eastAsia" w:ascii="宋体" w:hAnsi="宋体" w:eastAsia="宋体" w:cs="宋体"/>
                <w:szCs w:val="21"/>
              </w:rPr>
              <w:t>招标人若发现评标委员会推举的中标候选人有借用资质、串标围标、弄虚作假或其他违法行为谋取中标的，招标人将报请有关监督部门取消其中标候选人资格或中标资格，情节严重的，招标人将上报有关监督部门按相关法律法规处理。给招标人造成的损失还应当予以赔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41"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10.9</w:t>
            </w:r>
          </w:p>
        </w:tc>
        <w:tc>
          <w:tcPr>
            <w:tcW w:w="2144" w:type="dxa"/>
            <w:vAlign w:val="center"/>
          </w:tcPr>
          <w:p>
            <w:pPr>
              <w:keepNext w:val="0"/>
              <w:keepLines w:val="0"/>
              <w:pageBreakBefore w:val="0"/>
              <w:widowControl w:val="0"/>
              <w:kinsoku/>
              <w:wordWrap/>
              <w:overflowPunct/>
              <w:topLinePunct w:val="0"/>
              <w:bidi w:val="0"/>
              <w:spacing w:line="46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其他</w:t>
            </w:r>
          </w:p>
        </w:tc>
        <w:tc>
          <w:tcPr>
            <w:tcW w:w="6785" w:type="dxa"/>
          </w:tcPr>
          <w:p>
            <w:pPr>
              <w:keepNext w:val="0"/>
              <w:keepLines w:val="0"/>
              <w:pageBreakBefore w:val="0"/>
              <w:widowControl w:val="0"/>
              <w:kinsoku/>
              <w:wordWrap/>
              <w:overflowPunct/>
              <w:topLinePunct w:val="0"/>
              <w:bidi w:val="0"/>
              <w:snapToGrid w:val="0"/>
              <w:spacing w:line="460" w:lineRule="exact"/>
              <w:ind w:firstLine="210" w:firstLineChars="100"/>
              <w:textAlignment w:val="auto"/>
              <w:rPr>
                <w:rFonts w:hint="eastAsia" w:ascii="宋体" w:hAnsi="宋体" w:eastAsia="宋体" w:cs="宋体"/>
              </w:rPr>
            </w:pPr>
            <w:r>
              <w:rPr>
                <w:rFonts w:hint="eastAsia" w:ascii="宋体" w:hAnsi="宋体" w:eastAsia="宋体" w:cs="宋体"/>
              </w:rPr>
              <w:t>1、本项目采用电子开评标，投标人开标前必须通过UK上传投标文件。因投标人自身原因而导致投标文件无法导入“洛阳市电子招投标交易平台”电子开标、评标系统，该投标视为无效投标，投标人自行承担由此导致的全部责任。</w:t>
            </w:r>
          </w:p>
          <w:p>
            <w:pPr>
              <w:keepNext w:val="0"/>
              <w:keepLines w:val="0"/>
              <w:pageBreakBefore w:val="0"/>
              <w:widowControl w:val="0"/>
              <w:kinsoku/>
              <w:wordWrap/>
              <w:overflowPunct/>
              <w:topLinePunct w:val="0"/>
              <w:bidi w:val="0"/>
              <w:snapToGrid w:val="0"/>
              <w:spacing w:line="460" w:lineRule="exact"/>
              <w:ind w:firstLine="210" w:firstLineChars="100"/>
              <w:textAlignment w:val="auto"/>
              <w:rPr>
                <w:rFonts w:hint="eastAsia" w:ascii="宋体" w:hAnsi="宋体" w:eastAsia="宋体" w:cs="宋体"/>
              </w:rPr>
            </w:pPr>
            <w:r>
              <w:rPr>
                <w:rFonts w:hint="eastAsia" w:ascii="宋体" w:hAnsi="宋体" w:eastAsia="宋体" w:cs="宋体"/>
              </w:rPr>
              <w:t>2、投标人无需递交纸质版投标文件。</w:t>
            </w:r>
          </w:p>
          <w:p>
            <w:pPr>
              <w:keepNext w:val="0"/>
              <w:keepLines w:val="0"/>
              <w:pageBreakBefore w:val="0"/>
              <w:widowControl w:val="0"/>
              <w:kinsoku/>
              <w:wordWrap/>
              <w:overflowPunct/>
              <w:topLinePunct w:val="0"/>
              <w:bidi w:val="0"/>
              <w:snapToGrid w:val="0"/>
              <w:spacing w:line="460" w:lineRule="exact"/>
              <w:ind w:firstLine="210" w:firstLineChars="100"/>
              <w:textAlignment w:val="auto"/>
              <w:rPr>
                <w:rFonts w:hint="eastAsia" w:ascii="宋体" w:hAnsi="宋体" w:eastAsia="宋体" w:cs="宋体"/>
              </w:rPr>
            </w:pPr>
            <w:r>
              <w:rPr>
                <w:rFonts w:hint="eastAsia" w:ascii="宋体" w:hAnsi="宋体" w:eastAsia="宋体" w:cs="宋体"/>
              </w:rPr>
              <w:t>3、投标文件的制作</w:t>
            </w:r>
          </w:p>
          <w:p>
            <w:pPr>
              <w:keepNext w:val="0"/>
              <w:keepLines w:val="0"/>
              <w:pageBreakBefore w:val="0"/>
              <w:widowControl w:val="0"/>
              <w:kinsoku/>
              <w:wordWrap/>
              <w:overflowPunct/>
              <w:topLinePunct w:val="0"/>
              <w:bidi w:val="0"/>
              <w:snapToGrid w:val="0"/>
              <w:spacing w:line="460" w:lineRule="exact"/>
              <w:textAlignment w:val="auto"/>
              <w:rPr>
                <w:rFonts w:hint="eastAsia" w:ascii="宋体" w:hAnsi="宋体" w:eastAsia="宋体" w:cs="宋体"/>
              </w:rPr>
            </w:pPr>
            <w:r>
              <w:rPr>
                <w:rFonts w:hint="eastAsia" w:ascii="宋体" w:hAnsi="宋体" w:eastAsia="宋体" w:cs="宋体"/>
              </w:rPr>
              <w:t>（1）投标文件由投标人使用洛阳市公共资源交易中心网站提供的最新版的投标文件制作工具制作生成。</w:t>
            </w:r>
          </w:p>
          <w:p>
            <w:pPr>
              <w:keepNext w:val="0"/>
              <w:keepLines w:val="0"/>
              <w:pageBreakBefore w:val="0"/>
              <w:widowControl w:val="0"/>
              <w:kinsoku/>
              <w:wordWrap/>
              <w:overflowPunct/>
              <w:topLinePunct w:val="0"/>
              <w:bidi w:val="0"/>
              <w:snapToGrid w:val="0"/>
              <w:spacing w:line="460" w:lineRule="exact"/>
              <w:textAlignment w:val="auto"/>
              <w:rPr>
                <w:rFonts w:hint="eastAsia" w:ascii="宋体" w:hAnsi="宋体" w:eastAsia="宋体" w:cs="宋体"/>
              </w:rPr>
            </w:pPr>
            <w:r>
              <w:rPr>
                <w:rFonts w:hint="eastAsia" w:ascii="宋体" w:hAnsi="宋体" w:eastAsia="宋体" w:cs="宋体"/>
              </w:rPr>
              <w:t>（2）投标人在编制投标文件时应建立分级目录，并按照标签提示导入相关内容</w:t>
            </w:r>
            <w:r>
              <w:rPr>
                <w:rFonts w:hint="eastAsia" w:ascii="宋体" w:hAnsi="宋体" w:eastAsia="宋体" w:cs="宋体"/>
                <w:lang w:val="zh-CN"/>
              </w:rPr>
              <w:t>。</w:t>
            </w:r>
          </w:p>
          <w:p>
            <w:pPr>
              <w:keepNext w:val="0"/>
              <w:keepLines w:val="0"/>
              <w:pageBreakBefore w:val="0"/>
              <w:widowControl w:val="0"/>
              <w:kinsoku/>
              <w:wordWrap/>
              <w:overflowPunct/>
              <w:topLinePunct w:val="0"/>
              <w:bidi w:val="0"/>
              <w:snapToGrid w:val="0"/>
              <w:spacing w:line="460" w:lineRule="exact"/>
              <w:textAlignment w:val="auto"/>
              <w:rPr>
                <w:rFonts w:hint="eastAsia" w:ascii="宋体" w:hAnsi="宋体" w:eastAsia="宋体" w:cs="宋体"/>
              </w:rPr>
            </w:pPr>
            <w:r>
              <w:rPr>
                <w:rFonts w:hint="eastAsia" w:ascii="宋体" w:hAnsi="宋体" w:eastAsia="宋体" w:cs="宋体"/>
              </w:rPr>
              <w:t>（3）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w:t>
            </w:r>
          </w:p>
          <w:p>
            <w:pPr>
              <w:keepNext w:val="0"/>
              <w:keepLines w:val="0"/>
              <w:pageBreakBefore w:val="0"/>
              <w:widowControl w:val="0"/>
              <w:kinsoku/>
              <w:wordWrap/>
              <w:overflowPunct/>
              <w:topLinePunct w:val="0"/>
              <w:bidi w:val="0"/>
              <w:snapToGrid w:val="0"/>
              <w:spacing w:line="460" w:lineRule="exact"/>
              <w:textAlignment w:val="auto"/>
              <w:rPr>
                <w:rFonts w:hint="eastAsia" w:ascii="宋体" w:hAnsi="宋体" w:eastAsia="宋体" w:cs="宋体"/>
              </w:rPr>
            </w:pPr>
            <w:r>
              <w:rPr>
                <w:rFonts w:hint="eastAsia" w:ascii="宋体" w:hAnsi="宋体" w:eastAsia="宋体" w:cs="宋体"/>
              </w:rPr>
              <w:t>（4）投标文件中要盖单位（公）章的地方，投标人均应使用CA数字证书加盖投标人的单位电子签章。签字可以是手签后上传的，也可以是电子手写签名或法定代表人的个人电子签章。联合体投标的，投标文件由联合体牵头人按上述规定加盖联合体牵头人单位电子签章和（或）法定代表人手签后上传的，也可以是电子手写签名或法定代表人的个人电子签章。</w:t>
            </w:r>
          </w:p>
          <w:p>
            <w:pPr>
              <w:keepNext w:val="0"/>
              <w:keepLines w:val="0"/>
              <w:pageBreakBefore w:val="0"/>
              <w:widowControl w:val="0"/>
              <w:kinsoku/>
              <w:wordWrap/>
              <w:overflowPunct/>
              <w:topLinePunct w:val="0"/>
              <w:bidi w:val="0"/>
              <w:snapToGrid w:val="0"/>
              <w:spacing w:line="460" w:lineRule="exact"/>
              <w:textAlignment w:val="auto"/>
              <w:rPr>
                <w:rFonts w:hint="eastAsia" w:ascii="宋体" w:hAnsi="宋体" w:eastAsia="宋体" w:cs="宋体"/>
              </w:rPr>
            </w:pPr>
            <w:r>
              <w:rPr>
                <w:rFonts w:hint="eastAsia" w:ascii="宋体" w:hAnsi="宋体" w:eastAsia="宋体" w:cs="宋体"/>
              </w:rPr>
              <w:t>（5）投标文件制作完成后，最后一步生成电子投标文件和对投标文件进行加密时，投标人应使用投标人单位CA数字证书。</w:t>
            </w:r>
          </w:p>
          <w:p>
            <w:pPr>
              <w:keepNext w:val="0"/>
              <w:keepLines w:val="0"/>
              <w:pageBreakBefore w:val="0"/>
              <w:widowControl w:val="0"/>
              <w:kinsoku/>
              <w:wordWrap/>
              <w:overflowPunct/>
              <w:topLinePunct w:val="0"/>
              <w:bidi w:val="0"/>
              <w:spacing w:line="460" w:lineRule="exact"/>
              <w:textAlignment w:val="auto"/>
              <w:rPr>
                <w:rFonts w:hint="eastAsia" w:ascii="宋体" w:hAnsi="宋体" w:eastAsia="宋体" w:cs="宋体"/>
                <w:szCs w:val="21"/>
              </w:rPr>
            </w:pPr>
            <w:r>
              <w:rPr>
                <w:rFonts w:hint="eastAsia" w:ascii="宋体" w:hAnsi="宋体" w:eastAsia="宋体" w:cs="宋体"/>
              </w:rPr>
              <w:t>（6）投标文件制作的具体方法详见投标文件制作工具操作手册及投标文件制作工具中的帮助文档。</w:t>
            </w:r>
          </w:p>
        </w:tc>
      </w:tr>
    </w:tbl>
    <w:p>
      <w:pPr>
        <w:spacing w:line="560" w:lineRule="exact"/>
        <w:rPr>
          <w:rFonts w:hint="eastAsia" w:ascii="宋体" w:hAnsi="宋体" w:eastAsia="宋体" w:cs="宋体"/>
          <w:b/>
          <w:bCs/>
          <w:sz w:val="24"/>
        </w:rPr>
      </w:pPr>
      <w:r>
        <w:rPr>
          <w:rFonts w:hint="eastAsia"/>
          <w:sz w:val="24"/>
        </w:rPr>
        <w:br w:type="page"/>
      </w:r>
      <w:r>
        <w:rPr>
          <w:rFonts w:hint="eastAsia" w:ascii="宋体" w:hAnsi="宋体" w:eastAsia="宋体" w:cs="宋体"/>
          <w:b/>
          <w:bCs/>
          <w:sz w:val="24"/>
        </w:rPr>
        <w:t>1.总则</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1.1</w:t>
      </w:r>
      <w:r>
        <w:rPr>
          <w:rFonts w:hint="eastAsia" w:ascii="宋体" w:hAnsi="宋体" w:cs="宋体"/>
          <w:b/>
          <w:bCs/>
          <w:sz w:val="24"/>
          <w:lang w:val="en-US" w:eastAsia="zh-CN"/>
        </w:rPr>
        <w:t xml:space="preserve"> </w:t>
      </w:r>
      <w:r>
        <w:rPr>
          <w:rFonts w:hint="eastAsia" w:ascii="宋体" w:hAnsi="宋体" w:eastAsia="宋体" w:cs="宋体"/>
          <w:b/>
          <w:bCs/>
          <w:sz w:val="24"/>
        </w:rPr>
        <w:t>项目概况</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1.1.1</w:t>
      </w:r>
      <w:r>
        <w:rPr>
          <w:rFonts w:hint="eastAsia" w:ascii="宋体" w:hAnsi="宋体" w:cs="宋体"/>
          <w:sz w:val="21"/>
          <w:szCs w:val="21"/>
          <w:lang w:val="en-US" w:eastAsia="zh-CN"/>
        </w:rPr>
        <w:t xml:space="preserve"> </w:t>
      </w:r>
      <w:r>
        <w:rPr>
          <w:rFonts w:hint="eastAsia" w:ascii="宋体" w:hAnsi="宋体" w:eastAsia="宋体" w:cs="宋体"/>
          <w:sz w:val="21"/>
          <w:szCs w:val="21"/>
        </w:rPr>
        <w:t>根据《中华人民共和国招标投标法》、《中华人民共和国招标投标法实施条例》等有关法律、法规和规章的规定，本招标项目已具备招标条件，现对本项目全过程工程咨询服务进行招标。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1.1.2</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本招标项目招标人：见投标人须知前附表。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本招标项目招标代理机构：见投标人须知前附表。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1.1.4</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本招标项目名称：见投标人须知前附表。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1.1.5</w:t>
      </w:r>
      <w:r>
        <w:rPr>
          <w:rFonts w:hint="eastAsia" w:ascii="宋体" w:hAnsi="宋体" w:cs="宋体"/>
          <w:sz w:val="21"/>
          <w:szCs w:val="21"/>
          <w:lang w:val="en-US" w:eastAsia="zh-CN"/>
        </w:rPr>
        <w:t xml:space="preserve"> </w:t>
      </w:r>
      <w:r>
        <w:rPr>
          <w:rFonts w:hint="eastAsia" w:ascii="宋体" w:hAnsi="宋体" w:eastAsia="宋体" w:cs="宋体"/>
          <w:sz w:val="21"/>
          <w:szCs w:val="21"/>
        </w:rPr>
        <w:t>本招标建设规模：见投标人须知前附表。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1.1.6</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本招标项目标段划分：见投标人须知前附表。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1.1.7</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本招标项目招标方式：见投标人须知前附表。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1.2</w:t>
      </w:r>
      <w:r>
        <w:rPr>
          <w:rFonts w:hint="eastAsia" w:ascii="宋体" w:hAnsi="宋体" w:cs="宋体"/>
          <w:b/>
          <w:bCs/>
          <w:sz w:val="24"/>
          <w:lang w:val="en-US" w:eastAsia="zh-CN"/>
        </w:rPr>
        <w:t xml:space="preserve"> </w:t>
      </w:r>
      <w:r>
        <w:rPr>
          <w:rFonts w:hint="eastAsia" w:ascii="宋体" w:hAnsi="宋体" w:eastAsia="宋体" w:cs="宋体"/>
          <w:b/>
          <w:bCs/>
          <w:sz w:val="24"/>
        </w:rPr>
        <w:t>资金来源和落实情况</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1.2.1</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本招标项目的资金来源：见投标人须知前附表。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1.2.2</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本招标项目的出资比例：见投标人须知前附表。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1.2.3</w:t>
      </w:r>
      <w:r>
        <w:rPr>
          <w:rFonts w:hint="eastAsia" w:ascii="宋体" w:hAnsi="宋体" w:cs="宋体"/>
          <w:sz w:val="21"/>
          <w:szCs w:val="21"/>
          <w:lang w:val="en-US" w:eastAsia="zh-CN"/>
        </w:rPr>
        <w:t xml:space="preserve"> </w:t>
      </w:r>
      <w:r>
        <w:rPr>
          <w:rFonts w:hint="eastAsia" w:ascii="宋体" w:hAnsi="宋体" w:eastAsia="宋体" w:cs="宋体"/>
          <w:sz w:val="21"/>
          <w:szCs w:val="21"/>
        </w:rPr>
        <w:t>本招标项目的资金落实情况：见投标人须知前附表。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1.3</w:t>
      </w:r>
      <w:r>
        <w:rPr>
          <w:rFonts w:hint="eastAsia" w:ascii="宋体" w:hAnsi="宋体" w:cs="宋体"/>
          <w:b/>
          <w:bCs/>
          <w:sz w:val="24"/>
          <w:lang w:val="en-US" w:eastAsia="zh-CN"/>
        </w:rPr>
        <w:t xml:space="preserve"> </w:t>
      </w:r>
      <w:r>
        <w:rPr>
          <w:rFonts w:hint="eastAsia" w:ascii="宋体" w:hAnsi="宋体" w:eastAsia="宋体" w:cs="宋体"/>
          <w:b/>
          <w:bCs/>
          <w:sz w:val="24"/>
        </w:rPr>
        <w:t>委托全过程工程咨询服务的范围、服务期和工作目标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1.3.1</w:t>
      </w:r>
      <w:r>
        <w:rPr>
          <w:rFonts w:hint="eastAsia" w:ascii="宋体" w:hAnsi="宋体" w:cs="宋体"/>
          <w:sz w:val="21"/>
          <w:szCs w:val="21"/>
          <w:lang w:val="en-US" w:eastAsia="zh-CN"/>
        </w:rPr>
        <w:t xml:space="preserve"> </w:t>
      </w:r>
      <w:r>
        <w:rPr>
          <w:rFonts w:hint="eastAsia" w:ascii="宋体" w:hAnsi="宋体" w:eastAsia="宋体" w:cs="宋体"/>
          <w:sz w:val="21"/>
          <w:szCs w:val="21"/>
        </w:rPr>
        <w:t>委托全过程工程咨询服务的范围：见投标人须知前附表。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1.3.2</w:t>
      </w:r>
      <w:r>
        <w:rPr>
          <w:rFonts w:hint="eastAsia" w:ascii="宋体" w:hAnsi="宋体" w:cs="宋体"/>
          <w:sz w:val="21"/>
          <w:szCs w:val="21"/>
          <w:lang w:val="en-US" w:eastAsia="zh-CN"/>
        </w:rPr>
        <w:t xml:space="preserve"> </w:t>
      </w:r>
      <w:r>
        <w:rPr>
          <w:rFonts w:hint="eastAsia" w:ascii="宋体" w:hAnsi="宋体" w:eastAsia="宋体" w:cs="宋体"/>
          <w:sz w:val="21"/>
          <w:szCs w:val="21"/>
        </w:rPr>
        <w:t>委托全过程工程咨询服务的服务期：见投标人须知前附表。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1.3.3</w:t>
      </w:r>
      <w:r>
        <w:rPr>
          <w:rFonts w:hint="eastAsia" w:ascii="宋体" w:hAnsi="宋体" w:cs="宋体"/>
          <w:sz w:val="21"/>
          <w:szCs w:val="21"/>
          <w:lang w:val="en-US" w:eastAsia="zh-CN"/>
        </w:rPr>
        <w:t xml:space="preserve"> </w:t>
      </w:r>
      <w:r>
        <w:rPr>
          <w:rFonts w:hint="eastAsia" w:ascii="宋体" w:hAnsi="宋体" w:eastAsia="宋体" w:cs="宋体"/>
          <w:sz w:val="21"/>
          <w:szCs w:val="21"/>
        </w:rPr>
        <w:t>本项目的建设目标：见投标人须知前附表。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1.3.4</w:t>
      </w:r>
      <w:r>
        <w:rPr>
          <w:rFonts w:hint="eastAsia" w:ascii="宋体" w:hAnsi="宋体" w:cs="宋体"/>
          <w:sz w:val="21"/>
          <w:szCs w:val="21"/>
          <w:lang w:val="en-US" w:eastAsia="zh-CN"/>
        </w:rPr>
        <w:t xml:space="preserve"> </w:t>
      </w:r>
      <w:r>
        <w:rPr>
          <w:rFonts w:hint="eastAsia" w:ascii="宋体" w:hAnsi="宋体" w:eastAsia="宋体" w:cs="宋体"/>
          <w:sz w:val="21"/>
          <w:szCs w:val="21"/>
        </w:rPr>
        <w:t>投资目标：见投标人须知前附表</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1.3.5</w:t>
      </w:r>
      <w:r>
        <w:rPr>
          <w:rFonts w:hint="eastAsia" w:ascii="宋体" w:hAnsi="宋体" w:cs="宋体"/>
          <w:sz w:val="21"/>
          <w:szCs w:val="21"/>
          <w:lang w:val="en-US" w:eastAsia="zh-CN"/>
        </w:rPr>
        <w:t xml:space="preserve"> </w:t>
      </w:r>
      <w:r>
        <w:rPr>
          <w:rFonts w:hint="eastAsia" w:ascii="宋体" w:hAnsi="宋体" w:eastAsia="宋体" w:cs="宋体"/>
          <w:sz w:val="21"/>
          <w:szCs w:val="21"/>
        </w:rPr>
        <w:t>质量目标：见投标人须知前附表</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1.3.6</w:t>
      </w:r>
      <w:r>
        <w:rPr>
          <w:rFonts w:hint="eastAsia" w:ascii="宋体" w:hAnsi="宋体" w:cs="宋体"/>
          <w:sz w:val="21"/>
          <w:szCs w:val="21"/>
          <w:lang w:val="en-US" w:eastAsia="zh-CN"/>
        </w:rPr>
        <w:t xml:space="preserve"> </w:t>
      </w:r>
      <w:r>
        <w:rPr>
          <w:rFonts w:hint="eastAsia" w:ascii="宋体" w:hAnsi="宋体" w:eastAsia="宋体" w:cs="宋体"/>
          <w:sz w:val="21"/>
          <w:szCs w:val="21"/>
        </w:rPr>
        <w:t>进度目标：见投标人须知前附表。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1.4</w:t>
      </w:r>
      <w:r>
        <w:rPr>
          <w:rFonts w:hint="eastAsia" w:ascii="宋体" w:hAnsi="宋体" w:cs="宋体"/>
          <w:b/>
          <w:bCs/>
          <w:sz w:val="24"/>
          <w:lang w:val="en-US" w:eastAsia="zh-CN"/>
        </w:rPr>
        <w:t xml:space="preserve"> </w:t>
      </w:r>
      <w:r>
        <w:rPr>
          <w:rFonts w:hint="eastAsia" w:ascii="宋体" w:hAnsi="宋体" w:eastAsia="宋体" w:cs="宋体"/>
          <w:b/>
          <w:bCs/>
          <w:sz w:val="24"/>
        </w:rPr>
        <w:t>投标人资格要求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1.4.1</w:t>
      </w:r>
      <w:r>
        <w:rPr>
          <w:rFonts w:hint="eastAsia" w:ascii="宋体" w:hAnsi="宋体" w:cs="宋体"/>
          <w:sz w:val="21"/>
          <w:szCs w:val="21"/>
          <w:lang w:val="en-US" w:eastAsia="zh-CN"/>
        </w:rPr>
        <w:t xml:space="preserve"> </w:t>
      </w:r>
      <w:r>
        <w:rPr>
          <w:rFonts w:hint="eastAsia" w:ascii="宋体" w:hAnsi="宋体" w:eastAsia="宋体" w:cs="宋体"/>
          <w:sz w:val="21"/>
          <w:szCs w:val="21"/>
        </w:rPr>
        <w:t>投标人应具备承担本标段施工的资质条件、能力和信誉。</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（1）资质条件：见投标人须知前附表；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（2）财务要求：见投标人须知前附表；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（3）信誉要求：见投标人须知前附表;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（4）项目总负责人及团队人员资格：见投标人须知前附表；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（5）其他要求：见投标人须知前附表。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1.4.2</w:t>
      </w:r>
      <w:r>
        <w:rPr>
          <w:rFonts w:hint="eastAsia" w:ascii="宋体" w:hAnsi="宋体" w:cs="宋体"/>
          <w:sz w:val="21"/>
          <w:szCs w:val="21"/>
          <w:lang w:val="en-US" w:eastAsia="zh-CN"/>
        </w:rPr>
        <w:t xml:space="preserve"> </w:t>
      </w:r>
      <w:r>
        <w:rPr>
          <w:rFonts w:hint="eastAsia" w:ascii="宋体" w:hAnsi="宋体" w:eastAsia="宋体" w:cs="宋体"/>
          <w:sz w:val="21"/>
          <w:szCs w:val="21"/>
        </w:rPr>
        <w:t>投标人须知前附表规定本项目接受联合体投标，除应符合本章第 1.4.1项和投标人须知前附表的要求外，还应遵守以下规定：</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联合体各方应按招标文件提供的格式签订联合体协议书，明确联合体牵头方和各方权利义务，并承诺就中标的咨询服务向招标人承担连带责任。</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联合体各方依据联合体协议书分工，应具备其承担工作的相应资质；联合体的各专业资质等级，根据联体协议书约定的专业分工，分别按照承担相应专业工作的资质等级最低的单位确定；</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联合体各方不得再以自己名义单独或参加其他联合体在本次招标中投标，否则各相关投标均无效；</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sz w:val="21"/>
          <w:szCs w:val="21"/>
        </w:rPr>
        <w:t>联合体各方必须指定牵头方，授权其代表所有联合体成员负责投标和合同实施阶段的主办、协调工作，并应当向招标人提交由所有联合体成员法定代表人签署的授权书；</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（5）招标人要求投标人提交投标保证担保的，联合体中牵头方的名义提交投标保证担保。以联合体中牵头方名义提交的投标保证担保，对联合体各成员具有约束力。</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1.4.3</w:t>
      </w:r>
      <w:r>
        <w:rPr>
          <w:rFonts w:hint="eastAsia" w:ascii="宋体" w:hAnsi="宋体" w:cs="宋体"/>
          <w:sz w:val="21"/>
          <w:szCs w:val="21"/>
          <w:lang w:val="en-US" w:eastAsia="zh-CN"/>
        </w:rPr>
        <w:t xml:space="preserve"> </w:t>
      </w:r>
      <w:r>
        <w:rPr>
          <w:rFonts w:hint="eastAsia" w:ascii="宋体" w:hAnsi="宋体" w:eastAsia="宋体" w:cs="宋体"/>
          <w:sz w:val="21"/>
          <w:szCs w:val="21"/>
        </w:rPr>
        <w:t>投标人不得存在下列情形之一：</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（1）为招标人不具有独立法人资格的附属机构（单位）；</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（2）与招标人存在利害关系可能影响招标公正性；</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（3）为本项目的建设项目代建人；</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（4）为本项目提供招标代理服务的；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（5）与本项目的建设项目代建人或招标代理机构存在单位负责人为同一人的；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（6）与本项目的建设项目代建人或招标代理机构存在相互控股或参股的；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（7）与本项目其他投标人存在单位负责人为同一人或者存在控股、管理关系的；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（8）全过程工程咨询服务投标人及其分包单位不得与本项目的工程总承包单位、</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施工单位存在利害关系；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（9）投标人处于被责令停业、暂扣或者吊销执照，或者吊销资质证书，投标资格被取消或者财产被接管、冻结和破产状态；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（11）投标人因骗取中标等违法违规问题，被有关部门暂停投标资格并在暂停期内的；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（12）在本次招标过程中存在串通投标、弄虚作假、行贿等行为；</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（13）在最近三年内发生过重大工程咨询服务质量问题（以项目所在地省级行业主管部门的行政处罚决定或司法机关出具的有关法律文书为准）；</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（14）在国家企业信用信息公示系统（www.gsxt.gov.cn）中被列入严重违法失信企业名单；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（15）在信用中国(www.creditchina.gov.cn)被列入失信被执行人名单；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（16）法律法规或投标人须知前附表规定的其它情形。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上述禁止情形的评审方式为公开承诺制，接受社会监督。若发现任何投标人存在上述禁止情形，其他投标人或利害关系人应严格遵守“谁主张，准举证”的原则，向招标人提出异议或向招标公告中载明的行政监督部门提出投诉。</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1.5</w:t>
      </w:r>
      <w:r>
        <w:rPr>
          <w:rFonts w:hint="eastAsia" w:ascii="宋体" w:hAnsi="宋体" w:cs="宋体"/>
          <w:b/>
          <w:bCs/>
          <w:sz w:val="24"/>
          <w:lang w:val="en-US" w:eastAsia="zh-CN"/>
        </w:rPr>
        <w:t xml:space="preserve"> </w:t>
      </w:r>
      <w:r>
        <w:rPr>
          <w:rFonts w:hint="eastAsia" w:ascii="宋体" w:hAnsi="宋体" w:eastAsia="宋体" w:cs="宋体"/>
          <w:b/>
          <w:bCs/>
          <w:sz w:val="24"/>
        </w:rPr>
        <w:t>费用承担</w:t>
      </w:r>
    </w:p>
    <w:p>
      <w:pPr>
        <w:spacing w:line="560" w:lineRule="exact"/>
        <w:ind w:firstLine="420" w:firstLineChars="200"/>
        <w:rPr>
          <w:rFonts w:hint="eastAsia" w:ascii="宋体" w:hAnsi="宋体" w:eastAsia="宋体" w:cs="宋体"/>
          <w:sz w:val="24"/>
        </w:rPr>
      </w:pPr>
      <w:r>
        <w:rPr>
          <w:rFonts w:hint="eastAsia" w:ascii="宋体" w:hAnsi="宋体" w:eastAsia="宋体" w:cs="宋体"/>
          <w:sz w:val="21"/>
          <w:szCs w:val="21"/>
        </w:rPr>
        <w:t>投标人准备和参加投标活动发生的费用自理。</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1.6</w:t>
      </w:r>
      <w:r>
        <w:rPr>
          <w:rFonts w:hint="eastAsia" w:ascii="宋体" w:hAnsi="宋体" w:cs="宋体"/>
          <w:b/>
          <w:bCs/>
          <w:sz w:val="24"/>
          <w:lang w:val="en-US" w:eastAsia="zh-CN"/>
        </w:rPr>
        <w:t xml:space="preserve"> </w:t>
      </w:r>
      <w:r>
        <w:rPr>
          <w:rFonts w:hint="eastAsia" w:ascii="宋体" w:hAnsi="宋体" w:eastAsia="宋体" w:cs="宋体"/>
          <w:b/>
          <w:bCs/>
          <w:sz w:val="24"/>
        </w:rPr>
        <w:t>保密</w:t>
      </w:r>
    </w:p>
    <w:p>
      <w:pPr>
        <w:spacing w:line="5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参与招标投标活动的各方应对招标文件和投标文件中的商业和技术等秘密保密， 违者应对由此造成的后果承担法律责任。</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1.7</w:t>
      </w:r>
      <w:r>
        <w:rPr>
          <w:rFonts w:hint="eastAsia" w:ascii="宋体" w:hAnsi="宋体" w:cs="宋体"/>
          <w:b/>
          <w:bCs/>
          <w:sz w:val="24"/>
          <w:lang w:val="en-US" w:eastAsia="zh-CN"/>
        </w:rPr>
        <w:t xml:space="preserve"> </w:t>
      </w:r>
      <w:r>
        <w:rPr>
          <w:rFonts w:hint="eastAsia" w:ascii="宋体" w:hAnsi="宋体" w:eastAsia="宋体" w:cs="宋体"/>
          <w:b/>
          <w:bCs/>
          <w:sz w:val="24"/>
        </w:rPr>
        <w:t>语言文字</w:t>
      </w:r>
    </w:p>
    <w:p>
      <w:pPr>
        <w:spacing w:line="560" w:lineRule="exact"/>
        <w:ind w:firstLine="420" w:firstLineChars="200"/>
        <w:rPr>
          <w:rFonts w:hint="eastAsia" w:ascii="宋体" w:hAnsi="宋体" w:eastAsia="宋体" w:cs="宋体"/>
          <w:sz w:val="24"/>
        </w:rPr>
      </w:pPr>
      <w:r>
        <w:rPr>
          <w:rFonts w:hint="eastAsia" w:ascii="宋体" w:hAnsi="宋体" w:eastAsia="宋体" w:cs="宋体"/>
          <w:sz w:val="21"/>
          <w:szCs w:val="21"/>
        </w:rPr>
        <w:t>除专用术语外，与招标投标有关的语言均使用中文。必要时专用术语应附有中文注释。</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1.8</w:t>
      </w:r>
      <w:r>
        <w:rPr>
          <w:rFonts w:hint="eastAsia" w:ascii="宋体" w:hAnsi="宋体" w:cs="宋体"/>
          <w:b/>
          <w:bCs/>
          <w:sz w:val="24"/>
          <w:lang w:val="en-US" w:eastAsia="zh-CN"/>
        </w:rPr>
        <w:t xml:space="preserve"> </w:t>
      </w:r>
      <w:r>
        <w:rPr>
          <w:rFonts w:hint="eastAsia" w:ascii="宋体" w:hAnsi="宋体" w:eastAsia="宋体" w:cs="宋体"/>
          <w:b/>
          <w:bCs/>
          <w:sz w:val="24"/>
        </w:rPr>
        <w:t>计量单位</w:t>
      </w:r>
    </w:p>
    <w:p>
      <w:pPr>
        <w:spacing w:line="56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所有计量均采用中华人民共和国法定计量单位。</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1.9</w:t>
      </w:r>
      <w:r>
        <w:rPr>
          <w:rFonts w:hint="eastAsia" w:ascii="宋体" w:hAnsi="宋体" w:cs="宋体"/>
          <w:b/>
          <w:bCs/>
          <w:sz w:val="24"/>
          <w:lang w:val="en-US" w:eastAsia="zh-CN"/>
        </w:rPr>
        <w:t xml:space="preserve"> </w:t>
      </w:r>
      <w:r>
        <w:rPr>
          <w:rFonts w:hint="eastAsia" w:ascii="宋体" w:hAnsi="宋体" w:eastAsia="宋体" w:cs="宋体"/>
          <w:b/>
          <w:bCs/>
          <w:sz w:val="24"/>
        </w:rPr>
        <w:t>踏勘现场</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1.9.1投标人须知前附表规定招标人不组织踏勘现场，投标人自行踏勘项目现场。</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1.9.2投标人踏勘现场发生的费用自理。</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1.9.3除招标人的原因外，投标人自行负责在踏勘现场中所发生的人员伤亡和财产损失。</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1.9.4招标人在踏勘现场中介绍的工程场地和相关的周边环境情况，供投标人在编制投标文件时参考，招标人不对投标人据此作出的判断和决策负责。</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1.10</w:t>
      </w:r>
      <w:r>
        <w:rPr>
          <w:rFonts w:hint="eastAsia" w:ascii="宋体" w:hAnsi="宋体" w:cs="宋体"/>
          <w:b/>
          <w:bCs/>
          <w:sz w:val="24"/>
          <w:lang w:val="en-US" w:eastAsia="zh-CN"/>
        </w:rPr>
        <w:t xml:space="preserve"> </w:t>
      </w:r>
      <w:r>
        <w:rPr>
          <w:rFonts w:hint="eastAsia" w:ascii="宋体" w:hAnsi="宋体" w:eastAsia="宋体" w:cs="宋体"/>
          <w:b/>
          <w:bCs/>
          <w:sz w:val="24"/>
        </w:rPr>
        <w:t>投标预备会</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1.10.1</w:t>
      </w:r>
      <w:r>
        <w:rPr>
          <w:rFonts w:hint="eastAsia" w:ascii="宋体" w:hAnsi="宋体" w:cs="宋体"/>
          <w:sz w:val="21"/>
          <w:szCs w:val="21"/>
          <w:lang w:val="en-US" w:eastAsia="zh-CN"/>
        </w:rPr>
        <w:t xml:space="preserve"> </w:t>
      </w:r>
      <w:r>
        <w:rPr>
          <w:rFonts w:hint="eastAsia" w:ascii="宋体" w:hAnsi="宋体" w:eastAsia="宋体" w:cs="宋体"/>
          <w:sz w:val="21"/>
          <w:szCs w:val="21"/>
        </w:rPr>
        <w:t>投标人须知前附表规定召开投标预备会的，招标人按投标人须知前附表规定的时间和地点召开投标预备会，澄清投标人提出的问题。</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1.10.2投标人应在投标人须知前附表规定的时间前，以书面形式将提出的问题送达招标人，以便招标人在会议期间澄清。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1.10.3投标预备会后，招标人在投标人须知前附表规定的时间内，将对投标人所提问题的澄清，以书面方式通知所有购买招标文件的投标人。该澄清内容为招标文件的组成部分。</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1.11分包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1.11.1 投标人拟在中标后将咨询服务部分内容进行分包的，应符合投标人须知前附表规定的分包内容和要求等限制性条件。除投标人须知前附表规定的内容外，其他内容不得分包。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1.11.2 中标人不得向他人转让或支解后以分包的名义向他人转让中标的咨询服务。分包人不得再次分包。中标人及分包人就分包内容承担连带责任。</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2.招标文件</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2.1 招标文件的组成</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（1）招标公告；</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（2）投标人须知；</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（3）评标办法；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（4）合同条款及格式；</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（5）委托人要求；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（6）投标文件格式；</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）投标人须知前附表规定的其他资料。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根据本章第 1.10款、第 2.2 款和第 2.3 款对招标文件所作的澄清、修改，构成招标文件的组成部分。</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2.2 招标文件的澄清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2.2.1</w:t>
      </w:r>
      <w:r>
        <w:rPr>
          <w:rFonts w:hint="eastAsia" w:ascii="宋体" w:hAnsi="宋体" w:cs="宋体"/>
          <w:sz w:val="21"/>
          <w:szCs w:val="21"/>
          <w:lang w:val="en-US" w:eastAsia="zh-CN"/>
        </w:rPr>
        <w:t xml:space="preserve"> </w:t>
      </w:r>
      <w:r>
        <w:rPr>
          <w:rFonts w:hint="eastAsia" w:ascii="宋体" w:hAnsi="宋体" w:eastAsia="宋体" w:cs="宋体"/>
          <w:sz w:val="21"/>
          <w:szCs w:val="21"/>
        </w:rPr>
        <w:t>投标人应仔细阅读和检查招标文件的全部内容。如发现招标文件内容不全， 应及时向招标人提出，以便补齐。如有疑问，应在投标人须知前附表规定的时间前通过系统平台进行提出，要求招标人对招标文件予以澄清。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2.2.2</w:t>
      </w:r>
      <w:r>
        <w:rPr>
          <w:rFonts w:hint="eastAsia" w:ascii="宋体" w:hAnsi="宋体" w:cs="宋体"/>
          <w:sz w:val="21"/>
          <w:szCs w:val="21"/>
          <w:lang w:val="en-US" w:eastAsia="zh-CN"/>
        </w:rPr>
        <w:t xml:space="preserve"> </w:t>
      </w:r>
      <w:r>
        <w:rPr>
          <w:rFonts w:hint="eastAsia" w:ascii="宋体" w:hAnsi="宋体" w:eastAsia="宋体" w:cs="宋体"/>
          <w:sz w:val="21"/>
          <w:szCs w:val="21"/>
        </w:rPr>
        <w:t>招标文件的澄清将在投标人须知前附表规定的投标截止时间 15 日前以答疑澄清的形式发给所有购买招标文件的投标人，但不指明澄清问题的来源。如果澄清发出的时间距投标截止时间不足 15 日，并且澄清内容可能影响投标文件编制的，将相应延长投标截止时间。</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2.2.3</w:t>
      </w:r>
      <w:r>
        <w:rPr>
          <w:rFonts w:hint="eastAsia" w:ascii="宋体" w:hAnsi="宋体" w:cs="宋体"/>
          <w:sz w:val="21"/>
          <w:szCs w:val="21"/>
          <w:lang w:val="en-US" w:eastAsia="zh-CN"/>
        </w:rPr>
        <w:t xml:space="preserve"> </w:t>
      </w:r>
      <w:r>
        <w:rPr>
          <w:rFonts w:hint="eastAsia" w:ascii="宋体" w:hAnsi="宋体" w:eastAsia="宋体" w:cs="宋体"/>
          <w:sz w:val="21"/>
          <w:szCs w:val="21"/>
        </w:rPr>
        <w:t>投标人在收到澄清后，应在投标人须知前附表规定的时间内，确认已收到该澄清。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除非招标人认为确有必要答复，否则，招标人有权拒绝回复投标人在本章第2.2.1 项规定的时间后的任何澄清要求。 </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2.3 招标文件的修改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宋体" w:hAnsi="宋体" w:eastAsia="宋体" w:cs="宋体"/>
          <w:sz w:val="21"/>
          <w:szCs w:val="21"/>
        </w:rPr>
        <w:t>2.3.1</w:t>
      </w:r>
      <w:r>
        <w:rPr>
          <w:rFonts w:hint="eastAsia" w:ascii="宋体" w:hAnsi="宋体" w:cs="宋体"/>
          <w:sz w:val="21"/>
          <w:szCs w:val="21"/>
          <w:lang w:val="en-US" w:eastAsia="zh-CN"/>
        </w:rPr>
        <w:t xml:space="preserve"> </w:t>
      </w:r>
      <w:r>
        <w:rPr>
          <w:rFonts w:hint="eastAsia" w:ascii="宋体" w:hAnsi="宋体" w:eastAsia="宋体" w:cs="宋体"/>
          <w:sz w:val="21"/>
          <w:szCs w:val="21"/>
        </w:rPr>
        <w:t>招标人以投标人须</w:t>
      </w:r>
      <w:r>
        <w:rPr>
          <w:rFonts w:hint="eastAsia" w:asciiTheme="minorEastAsia" w:hAnsiTheme="minorEastAsia" w:eastAsiaTheme="minorEastAsia" w:cstheme="minorEastAsia"/>
          <w:sz w:val="21"/>
          <w:szCs w:val="21"/>
        </w:rPr>
        <w:t>知前附表规定的形式修改招标文件，并通知所有已购买招标文件的投标人。如果修改招标文件的时间距投标截止时间不足 15 日，并且修改内容可能影响投标文件编制的，将相应延长投标截止时间。</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2.3.2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投标人应注意查看洛阳市公共资源交易中心网-交易登录发布的修改澄清，招标人在发布修改澄清后，即认为所有领取招标文件的投标人收到该修改。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1）招标文件的澄清与修改将在与招标公告同步的网站上发布“变更公告”，如需修改招标文件，则同时在洛阳市电子招投标交易平台发布“答疑文件”（答疑文件指修改后最新的招标文件）。对于各项目中已经成功报名并下载招标文件的投标人，将通过第三方短信群发方式提醒投标人进行查询。各投标人须重新下载最新的“答疑文件”，并以此编制投标文件。如不以最新发布的“答疑文件”编制投标文件，造成投标无效的后果由投标人自己承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（2）因洛阳市电子招投标交易平台在开标前具有保密性，投标人在投标文件递交截止时间前须自行查看项目进展、变更通知、澄清及回复，因投标人未及时查看而造成的后果自负。 </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2.4 招标文件的异议</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投标人或者其他利害关系人对招标文件有异议的，应当在投标截止时间 10日前以书面形式提出。招标人将在收到异议之日起 3 日内作出答复；作出答复前，将暂停招标投标活动。 </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3.投标文件</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3.1</w:t>
      </w:r>
      <w:r>
        <w:rPr>
          <w:rFonts w:hint="eastAsia" w:ascii="宋体" w:hAnsi="宋体" w:cs="宋体"/>
          <w:b/>
          <w:bCs/>
          <w:sz w:val="24"/>
          <w:lang w:val="en-US" w:eastAsia="zh-CN"/>
        </w:rPr>
        <w:t xml:space="preserve"> </w:t>
      </w:r>
      <w:r>
        <w:rPr>
          <w:rFonts w:hint="eastAsia" w:ascii="宋体" w:hAnsi="宋体" w:eastAsia="宋体" w:cs="宋体"/>
          <w:b/>
          <w:bCs/>
          <w:sz w:val="24"/>
        </w:rPr>
        <w:t>投标文件的组成</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3.1.1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投标文件应包括下列内容：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zh-CN"/>
        </w:rPr>
        <w:t>）投标函及投标函附录；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zh-CN"/>
        </w:rPr>
        <w:t>）法定代表人身份证明</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lang w:val="zh-CN"/>
        </w:rPr>
        <w:t>授权委托书；</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rPr>
        <w:t>4</w:t>
      </w:r>
      <w:r>
        <w:rPr>
          <w:rFonts w:hint="eastAsia" w:asciiTheme="minorEastAsia" w:hAnsiTheme="minorEastAsia" w:eastAsiaTheme="minorEastAsia" w:cstheme="minorEastAsia"/>
          <w:sz w:val="21"/>
          <w:szCs w:val="21"/>
          <w:lang w:val="zh-CN"/>
        </w:rPr>
        <w:t>）资格证明资料；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（5）项目管理机构</w:t>
      </w:r>
      <w:r>
        <w:rPr>
          <w:rFonts w:hint="eastAsia" w:asciiTheme="minorEastAsia" w:hAnsiTheme="minorEastAsia" w:eastAsiaTheme="minorEastAsia" w:cstheme="minorEastAsia"/>
          <w:sz w:val="21"/>
          <w:szCs w:val="21"/>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rPr>
        <w:t>6</w:t>
      </w:r>
      <w:r>
        <w:rPr>
          <w:rFonts w:hint="eastAsia" w:asciiTheme="minorEastAsia" w:hAnsiTheme="minorEastAsia" w:eastAsiaTheme="minorEastAsia" w:cstheme="minorEastAsia"/>
          <w:sz w:val="21"/>
          <w:szCs w:val="21"/>
          <w:lang w:val="zh-CN"/>
        </w:rPr>
        <w:t>）</w:t>
      </w:r>
      <w:r>
        <w:rPr>
          <w:rFonts w:hint="eastAsia" w:asciiTheme="minorEastAsia" w:hAnsiTheme="minorEastAsia" w:eastAsiaTheme="minorEastAsia" w:cstheme="minorEastAsia"/>
          <w:sz w:val="21"/>
          <w:szCs w:val="21"/>
        </w:rPr>
        <w:t xml:space="preserve">咨询服务方案；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（7）其他材料。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投标人在评标过程中作出的符合法律法规和招标文件规定的澄清确认，构成投标文件的组成部分。</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3.2</w:t>
      </w:r>
      <w:r>
        <w:rPr>
          <w:rFonts w:hint="eastAsia" w:ascii="宋体" w:hAnsi="宋体" w:cs="宋体"/>
          <w:b/>
          <w:bCs/>
          <w:sz w:val="24"/>
          <w:lang w:val="en-US" w:eastAsia="zh-CN"/>
        </w:rPr>
        <w:t xml:space="preserve"> </w:t>
      </w:r>
      <w:r>
        <w:rPr>
          <w:rFonts w:hint="eastAsia" w:ascii="宋体" w:hAnsi="宋体" w:eastAsia="宋体" w:cs="宋体"/>
          <w:b/>
          <w:bCs/>
          <w:sz w:val="24"/>
        </w:rPr>
        <w:t>投标报价</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投标报价为履行咨询服务的所有费用，包括成本、利润、税金、管理费和其他应分摊的费用等。投标人应按第六章“投标文件格式”的要求在投标函中进行报价，并填写投标报价清单。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投标人应充分了解本次招标的咨询服务的总体情况与要求及影响投标报价的其他因素。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投标人在投标截止时间前修改投标函中的投标报价总额，应同时修改投标文件“投标报价清单”中的相应报价。此修改须符合本章第4.3款的有关要求。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3.2.4</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招标人设有最高投标限价的，投标人的投标报价不得超过最高投标限价，最高投标限价详见投标人须知前附表。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本次咨询服务的报价方式详见投标人须知前附表。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3.3</w:t>
      </w:r>
      <w:r>
        <w:rPr>
          <w:rFonts w:hint="eastAsia" w:ascii="宋体" w:hAnsi="宋体" w:cs="宋体"/>
          <w:b/>
          <w:bCs/>
          <w:sz w:val="24"/>
          <w:lang w:val="en-US" w:eastAsia="zh-CN"/>
        </w:rPr>
        <w:t xml:space="preserve"> </w:t>
      </w:r>
      <w:r>
        <w:rPr>
          <w:rFonts w:hint="eastAsia" w:ascii="宋体" w:hAnsi="宋体" w:eastAsia="宋体" w:cs="宋体"/>
          <w:b/>
          <w:bCs/>
          <w:sz w:val="24"/>
        </w:rPr>
        <w:t>投标有效期</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投标有效期从投标人提交投标文件截止之日起计算。 在投标人须知前附表规定的投标有效期内，投标人不得要求撤销或修改其投标文件。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在投标截止日期后，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3.4 投标担保</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3.4.1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在递交投标文件的同时，应按投标人须知前附表规定的金额、担保形式和第六章“投标文件格式”规定的投标保证金格式递交投标保证金，并作为其投标文件的组成部分。联合体投标的，其投标保证金可以由牵头人递交，并应符合投标人须知前附表的规定。</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3.4.2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投标人不按本章第 3.4.1 项金额和方式要求提交投标担保的，评标委员会将否决其投标。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3.4.3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退还投标保证金的方式和时间见投标人须知前附表的规定。</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3.4.4</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有下列情形之一的，投标保证金将不予退还：</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（1）投标人在规定的投标有效期内撤销或修改其投标文件；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（2）中标人在收到中标通知书后，无正当理由拒签合同协议书或未按招标文件规定提交履约担保。</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（3）中标通知书发出后，中标人放弃中标项目的。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（4）中标人在签订合同时向招标人提出附加条件或者更改合同实质性内容的。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（5）发生投标人须知前附表规定的其他可以不予退还投标保证金的情形。 </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3.5</w:t>
      </w:r>
      <w:r>
        <w:rPr>
          <w:rFonts w:hint="eastAsia" w:ascii="宋体" w:hAnsi="宋体" w:cs="宋体"/>
          <w:b/>
          <w:bCs/>
          <w:sz w:val="24"/>
          <w:lang w:val="en-US" w:eastAsia="zh-CN"/>
        </w:rPr>
        <w:t xml:space="preserve"> </w:t>
      </w:r>
      <w:r>
        <w:rPr>
          <w:rFonts w:hint="eastAsia" w:ascii="宋体" w:hAnsi="宋体" w:eastAsia="宋体" w:cs="宋体"/>
          <w:b/>
          <w:bCs/>
          <w:sz w:val="24"/>
        </w:rPr>
        <w:t>资格证明资料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根据第三章内容在投标文件中提供证明材料；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3.5.2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投标人须知前附表规定接受联合体投标的，联合体各方均应提供资格审查资料；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pPr>
      <w:r>
        <w:rPr>
          <w:rFonts w:hint="eastAsia" w:asciiTheme="minorEastAsia" w:hAnsiTheme="minorEastAsia" w:eastAsiaTheme="minorEastAsia" w:cstheme="minorEastAsia"/>
          <w:sz w:val="21"/>
          <w:szCs w:val="21"/>
        </w:rPr>
        <w:t>3.5.3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资格审查资料的特殊要求见投标人须知前附表。</w:t>
      </w:r>
    </w:p>
    <w:p>
      <w:pPr>
        <w:spacing w:line="56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3.6</w:t>
      </w:r>
      <w:r>
        <w:rPr>
          <w:rFonts w:hint="eastAsia" w:asciiTheme="minorEastAsia" w:hAnsiTheme="minorEastAsia" w:eastAsiaTheme="minorEastAsia" w:cstheme="minorEastAsia"/>
          <w:b/>
          <w:bCs/>
          <w:sz w:val="24"/>
          <w:lang w:val="en-US" w:eastAsia="zh-CN"/>
        </w:rPr>
        <w:t xml:space="preserve"> </w:t>
      </w:r>
      <w:r>
        <w:rPr>
          <w:rFonts w:hint="eastAsia" w:asciiTheme="minorEastAsia" w:hAnsiTheme="minorEastAsia" w:eastAsiaTheme="minorEastAsia" w:cstheme="minorEastAsia"/>
          <w:b/>
          <w:bCs/>
          <w:sz w:val="24"/>
        </w:rPr>
        <w:t>备选投标方案</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560" w:lineRule="exact"/>
        <w:ind w:firstLine="482" w:firstLineChars="200"/>
        <w:rPr>
          <w:rFonts w:hint="eastAsia"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3.7</w:t>
      </w:r>
      <w:r>
        <w:rPr>
          <w:rFonts w:hint="eastAsia" w:asciiTheme="minorEastAsia" w:hAnsiTheme="minorEastAsia" w:eastAsiaTheme="minorEastAsia" w:cstheme="minorEastAsia"/>
          <w:b/>
          <w:bCs/>
          <w:sz w:val="24"/>
          <w:lang w:val="en-US" w:eastAsia="zh-CN"/>
        </w:rPr>
        <w:t xml:space="preserve"> </w:t>
      </w:r>
      <w:r>
        <w:rPr>
          <w:rFonts w:hint="eastAsia" w:asciiTheme="minorEastAsia" w:hAnsiTheme="minorEastAsia" w:eastAsiaTheme="minorEastAsia" w:cstheme="minorEastAsia"/>
          <w:b/>
          <w:bCs/>
          <w:sz w:val="24"/>
        </w:rPr>
        <w:t>投标文件的编制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投标文件应按第六章“投标文件格式”进行编写，如有必要，可以增加附页，作为投标文件的组成部分。其中，投标函在满足招标文件实质性要求的基础上，可以提出比招标文件要求更有利于招标人的承诺。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投标文件应当对招标文件有关投标报价、服务期、建设目标、投标有效期、委托人要求、招标范围等实质性内容作出响应。</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投标人登录“洛阳市公共资源交易中心”网站，按要求下载“新点投标文件制作软件”。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3.7.4</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投标人凭 CA 锁登录，并按网上提示自行下载招标文件。使用“新点投标文件制作软件”按要求制作电子投标文件。投标人在制作电子投标文件时，应按要求进行电子签章。投标人编辑电子投标文件时，根据招标文件要求用法定代表人 CA 锁和企业 CA 锁进行签章制作；最后一步生成电子投标文件（*.lytf 格式和*.nlytf 格式） 时，只能用本单位的企业 CA 锁。联合体投标的，投标文件由联合体牵头人按上述规定进行签章。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加密的电子投标文件为“洛阳市公共资源交易中心”网站提供的“新点投标文件制作软件”制作生成的加密版投标文件。投标文件按照招标文件要求在规定处加盖企业电子章和法定代表人电子章。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3.7.6</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招标文件格式所要求包含的全部资料应全部制作在投标文件内，严格按照本项目招标文件所有格式如实填写（不涉及的内容除外），不应存在漏项或缺项，否则将存在投标文件被否决的风险。</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3.7.7</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为便于评标委员会评审，投标人在编制电子投标文件时，尽量将投标文件目录细化，并在电子投标文件中编制详细的跳转目录。否则，投标人自行承担因投标文件编制混乱导致评标委员会做出不利于投标人的评审结果。</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3.7.8</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文件所附证明材料均为原件全本的扫描件（或照片），尺寸和清晰度应该能够在电脑上被阅读、识别和判断；若投标人未按要求提供证明材料或提供不清晰的扫描件（或照片）的，评标委员会有权认定其投标文件未对招标文件有关要求进行响应，涉及资格审查或符合性审查的将不予通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3.7.9</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投标文件制作的具体方法详见“全国公共资源交易平台（河南省·洛阳市）”-办事指南-下载中心-操作手册-《洛阳市投标文件制作工具操作手册》及投标文件制作工具中的帮助文档。</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3.7.10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因投标人自身原因而导致投标文件无法导入“全国公共资源交易平台”-“河南省洛阳市电子招投标交易平台”电子开标、评标系统，该投标视为无效投标，投标人自行承担由此导致的全部责任。</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4.投标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4.1</w:t>
      </w:r>
      <w:r>
        <w:rPr>
          <w:rFonts w:hint="eastAsia" w:ascii="宋体" w:hAnsi="宋体" w:cs="宋体"/>
          <w:b/>
          <w:bCs/>
          <w:sz w:val="24"/>
          <w:lang w:val="en-US" w:eastAsia="zh-CN"/>
        </w:rPr>
        <w:t xml:space="preserve"> </w:t>
      </w:r>
      <w:r>
        <w:rPr>
          <w:rFonts w:hint="eastAsia" w:ascii="宋体" w:hAnsi="宋体" w:eastAsia="宋体" w:cs="宋体"/>
          <w:b/>
          <w:bCs/>
          <w:sz w:val="24"/>
        </w:rPr>
        <w:t>投标文件的盖章和签字</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4.1.1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投标文件签字、盖章的要求：见投标人须知前附表。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4.2</w:t>
      </w:r>
      <w:r>
        <w:rPr>
          <w:rFonts w:hint="eastAsia" w:ascii="宋体" w:hAnsi="宋体" w:cs="宋体"/>
          <w:b/>
          <w:bCs/>
          <w:sz w:val="24"/>
          <w:lang w:val="en-US" w:eastAsia="zh-CN"/>
        </w:rPr>
        <w:t xml:space="preserve"> </w:t>
      </w:r>
      <w:r>
        <w:rPr>
          <w:rFonts w:hint="eastAsia" w:ascii="宋体" w:hAnsi="宋体" w:eastAsia="宋体" w:cs="宋体"/>
          <w:b/>
          <w:bCs/>
          <w:sz w:val="24"/>
        </w:rPr>
        <w:t>投标文件的递交</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投标人应在投标人须知前附表规定的投标截止时间前递交投标文件。不接受邮寄、电报、电话、传真等方式投标。除电子投标文件外，投标时不再接受任何纸质文件、资料等。</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投标人递交投标文件的地点：见投标人须知前附表。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投标文件份数及其他要求：见投标人须知前附表。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4.2.4</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投标人应在投标截止时间前上传加密的电子投标文件（*.lytf）到洛阳市电子招投标交易平台指定位置。上传时投标人须使用制作该投标文件的同一 CA 锁进行上传操作。请投标人在上传时认真检查上传投标文件是否完整、正确。投标人应充分考虑上传文件时的不可预见因素，未在投标截止时间前完成上传的，视为逾期送达， 洛阳市电子招投标交易平台将拒绝接收。上传成功后将得到上传成功的确认。</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投标人因洛阳市电子招投标交易平台问题无法上传电子投标文件时，请在工作时间与交易中心联系。联系方式见投标人须知前附表。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4.2.6</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除投标人须知前附表另有规定外，投标人所提交的投标文件不予退还。</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4.3</w:t>
      </w:r>
      <w:r>
        <w:rPr>
          <w:rFonts w:hint="eastAsia" w:ascii="宋体" w:hAnsi="宋体" w:cs="宋体"/>
          <w:b/>
          <w:bCs/>
          <w:sz w:val="24"/>
          <w:lang w:val="en-US" w:eastAsia="zh-CN"/>
        </w:rPr>
        <w:t xml:space="preserve"> </w:t>
      </w:r>
      <w:r>
        <w:rPr>
          <w:rFonts w:hint="eastAsia" w:ascii="宋体" w:hAnsi="宋体" w:eastAsia="宋体" w:cs="宋体"/>
          <w:b/>
          <w:bCs/>
          <w:sz w:val="24"/>
        </w:rPr>
        <w:t xml:space="preserve">投标文件的修改与撤回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4.3.1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在投标截止时间前，投标人可以修改或撤回已递交的投标文件。投标人对加密 的投标文件进行撤回的，应在洛阳市公共资源交易网（http://www.lyggzyjy.cn） -“洛阳市电子招投标交易平台”直接进行撤回操作；投标人对加密的投标文件进行修改的，应在投标截止时间前完成上传。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4.3.2 投标人修改投标文件的，应使用规定的投标文件制作工具制作成完整的投标文件，并按照规定进行编制、上传和加密。对采用网上递交的加密的投标文件，以投标截止时间前最后完成上传的文件为准。  </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5.开标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5.1</w:t>
      </w:r>
      <w:r>
        <w:rPr>
          <w:rFonts w:hint="eastAsia" w:ascii="宋体" w:hAnsi="宋体" w:cs="宋体"/>
          <w:b/>
          <w:bCs/>
          <w:sz w:val="24"/>
          <w:lang w:val="en-US" w:eastAsia="zh-CN"/>
        </w:rPr>
        <w:t xml:space="preserve"> </w:t>
      </w:r>
      <w:r>
        <w:rPr>
          <w:rFonts w:hint="eastAsia" w:ascii="宋体" w:hAnsi="宋体" w:eastAsia="宋体" w:cs="宋体"/>
          <w:b/>
          <w:bCs/>
          <w:sz w:val="24"/>
        </w:rPr>
        <w:t>开标时间和地点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招标人在本章第 4.2.1 项规定的投标截止时间（开标时间）和投标人须知前附表规定的地点公开开标。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5.2</w:t>
      </w:r>
      <w:r>
        <w:rPr>
          <w:rFonts w:hint="eastAsia" w:ascii="宋体" w:hAnsi="宋体" w:cs="宋体"/>
          <w:b/>
          <w:bCs/>
          <w:sz w:val="24"/>
          <w:lang w:val="en-US" w:eastAsia="zh-CN"/>
        </w:rPr>
        <w:t xml:space="preserve"> </w:t>
      </w:r>
      <w:r>
        <w:rPr>
          <w:rFonts w:hint="eastAsia" w:ascii="宋体" w:hAnsi="宋体" w:eastAsia="宋体" w:cs="宋体"/>
          <w:b/>
          <w:bCs/>
          <w:sz w:val="24"/>
        </w:rPr>
        <w:t>投标人出现下列情况之一者为废标，取消参加评标资格：</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（1）未在洛阳市电子招投标交易平台系统提交加密电子投标文件的。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（2）网上加密电子投标文件现场解密失败的。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（3）投标文件不按规定签字和加盖印章的。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（4）投标文件的关键内容字迹模糊，无法辩认的。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（5）在有两个同类数字，又同一个项目中未注明其中哪一个有效的。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（6）投标文件超过截止时间上传者。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（7）投标人不符合国家或者招标文件规定的资格条件。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（8）同一投标人提交两个以上不同的投标文件或者投标报价。</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（9）投标报价低于成本或者高于招标文件设定的最高投标限价。</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（10）投标文件没有对招标文件的实质性要求和条件作出响应。</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（11）未对《洛阳市建设工程廉洁自律承诺书》和《洛阳市工程建设项目廉洁自律告知书》承诺的。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（12）未按招标文件规定编制各项报价的。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（13）投标人串通投标、弄虚作假、行贿等违法行为。</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5.3</w:t>
      </w:r>
      <w:r>
        <w:rPr>
          <w:rFonts w:hint="eastAsia" w:ascii="宋体" w:hAnsi="宋体" w:cs="宋体"/>
          <w:b/>
          <w:bCs/>
          <w:sz w:val="24"/>
          <w:lang w:val="en-US" w:eastAsia="zh-CN"/>
        </w:rPr>
        <w:t xml:space="preserve"> </w:t>
      </w:r>
      <w:r>
        <w:rPr>
          <w:rFonts w:hint="eastAsia" w:ascii="宋体" w:hAnsi="宋体" w:eastAsia="宋体" w:cs="宋体"/>
          <w:b/>
          <w:bCs/>
          <w:sz w:val="24"/>
        </w:rPr>
        <w:t>根据本招标文件规定否决不合格投标或者界定为废标后，有效投标不足三个的， 招标人应当依法重新招标。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5.4</w:t>
      </w:r>
      <w:r>
        <w:rPr>
          <w:rFonts w:hint="eastAsia" w:ascii="宋体" w:hAnsi="宋体" w:cs="宋体"/>
          <w:b/>
          <w:bCs/>
          <w:sz w:val="24"/>
          <w:lang w:val="en-US" w:eastAsia="zh-CN"/>
        </w:rPr>
        <w:t xml:space="preserve"> </w:t>
      </w:r>
      <w:r>
        <w:rPr>
          <w:rFonts w:hint="eastAsia" w:ascii="宋体" w:hAnsi="宋体" w:eastAsia="宋体" w:cs="宋体"/>
          <w:b/>
          <w:bCs/>
          <w:sz w:val="24"/>
        </w:rPr>
        <w:t>开标程序</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5.4.1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本项目采用远程不见面交易的模式。开标当日，招标人在招标文件规定的时间和地点开标，投标人无需到开标现场参加开标会议，投标人应当在投标截止时间前，登录远程开标大厅选择洛阳市公共资源电子招投标系统进行登录（网址为</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"http://www.lyggzyjy.cn/TPBidder" \h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http://www.lyggzyjy.cn/TPBidder</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主持人按下列程序进行开标：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（1）公布在投标截止时间前递交投标文件的投标人名称。</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（2）投标人将通过洛阳市电子招投标交易平台在规定时间内对本单位的投标文件进行解密。</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（3）招标代理机构将通过洛阳市电子招投标交易平台进行唱标。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（4）按系统要求录入招标控制价信息。</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（5）招标人代表、监标人等有关人员在开标记录上签字。</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（6）开标结束。</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5.5 开标异议</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1"/>
          <w:szCs w:val="21"/>
        </w:rPr>
      </w:pPr>
      <w:r>
        <w:rPr>
          <w:rFonts w:hint="eastAsia" w:ascii="宋体" w:hAnsi="宋体" w:eastAsia="宋体" w:cs="宋体"/>
          <w:sz w:val="24"/>
        </w:rPr>
        <w:t xml:space="preserve"> </w:t>
      </w:r>
      <w:r>
        <w:rPr>
          <w:rFonts w:hint="eastAsia" w:asciiTheme="minorEastAsia" w:hAnsiTheme="minorEastAsia" w:eastAsiaTheme="minorEastAsia" w:cstheme="minorEastAsia"/>
          <w:sz w:val="21"/>
          <w:szCs w:val="21"/>
        </w:rPr>
        <w:t xml:space="preserve"> 投标人对开标有异议的，应当通过开标系统现场提出，招标人当场做出答复，并制作记录。</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6.评标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6.1</w:t>
      </w:r>
      <w:r>
        <w:rPr>
          <w:rFonts w:hint="eastAsia" w:ascii="宋体" w:hAnsi="宋体" w:cs="宋体"/>
          <w:b/>
          <w:bCs/>
          <w:sz w:val="24"/>
          <w:lang w:val="en-US" w:eastAsia="zh-CN"/>
        </w:rPr>
        <w:t xml:space="preserve"> </w:t>
      </w:r>
      <w:r>
        <w:rPr>
          <w:rFonts w:hint="eastAsia" w:ascii="宋体" w:hAnsi="宋体" w:eastAsia="宋体" w:cs="宋体"/>
          <w:b/>
          <w:bCs/>
          <w:sz w:val="24"/>
        </w:rPr>
        <w:t>评标委员会</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评标由招标人依法组建的评标委员会负责。评标委员会由招标人熟悉相关业务的代表，以及有关技术、经济等方面的专家组成。评标委员会成员人数以及技术、经济等方面专家的确定方式见投标人须知前附表，评标专家的专业应涵盖本项目招标范围内的主要服务内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评标委员会成员有下列情形之一的，应当回避：</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（1）与投标人有利害关系的；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（2）为投标人或投标人的主要负责人的近亲属；</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（3）项目主管部门或者行政监督部门的人员；</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（4）与投标人有经济利益关系，可能影响对投标公正评审的；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（5）曾因在招标、评标以及其他与招标投标有关活动中从事违法行为而受过行政处罚或刑事处罚的。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6.1.3 评标过程中，评标委员会成员有回避事由、擅离职守或者因健康等原因不能继续评标的，招标人有权更换。被更换的评标委员会成员作出的评审结论无效，由更换后的评标委员会成员重新进行评审。</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6.2</w:t>
      </w:r>
      <w:r>
        <w:rPr>
          <w:rFonts w:hint="eastAsia" w:ascii="宋体" w:hAnsi="宋体" w:cs="宋体"/>
          <w:b/>
          <w:bCs/>
          <w:sz w:val="24"/>
          <w:lang w:val="en-US" w:eastAsia="zh-CN"/>
        </w:rPr>
        <w:t xml:space="preserve"> </w:t>
      </w:r>
      <w:r>
        <w:rPr>
          <w:rFonts w:hint="eastAsia" w:ascii="宋体" w:hAnsi="宋体" w:eastAsia="宋体" w:cs="宋体"/>
          <w:b/>
          <w:bCs/>
          <w:sz w:val="24"/>
        </w:rPr>
        <w:t>评标原则</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评标活动遵循公平、公正、科学和择优的原则。</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6.3</w:t>
      </w:r>
      <w:r>
        <w:rPr>
          <w:rFonts w:hint="eastAsia" w:ascii="宋体" w:hAnsi="宋体" w:cs="宋体"/>
          <w:b/>
          <w:bCs/>
          <w:sz w:val="24"/>
          <w:lang w:val="en-US" w:eastAsia="zh-CN"/>
        </w:rPr>
        <w:t xml:space="preserve"> </w:t>
      </w:r>
      <w:r>
        <w:rPr>
          <w:rFonts w:hint="eastAsia" w:ascii="宋体" w:hAnsi="宋体" w:eastAsia="宋体" w:cs="宋体"/>
          <w:b/>
          <w:bCs/>
          <w:sz w:val="24"/>
        </w:rPr>
        <w:t>评标办法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评标委员会按照第三章“评标办法”规定的方法、评审因素、标准和程序对投标文件进行评审。第三章“评标办法”没有规定的方法、评审因素和标准，不作为评标依据。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评标完成后，评标委员会应当向招标人提交书面评标报告和中标候选人名单。 评标委员会推荐中标候选人的人数见投标人须知前附表。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6.3.3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本次招标采用电子化评标，如“洛阳市电子招投标交易平台”系统出现故障，导致无法继续评审工作的，可暂停评标，对原有资料及信息作出妥善保密处理， 待电子评标系统恢复正常之后组织评审。</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6.4 中标候选人公示</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招标人在收到评标报告之日起3日内，按照投标人须知前附表规定的公示媒介和期限公示中标候选人，公示期不得少于3日。</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6.5 评标结果异议</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投标人或者其他利害关系人对评标结果有异议的，应当在中标候选人公示期间提出。招标人将在收到异议之日起3日内作出答复；作出答复前，将暂停招标投标活动。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6.6 中标候选人履约能力审查</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中标候选人的经营、财力状况发生较大变化或存在违法行为，招标人认为可能影响其履约能力的，将在发出中标通知书前提请原评标委员会按照招标文件规定的标准和方法进行审查确认。</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7.合同授予</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7.1定标方式</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招标人依据评标委员会推荐的中标候选人确定中标人，评标委员会推荐中标候选人的人数见投标人须知前附表。</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7.2中标结果公告</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招标人在确定中标人之日起3日内，按照投标人须知前附表规定的公告媒介和期限依法公告中标结果。</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7.3中标通知</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在本章第 3.3 款规定的投标有效期内，招标人或招标代理机构通过电子交易平台系统向中标人发出中标通知书，同时将中标结果通知未中标的投标人。</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 xml:space="preserve">7.4履约保证金 </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7.4.1 在签订合同前，中标人应按投标人须知前附表规定的形式、金额和招标文件第四章“合同条款及格式”规定的或者事先经过招标人书面认可的履约保证金格式向招标人提交履约保证金。联合体中标的，其履约保证金以联合体各方或者联合体中牵头人的名义提交。</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7.4.2 中标人不能按本章第 7.6.1 项要求提交履约保证金的，视为放弃中标，其投标保证金不予退还，给招标人造成的损失超过投标保证金数额的，中标人还应当对超过部分予以赔偿。 </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7.5谈判</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招标人可以与中标人进行合同谈判，招标人与中标人的合同谈判应不违背招标文件和中标人投标文件确定的标的、质量、价格、服务期等实质性内容。</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7.6签订合同</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7.6.1</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招标人和中标人应当自中标通知书发出之日起 30 天内，根据招标文件和中标人的投标文件订立书面合同。中标人无正当理由拒签合同的，或者在签订合同时向招标人提出附加条件，或者不按招标文件要求提交履约保证金的，视为放弃中标，招标人有权取消其中标资格，其投标保证金不予退还；给招标人造成的损失超过投标保证担保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7.6.2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发出中标通知书后，招标人无正当理由拒签合同的，招标人向中标人退还投标保证金；给中标人造成损失的，还应当赔偿损失。</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7.6.3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联合体中标的，联合体各方应当共同与招标人签订合同，就中标的咨询服务向招标人承担连带责任。</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8.重新招标和不再招标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8.1重新招标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有下列情形之一的，招标人将重新招标：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（1）投标截止时间止，投标人少于 3 个的；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（2）经评标委员会评审后否决所有投标的；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（3）评标委员会否决不合格投标或者界定为废标后因有效投标不足 3 个使得投标明显缺乏竞争，评标委员会决定否决全部投标的；</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（4）同意延长投标有效期的投标人少于 3 个的。</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8.2</w:t>
      </w:r>
      <w:r>
        <w:rPr>
          <w:rFonts w:hint="eastAsia" w:ascii="宋体" w:hAnsi="宋体" w:cs="宋体"/>
          <w:b/>
          <w:bCs/>
          <w:sz w:val="24"/>
          <w:lang w:val="en-US" w:eastAsia="zh-CN"/>
        </w:rPr>
        <w:t xml:space="preserve"> </w:t>
      </w:r>
      <w:r>
        <w:rPr>
          <w:rFonts w:hint="eastAsia" w:ascii="宋体" w:hAnsi="宋体" w:eastAsia="宋体" w:cs="宋体"/>
          <w:b/>
          <w:bCs/>
          <w:sz w:val="24"/>
        </w:rPr>
        <w:t>不再招标</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重新招标后投标人仍少于 3 个或者所有投标被否决的，属于必须审批或核准的工程建设项目，经原审批或核准部门批准后不再进行招标。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9.纪律和监督</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9.1</w:t>
      </w:r>
      <w:r>
        <w:rPr>
          <w:rFonts w:hint="eastAsia" w:ascii="宋体" w:hAnsi="宋体" w:cs="宋体"/>
          <w:b/>
          <w:bCs/>
          <w:sz w:val="24"/>
          <w:lang w:val="en-US" w:eastAsia="zh-CN"/>
        </w:rPr>
        <w:t xml:space="preserve"> </w:t>
      </w:r>
      <w:r>
        <w:rPr>
          <w:rFonts w:hint="eastAsia" w:ascii="宋体" w:hAnsi="宋体" w:eastAsia="宋体" w:cs="宋体"/>
          <w:b/>
          <w:bCs/>
          <w:sz w:val="24"/>
        </w:rPr>
        <w:t>对招标人的纪律要求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招标人不得泄漏招标投标活动中应当保密的情况和资料，不得与投标人串通损害国家利益、社会公共利益或者他人合法权益。</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9.2</w:t>
      </w:r>
      <w:r>
        <w:rPr>
          <w:rFonts w:hint="eastAsia" w:ascii="宋体" w:hAnsi="宋体" w:cs="宋体"/>
          <w:b/>
          <w:bCs/>
          <w:sz w:val="24"/>
          <w:lang w:val="en-US" w:eastAsia="zh-CN"/>
        </w:rPr>
        <w:t xml:space="preserve"> </w:t>
      </w:r>
      <w:r>
        <w:rPr>
          <w:rFonts w:hint="eastAsia" w:ascii="宋体" w:hAnsi="宋体" w:eastAsia="宋体" w:cs="宋体"/>
          <w:b/>
          <w:bCs/>
          <w:sz w:val="24"/>
        </w:rPr>
        <w:t>对投标人的纪律要求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9.3</w:t>
      </w:r>
      <w:r>
        <w:rPr>
          <w:rFonts w:hint="eastAsia" w:ascii="宋体" w:hAnsi="宋体" w:cs="宋体"/>
          <w:b/>
          <w:bCs/>
          <w:sz w:val="24"/>
          <w:lang w:val="en-US" w:eastAsia="zh-CN"/>
        </w:rPr>
        <w:t xml:space="preserve"> </w:t>
      </w:r>
      <w:r>
        <w:rPr>
          <w:rFonts w:hint="eastAsia" w:ascii="宋体" w:hAnsi="宋体" w:eastAsia="宋体" w:cs="宋体"/>
          <w:b/>
          <w:bCs/>
          <w:sz w:val="24"/>
        </w:rPr>
        <w:t>对评标委员会成员的纪律要求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评标办法”没有规定的评审因素和标准进行评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9.4</w:t>
      </w:r>
      <w:r>
        <w:rPr>
          <w:rFonts w:hint="eastAsia" w:ascii="宋体" w:hAnsi="宋体" w:cs="宋体"/>
          <w:b/>
          <w:bCs/>
          <w:sz w:val="24"/>
          <w:lang w:val="en-US" w:eastAsia="zh-CN"/>
        </w:rPr>
        <w:t xml:space="preserve"> </w:t>
      </w:r>
      <w:r>
        <w:rPr>
          <w:rFonts w:hint="eastAsia" w:ascii="宋体" w:hAnsi="宋体" w:eastAsia="宋体" w:cs="宋体"/>
          <w:b/>
          <w:bCs/>
          <w:sz w:val="24"/>
        </w:rPr>
        <w:t>对与评标活动有关的工作人员的纪律要求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与评标活动有关的工作人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9.5</w:t>
      </w:r>
      <w:r>
        <w:rPr>
          <w:rFonts w:hint="eastAsia" w:ascii="宋体" w:hAnsi="宋体" w:cs="宋体"/>
          <w:b/>
          <w:bCs/>
          <w:sz w:val="24"/>
          <w:lang w:val="en-US" w:eastAsia="zh-CN"/>
        </w:rPr>
        <w:t xml:space="preserve"> </w:t>
      </w:r>
      <w:r>
        <w:rPr>
          <w:rFonts w:hint="eastAsia" w:ascii="宋体" w:hAnsi="宋体" w:eastAsia="宋体" w:cs="宋体"/>
          <w:b/>
          <w:bCs/>
          <w:sz w:val="24"/>
        </w:rPr>
        <w:t>投诉</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投标人和其他利害关系人认为本次招标活动违反法律、法规和规章规定的，有权向有关行政监督部门投诉。</w:t>
      </w:r>
    </w:p>
    <w:p>
      <w:pPr>
        <w:spacing w:line="560" w:lineRule="exact"/>
        <w:ind w:firstLine="482" w:firstLineChars="200"/>
        <w:rPr>
          <w:rFonts w:hint="eastAsia" w:ascii="宋体" w:hAnsi="宋体" w:eastAsia="宋体" w:cs="宋体"/>
          <w:b/>
          <w:bCs/>
          <w:sz w:val="24"/>
        </w:rPr>
      </w:pPr>
      <w:r>
        <w:rPr>
          <w:rFonts w:hint="eastAsia" w:ascii="宋体" w:hAnsi="宋体" w:eastAsia="宋体" w:cs="宋体"/>
          <w:b/>
          <w:bCs/>
          <w:sz w:val="24"/>
        </w:rPr>
        <w:t>10.需要补充的其他内容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需要补充的其他内容：见投标人须知前附表。</w:t>
      </w:r>
    </w:p>
    <w:p>
      <w:pPr>
        <w:pStyle w:val="2"/>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rPr>
          <w:rFonts w:hint="eastAsia"/>
        </w:rPr>
      </w:pPr>
    </w:p>
    <w:p>
      <w:pPr>
        <w:pStyle w:val="2"/>
        <w:rPr>
          <w:rFonts w:hint="eastAsia" w:asciiTheme="minorEastAsia" w:hAnsiTheme="minorEastAsia" w:eastAsiaTheme="minorEastAsia" w:cstheme="minorEastAsia"/>
          <w:sz w:val="21"/>
          <w:szCs w:val="21"/>
        </w:rPr>
      </w:pPr>
    </w:p>
    <w:p>
      <w:pPr>
        <w:rPr>
          <w:rFonts w:hint="eastAsia"/>
        </w:rPr>
      </w:pPr>
    </w:p>
    <w:p>
      <w:pPr>
        <w:spacing w:line="700" w:lineRule="exact"/>
        <w:jc w:val="center"/>
        <w:outlineLvl w:val="0"/>
        <w:rPr>
          <w:b/>
          <w:bCs/>
          <w:sz w:val="44"/>
          <w:szCs w:val="44"/>
        </w:rPr>
      </w:pPr>
      <w:bookmarkStart w:id="9" w:name="_Toc19012"/>
      <w:bookmarkStart w:id="10" w:name="_Toc7582"/>
      <w:bookmarkStart w:id="11" w:name="_Toc2960"/>
      <w:bookmarkStart w:id="12" w:name="_Toc18524_WPSOffice_Level1"/>
      <w:r>
        <w:rPr>
          <w:rFonts w:hint="eastAsia"/>
          <w:b/>
          <w:bCs/>
          <w:sz w:val="44"/>
          <w:szCs w:val="44"/>
        </w:rPr>
        <w:t>第三章 评标办法</w:t>
      </w:r>
      <w:bookmarkEnd w:id="9"/>
      <w:bookmarkEnd w:id="10"/>
      <w:bookmarkEnd w:id="11"/>
      <w:bookmarkEnd w:id="12"/>
    </w:p>
    <w:p>
      <w:pPr>
        <w:spacing w:line="700" w:lineRule="exact"/>
        <w:jc w:val="center"/>
        <w:rPr>
          <w:b/>
          <w:bCs/>
          <w:sz w:val="24"/>
        </w:rPr>
      </w:pPr>
      <w:r>
        <w:rPr>
          <w:rFonts w:hint="eastAsia"/>
          <w:b/>
          <w:bCs/>
          <w:sz w:val="24"/>
        </w:rPr>
        <w:t>评标办法前附表</w:t>
      </w:r>
    </w:p>
    <w:tbl>
      <w:tblPr>
        <w:tblStyle w:val="16"/>
        <w:tblpPr w:leftFromText="180" w:rightFromText="180" w:vertAnchor="text" w:horzAnchor="page" w:tblpX="997" w:tblpY="251"/>
        <w:tblOverlap w:val="never"/>
        <w:tblW w:w="969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1143"/>
        <w:gridCol w:w="2382"/>
        <w:gridCol w:w="54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825" w:type="dxa"/>
            <w:gridSpan w:val="2"/>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rPr>
            </w:pPr>
            <w:r>
              <w:rPr>
                <w:rFonts w:hint="eastAsia" w:ascii="宋体" w:hAnsi="宋体" w:eastAsia="宋体" w:cs="宋体"/>
                <w:b/>
                <w:bCs/>
                <w:sz w:val="24"/>
              </w:rPr>
              <w:t>条款号</w:t>
            </w: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rPr>
            </w:pPr>
            <w:r>
              <w:rPr>
                <w:rFonts w:hint="eastAsia" w:ascii="宋体" w:hAnsi="宋体" w:eastAsia="宋体" w:cs="宋体"/>
                <w:b/>
                <w:bCs/>
                <w:sz w:val="24"/>
              </w:rPr>
              <w:t>评审因素</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rPr>
            </w:pPr>
            <w:r>
              <w:rPr>
                <w:rFonts w:hint="eastAsia" w:ascii="宋体" w:hAnsi="宋体" w:eastAsia="宋体" w:cs="宋体"/>
                <w:b/>
                <w:bCs/>
                <w:sz w:val="24"/>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6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1.1</w:t>
            </w:r>
          </w:p>
        </w:tc>
        <w:tc>
          <w:tcPr>
            <w:tcW w:w="1143"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评标办法</w:t>
            </w: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中标候选人排序方法</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表明排序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2.1.1</w:t>
            </w:r>
          </w:p>
        </w:tc>
        <w:tc>
          <w:tcPr>
            <w:tcW w:w="1143" w:type="dxa"/>
            <w:vMerge w:val="restar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形式性评审标准</w:t>
            </w: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证书的有效性</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营业执照或事业单位登记证书、资质证书齐全且在有效期内，营业执照、资质证书载明的企业名称和投标人名称一致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68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投标文件签字盖章</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按照招标文件要求签字盖章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68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投标文件格式内容的有效性</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投标文件的内容组成齐全且符合招标文件第六章“投标文件格式”的要求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bookmarkStart w:id="13" w:name="OLE_LINK1"/>
            <w:r>
              <w:rPr>
                <w:rFonts w:hint="eastAsia" w:ascii="宋体" w:hAnsi="宋体" w:eastAsia="宋体" w:cs="宋体"/>
                <w:sz w:val="21"/>
                <w:szCs w:val="21"/>
              </w:rPr>
              <w:t>联合体投标人</w:t>
            </w:r>
            <w:bookmarkEnd w:id="13"/>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不接受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tcBorders>
              <w:top w:val="nil"/>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nil"/>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报价的唯一性和有效性</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报价形式符合要求且唯一，不高于最高投标限价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682"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2.1.2</w:t>
            </w:r>
          </w:p>
        </w:tc>
        <w:tc>
          <w:tcPr>
            <w:tcW w:w="1143"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资格评审标准</w:t>
            </w: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投标人营业执照或事业单位登记证书</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资质要求</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zh-CN"/>
              </w:rPr>
            </w:pPr>
            <w:r>
              <w:rPr>
                <w:rFonts w:hint="eastAsia" w:ascii="宋体" w:hAnsi="宋体" w:eastAsia="宋体" w:cs="宋体"/>
                <w:sz w:val="21"/>
                <w:szCs w:val="21"/>
              </w:rPr>
              <w:t>项目总负责人</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zh-CN"/>
              </w:rPr>
            </w:pPr>
            <w:r>
              <w:rPr>
                <w:rFonts w:hint="eastAsia" w:ascii="宋体" w:hAnsi="宋体" w:eastAsia="宋体" w:cs="宋体"/>
                <w:sz w:val="21"/>
                <w:szCs w:val="21"/>
              </w:rPr>
              <w:t>各专业团队负责人</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zh-CN"/>
              </w:rPr>
            </w:pPr>
            <w:r>
              <w:rPr>
                <w:rFonts w:hint="eastAsia" w:ascii="宋体" w:hAnsi="宋体" w:eastAsia="宋体" w:cs="宋体"/>
                <w:sz w:val="21"/>
                <w:szCs w:val="21"/>
              </w:rPr>
              <w:t>财务要求</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纳税及社保</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信用查询</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符合第一章“招标公告”第三</w:t>
            </w:r>
            <w:r>
              <w:rPr>
                <w:rFonts w:hint="eastAsia" w:ascii="宋体" w:hAnsi="宋体" w:eastAsia="宋体" w:cs="宋体"/>
                <w:sz w:val="21"/>
                <w:szCs w:val="21"/>
                <w:lang w:val="en-US" w:eastAsia="zh-CN"/>
              </w:rPr>
              <w:t>条</w:t>
            </w:r>
            <w:r>
              <w:rPr>
                <w:rFonts w:hint="eastAsia" w:ascii="宋体" w:hAnsi="宋体" w:eastAsia="宋体" w:cs="宋体"/>
                <w:sz w:val="21"/>
                <w:szCs w:val="21"/>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其他要求</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符合招标文件的规定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2.1.3</w:t>
            </w:r>
          </w:p>
        </w:tc>
        <w:tc>
          <w:tcPr>
            <w:tcW w:w="1143"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响应性评审标准</w:t>
            </w: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投标范围</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符合第二章“投标人须知”的第1.3.1款规定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服务期限</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符合第二章“投标人须知”的第1.3.2款规定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建设目标</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符合第二章“投标人须知”的第1.3.3款规定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投标报价</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符合第二章“投标人须知”的第3.2款规定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1143"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p>
        </w:tc>
        <w:tc>
          <w:tcPr>
            <w:tcW w:w="238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投标有效期</w:t>
            </w:r>
          </w:p>
        </w:tc>
        <w:tc>
          <w:tcPr>
            <w:tcW w:w="5483"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jc w:val="left"/>
              <w:textAlignment w:val="auto"/>
              <w:rPr>
                <w:rFonts w:hint="eastAsia" w:ascii="宋体" w:hAnsi="宋体" w:eastAsia="宋体" w:cs="宋体"/>
                <w:sz w:val="21"/>
                <w:szCs w:val="21"/>
              </w:rPr>
            </w:pPr>
            <w:r>
              <w:rPr>
                <w:rFonts w:hint="eastAsia" w:ascii="宋体" w:hAnsi="宋体" w:eastAsia="宋体" w:cs="宋体"/>
                <w:sz w:val="21"/>
                <w:szCs w:val="21"/>
              </w:rPr>
              <w:t>符合第二章“投标人须知”第3.3.1款的规定</w:t>
            </w:r>
          </w:p>
        </w:tc>
      </w:tr>
    </w:tbl>
    <w:tbl>
      <w:tblPr>
        <w:tblStyle w:val="16"/>
        <w:tblpPr w:leftFromText="180" w:rightFromText="180" w:vertAnchor="text" w:horzAnchor="page" w:tblpX="1006" w:tblpY="663"/>
        <w:tblOverlap w:val="never"/>
        <w:tblW w:w="97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6"/>
        <w:gridCol w:w="1028"/>
        <w:gridCol w:w="1930"/>
        <w:gridCol w:w="6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70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1"/>
                <w:szCs w:val="21"/>
              </w:rPr>
            </w:pPr>
            <w:r>
              <w:rPr>
                <w:rFonts w:hint="eastAsia"/>
                <w:b/>
                <w:bCs/>
                <w:sz w:val="21"/>
                <w:szCs w:val="21"/>
              </w:rPr>
              <w:t>条款号</w:t>
            </w:r>
          </w:p>
        </w:tc>
        <w:tc>
          <w:tcPr>
            <w:tcW w:w="2958"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1"/>
                <w:szCs w:val="21"/>
              </w:rPr>
            </w:pPr>
            <w:r>
              <w:rPr>
                <w:rFonts w:hint="eastAsia"/>
                <w:b/>
                <w:bCs/>
                <w:sz w:val="21"/>
                <w:szCs w:val="21"/>
              </w:rPr>
              <w:t>评审因素</w:t>
            </w:r>
          </w:p>
        </w:tc>
        <w:tc>
          <w:tcPr>
            <w:tcW w:w="60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1"/>
                <w:szCs w:val="21"/>
              </w:rPr>
            </w:pPr>
            <w:r>
              <w:rPr>
                <w:rFonts w:hint="eastAsia"/>
                <w:b/>
                <w:bCs/>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.1</w:t>
            </w:r>
          </w:p>
        </w:tc>
        <w:tc>
          <w:tcPr>
            <w:tcW w:w="2958" w:type="dxa"/>
            <w:gridSpan w:val="2"/>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分值构成</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（总分100分）</w:t>
            </w:r>
          </w:p>
        </w:tc>
        <w:tc>
          <w:tcPr>
            <w:tcW w:w="6050" w:type="dxa"/>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商务标： 30分；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技术标： 38分；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综合标： 32分</w:t>
            </w:r>
            <w:r>
              <w:rPr>
                <w:rFonts w:hint="eastAsia" w:asciiTheme="minorEastAsia" w:hAnsiTheme="minorEastAsia" w:eastAsiaTheme="minorEastAsia" w:cstheme="minor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.2</w:t>
            </w:r>
          </w:p>
        </w:tc>
        <w:tc>
          <w:tcPr>
            <w:tcW w:w="2958" w:type="dxa"/>
            <w:gridSpan w:val="2"/>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评标基准价计算方法</w:t>
            </w:r>
          </w:p>
        </w:tc>
        <w:tc>
          <w:tcPr>
            <w:tcW w:w="6050" w:type="dxa"/>
          </w:tcPr>
          <w:p>
            <w:pPr>
              <w:spacing w:line="500" w:lineRule="exact"/>
              <w:ind w:firstLine="211" w:firstLineChars="100"/>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评标基准价＝招标控制价×50%+各有效投标人的投标报价的算术平均值×50%</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招标控制价的100%（含100%）~95%（含95%）区间为有效投标人投标报价参与算数平均值计取，都不在区间则以招标人招标控制价为评标基准价。</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有效投标报价：①不高于招标控制价；②通过评委组的初步评审未按废标处理；③投标人的投标报价明显低于其他投标报价时,该投标人作出书面说明和提供相关的证明材料。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.3</w:t>
            </w:r>
          </w:p>
        </w:tc>
        <w:tc>
          <w:tcPr>
            <w:tcW w:w="2958" w:type="dxa"/>
            <w:gridSpan w:val="2"/>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投标报价的偏差率计算公式</w:t>
            </w:r>
          </w:p>
        </w:tc>
        <w:tc>
          <w:tcPr>
            <w:tcW w:w="6050" w:type="dxa"/>
          </w:tcPr>
          <w:p>
            <w:pPr>
              <w:spacing w:line="500" w:lineRule="exact"/>
              <w:ind w:firstLine="210" w:firstLineChars="1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偏差率=（投标人投标报价一评标基准价）/评标基准价×l00%偏差率计算保留小数点后两位，小数点后第三位“四舍五入”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.4（1）</w:t>
            </w:r>
          </w:p>
        </w:tc>
        <w:tc>
          <w:tcPr>
            <w:tcW w:w="2958" w:type="dxa"/>
            <w:gridSpan w:val="2"/>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商务标评分标准</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（30分）</w:t>
            </w:r>
          </w:p>
        </w:tc>
        <w:tc>
          <w:tcPr>
            <w:tcW w:w="6050" w:type="dxa"/>
          </w:tcPr>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1、投标人的评标报价与评标基准价相比，相等的得30分。</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2、有效投标人的评标报价高于评标基准价时，每高1%的在30分基础上扣1分，扣完为止。</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3、有效投标人的评标报价低于评标基准价时，每低1%的在30分基础上扣1分，扣完为止。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4" w:hRule="atLeast"/>
        </w:trPr>
        <w:tc>
          <w:tcPr>
            <w:tcW w:w="706" w:type="dxa"/>
            <w:vMerge w:val="restart"/>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.4</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028" w:type="dxa"/>
            <w:vMerge w:val="restart"/>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技术标评分标准</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（38分）</w:t>
            </w:r>
          </w:p>
        </w:tc>
        <w:tc>
          <w:tcPr>
            <w:tcW w:w="1930"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1、全过程工程咨询服务方案（</w:t>
            </w: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 w:val="21"/>
                <w:szCs w:val="21"/>
              </w:rPr>
              <w:t>分）</w:t>
            </w:r>
          </w:p>
        </w:tc>
        <w:tc>
          <w:tcPr>
            <w:tcW w:w="6050" w:type="dxa"/>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1、全过程工程咨询服务方案内容齐全、重点突出，针对性强，得7-9分；</w:t>
            </w:r>
          </w:p>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2、全过程工程咨询服务方案内容较完整、重点突出性一般、针对性一般，得4-7分；</w:t>
            </w:r>
          </w:p>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3、全过程工程咨询服务方案内容不全、结构不完整、重点不突出、针对性差，得0-4分。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shd w:val="clear" w:color="auto" w:fill="FFFFFF"/>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pStyle w:val="27"/>
              <w:spacing w:line="500" w:lineRule="exact"/>
              <w:ind w:left="113"/>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项目管理方案</w:t>
            </w:r>
          </w:p>
          <w:p>
            <w:pPr>
              <w:pStyle w:val="27"/>
              <w:spacing w:line="500" w:lineRule="exact"/>
              <w:ind w:left="113"/>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分）</w:t>
            </w:r>
          </w:p>
        </w:tc>
        <w:tc>
          <w:tcPr>
            <w:tcW w:w="6050" w:type="dxa"/>
            <w:vAlign w:val="center"/>
          </w:tcPr>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1、项目管理方案内容齐全、重点突出，针对性强，得4-7分；</w:t>
            </w:r>
          </w:p>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2、项目管理方案内容较完整、重点突出性一般、针对性一般，得2-4分；</w:t>
            </w:r>
          </w:p>
          <w:p>
            <w:pPr>
              <w:keepNext w:val="0"/>
              <w:keepLines w:val="0"/>
              <w:pageBreakBefore w:val="0"/>
              <w:widowControl w:val="0"/>
              <w:kinsoku/>
              <w:wordWrap/>
              <w:overflowPunct/>
              <w:topLinePunct w:val="0"/>
              <w:autoSpaceDE/>
              <w:autoSpaceDN/>
              <w:bidi w:val="0"/>
              <w:adjustRightInd/>
              <w:snapToGrid/>
              <w:spacing w:line="500" w:lineRule="exact"/>
              <w:ind w:firstLine="210" w:firstLineChars="1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3、项目管理方案内容不全、结构不完整、重点不突出、针对性差，得0-2分。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shd w:val="clear" w:color="auto" w:fill="FFFFFF"/>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pStyle w:val="27"/>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工程监理方案</w:t>
            </w:r>
          </w:p>
          <w:p>
            <w:pPr>
              <w:pStyle w:val="27"/>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分）</w:t>
            </w:r>
          </w:p>
        </w:tc>
        <w:tc>
          <w:tcPr>
            <w:tcW w:w="6050" w:type="dxa"/>
            <w:vAlign w:val="center"/>
          </w:tcPr>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1、工程监理方案内容齐全、重点突出，针对性强，得4-7分；</w:t>
            </w:r>
          </w:p>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2、工程监理方案内容较完整、重点突出性一般、针对性一般，得2-4分；</w:t>
            </w:r>
          </w:p>
          <w:p>
            <w:pPr>
              <w:pStyle w:val="27"/>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lang w:val="en-US" w:eastAsia="zh-CN" w:bidi="ar-SA"/>
              </w:rPr>
              <w:t>3、工程监理方案内容不全、结构不完整、重点不突出、针对性差，得0-2分。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shd w:val="clear" w:color="auto" w:fill="FFFFFF"/>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pStyle w:val="27"/>
              <w:spacing w:line="500" w:lineRule="exact"/>
              <w:ind w:left="113"/>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rPr>
              <w:t>工程</w:t>
            </w:r>
            <w:r>
              <w:rPr>
                <w:rFonts w:hint="eastAsia" w:asciiTheme="minorEastAsia" w:hAnsiTheme="minorEastAsia" w:eastAsiaTheme="minorEastAsia" w:cstheme="minorEastAsia"/>
                <w:sz w:val="21"/>
                <w:szCs w:val="21"/>
              </w:rPr>
              <w:t>造价</w:t>
            </w:r>
          </w:p>
          <w:p>
            <w:pPr>
              <w:pStyle w:val="27"/>
              <w:spacing w:line="500" w:lineRule="exact"/>
              <w:ind w:left="113"/>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咨询方案</w:t>
            </w:r>
          </w:p>
          <w:p>
            <w:pPr>
              <w:pStyle w:val="27"/>
              <w:spacing w:line="500" w:lineRule="exact"/>
              <w:ind w:left="113"/>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分）</w:t>
            </w:r>
          </w:p>
        </w:tc>
        <w:tc>
          <w:tcPr>
            <w:tcW w:w="6050" w:type="dxa"/>
            <w:vAlign w:val="center"/>
          </w:tcPr>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1、工程造价咨询工作方案内容齐全、重点突出，针对性强，得4-7分；</w:t>
            </w:r>
          </w:p>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2、工程造价咨询工作方案内容较完整、重点突出性一般、针对性一般，得2-4分；</w:t>
            </w:r>
          </w:p>
          <w:p>
            <w:pPr>
              <w:pStyle w:val="27"/>
              <w:spacing w:line="500" w:lineRule="exact"/>
              <w:ind w:left="11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lang w:val="en-US" w:eastAsia="zh-CN" w:bidi="ar-SA"/>
              </w:rPr>
              <w:t>3、工程造价咨询工作方案内容不全、结构不完整、重点不突出、针对性差，得0-2分。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shd w:val="clear" w:color="auto" w:fill="FFFFFF"/>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pStyle w:val="27"/>
              <w:spacing w:line="500" w:lineRule="exact"/>
              <w:ind w:left="111"/>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采购管理方案</w:t>
            </w:r>
          </w:p>
          <w:p>
            <w:pPr>
              <w:pStyle w:val="27"/>
              <w:spacing w:line="500" w:lineRule="exact"/>
              <w:ind w:left="111"/>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（6分）</w:t>
            </w:r>
          </w:p>
        </w:tc>
        <w:tc>
          <w:tcPr>
            <w:tcW w:w="6050" w:type="dxa"/>
            <w:vAlign w:val="center"/>
          </w:tcPr>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1、采购管理方案内容齐全、重点突出，针对性强，得4-6分；</w:t>
            </w:r>
          </w:p>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2、采购管理方案内容较完整、重点突出性一般、针对性一般，得2-4分；</w:t>
            </w:r>
          </w:p>
          <w:p>
            <w:pPr>
              <w:pStyle w:val="27"/>
              <w:spacing w:line="500" w:lineRule="exact"/>
              <w:ind w:left="111"/>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3、采购管理方案内容不全、结构不完整、重点不突出、针对性差，得0-2分。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合理化建议</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分 ）</w:t>
            </w:r>
          </w:p>
        </w:tc>
        <w:tc>
          <w:tcPr>
            <w:tcW w:w="6050" w:type="dxa"/>
          </w:tcPr>
          <w:p>
            <w:pPr>
              <w:spacing w:line="500" w:lineRule="exact"/>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项目合理化建议：对项目管理、工程造价咨询、工程监理</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lang w:val="en-US" w:eastAsia="zh-CN"/>
              </w:rPr>
              <w:t>采购管理</w:t>
            </w:r>
            <w:r>
              <w:rPr>
                <w:rFonts w:hint="eastAsia" w:asciiTheme="minorEastAsia" w:hAnsiTheme="minorEastAsia" w:eastAsiaTheme="minorEastAsia" w:cstheme="minorEastAsia"/>
                <w:b/>
                <w:bCs/>
                <w:sz w:val="21"/>
                <w:szCs w:val="21"/>
              </w:rPr>
              <w:t>等方面的合理化建议（</w:t>
            </w:r>
            <w:r>
              <w:rPr>
                <w:rFonts w:hint="eastAsia" w:asciiTheme="minorEastAsia" w:hAnsiTheme="minorEastAsia" w:eastAsiaTheme="minorEastAsia" w:cstheme="minorEastAsia"/>
                <w:b/>
                <w:bCs/>
                <w:sz w:val="21"/>
                <w:szCs w:val="21"/>
                <w:lang w:val="en-US" w:eastAsia="zh-CN"/>
              </w:rPr>
              <w:t>2</w:t>
            </w:r>
            <w:r>
              <w:rPr>
                <w:rFonts w:hint="eastAsia" w:asciiTheme="minorEastAsia" w:hAnsiTheme="minorEastAsia" w:eastAsiaTheme="minorEastAsia" w:cstheme="minorEastAsia"/>
                <w:b/>
                <w:bCs/>
                <w:sz w:val="21"/>
                <w:szCs w:val="21"/>
              </w:rPr>
              <w:t>分）</w:t>
            </w:r>
          </w:p>
          <w:p>
            <w:pPr>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lang w:val="en-US" w:eastAsia="zh-CN" w:bidi="ar-SA"/>
              </w:rPr>
              <w:t>根据合理化建议的全面性、合理性、可行性打分，满足要求得1分，优秀得 1-2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restart"/>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.4（3）</w:t>
            </w:r>
          </w:p>
        </w:tc>
        <w:tc>
          <w:tcPr>
            <w:tcW w:w="1028" w:type="dxa"/>
            <w:vMerge w:val="restart"/>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综合标</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（32分）</w:t>
            </w:r>
          </w:p>
        </w:tc>
        <w:tc>
          <w:tcPr>
            <w:tcW w:w="1930"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企业业绩</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（10分）</w:t>
            </w:r>
          </w:p>
        </w:tc>
        <w:tc>
          <w:tcPr>
            <w:tcW w:w="6050" w:type="dxa"/>
          </w:tcPr>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1、投标人自 2019 年 1 月 1 日以来承接过总投资不低于1亿元（含）或总建筑面积不低于2万平方米的全过程工程咨询服务业绩的，每有1项得2分，最高得4分</w:t>
            </w:r>
            <w:r>
              <w:rPr>
                <w:rFonts w:hint="eastAsia" w:asciiTheme="minorEastAsia" w:hAnsiTheme="minorEastAsia" w:eastAsiaTheme="minorEastAsia" w:cstheme="minorEastAsia"/>
                <w:b/>
                <w:bCs/>
                <w:sz w:val="21"/>
                <w:szCs w:val="21"/>
              </w:rPr>
              <w:t>（需提供中标通知书、合同协议书、中标公示的网页截图，以合同签订时间为准）</w:t>
            </w:r>
            <w:r>
              <w:rPr>
                <w:rFonts w:hint="eastAsia" w:asciiTheme="minorEastAsia" w:hAnsiTheme="minorEastAsia" w:eastAsiaTheme="minorEastAsia" w:cstheme="minorEastAsia"/>
                <w:sz w:val="21"/>
                <w:szCs w:val="21"/>
              </w:rPr>
              <w:t>。</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2、投标人自 2019 年 1 月 1 日以来承接过工业厂房类总投资不低于1亿元（含）或总建筑面积不低于2万平方米的全过程工程咨询服务业绩的，每有1项得2分，最高得2分</w:t>
            </w:r>
            <w:r>
              <w:rPr>
                <w:rFonts w:hint="eastAsia" w:asciiTheme="minorEastAsia" w:hAnsiTheme="minorEastAsia" w:eastAsiaTheme="minorEastAsia" w:cstheme="minorEastAsia"/>
                <w:b/>
                <w:bCs/>
                <w:sz w:val="21"/>
                <w:szCs w:val="21"/>
              </w:rPr>
              <w:t>（需提供中标通知书、合同协议书、中标公示的网页截图，以合同签订时间为准）</w:t>
            </w:r>
            <w:r>
              <w:rPr>
                <w:rFonts w:hint="eastAsia" w:asciiTheme="minorEastAsia" w:hAnsiTheme="minorEastAsia" w:eastAsiaTheme="minorEastAsia" w:cstheme="minorEastAsia"/>
                <w:sz w:val="21"/>
                <w:szCs w:val="21"/>
              </w:rPr>
              <w:t>。</w:t>
            </w:r>
          </w:p>
          <w:p>
            <w:pPr>
              <w:pStyle w:val="3"/>
              <w:autoSpaceDE/>
              <w:autoSpaceDN/>
              <w:adjustRightInd/>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3、投标人自 2019 年 1 月 1 日以来承接过工业厂房类总投资不低于1亿元（含）或总建筑面积不低于2万平方米的工程监理业绩的，每有1项得2分，最高得2分</w:t>
            </w:r>
            <w:r>
              <w:rPr>
                <w:rFonts w:hint="eastAsia" w:asciiTheme="minorEastAsia" w:hAnsiTheme="minorEastAsia" w:eastAsiaTheme="minorEastAsia" w:cstheme="minorEastAsia"/>
                <w:b/>
                <w:bCs/>
                <w:color w:val="auto"/>
                <w:kern w:val="2"/>
                <w:sz w:val="21"/>
                <w:szCs w:val="21"/>
              </w:rPr>
              <w:t>（需提供中标通知书、合同协议书、中标公示的网页截图，以合同签订时间为准）</w:t>
            </w:r>
            <w:r>
              <w:rPr>
                <w:rFonts w:hint="eastAsia" w:asciiTheme="minorEastAsia" w:hAnsiTheme="minorEastAsia" w:eastAsiaTheme="minorEastAsia" w:cstheme="minorEastAsia"/>
                <w:sz w:val="21"/>
                <w:szCs w:val="21"/>
              </w:rPr>
              <w:t>。</w:t>
            </w:r>
          </w:p>
          <w:p>
            <w:pPr>
              <w:pStyle w:val="3"/>
              <w:autoSpaceDE/>
              <w:autoSpaceDN/>
              <w:adjustRightInd/>
              <w:spacing w:line="500" w:lineRule="exact"/>
              <w:ind w:firstLine="210" w:firstLineChars="100"/>
              <w:rPr>
                <w:rFonts w:hint="eastAsia"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sz w:val="21"/>
                <w:szCs w:val="21"/>
              </w:rPr>
              <w:t>4、投标人自2019年1月1日以来承接过总投资不低于1亿元（含）或</w:t>
            </w:r>
            <w:r>
              <w:rPr>
                <w:rFonts w:hint="eastAsia" w:asciiTheme="minorEastAsia" w:hAnsiTheme="minorEastAsia" w:eastAsiaTheme="minorEastAsia" w:cstheme="minorEastAsia"/>
                <w:color w:val="auto"/>
                <w:kern w:val="2"/>
                <w:sz w:val="21"/>
                <w:szCs w:val="21"/>
              </w:rPr>
              <w:t>总建筑面积2万平方米及以上造价咨询服务业绩的，每有1项得2分，最多得2分</w:t>
            </w:r>
            <w:r>
              <w:rPr>
                <w:rFonts w:hint="eastAsia" w:asciiTheme="minorEastAsia" w:hAnsiTheme="minorEastAsia" w:eastAsiaTheme="minorEastAsia" w:cstheme="minorEastAsia"/>
                <w:b/>
                <w:bCs/>
                <w:color w:val="auto"/>
                <w:kern w:val="2"/>
                <w:sz w:val="21"/>
                <w:szCs w:val="21"/>
              </w:rPr>
              <w:t>（需提供中标通知书、合同协议书、中标公示的网页截图，以合同签订时间为准）</w:t>
            </w:r>
            <w:r>
              <w:rPr>
                <w:rFonts w:hint="eastAsia" w:asciiTheme="minorEastAsia" w:hAnsiTheme="minorEastAsia" w:eastAsiaTheme="minorEastAsia" w:cstheme="minorEastAsia"/>
                <w:sz w:val="21"/>
                <w:szCs w:val="21"/>
              </w:rPr>
              <w:t>。</w:t>
            </w:r>
          </w:p>
          <w:p>
            <w:pPr>
              <w:pStyle w:val="3"/>
              <w:autoSpaceDE/>
              <w:autoSpaceDN/>
              <w:adjustRightInd/>
              <w:spacing w:line="500" w:lineRule="exact"/>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rPr>
              <w:t>注：</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lang w:val="en-US" w:eastAsia="zh-CN"/>
              </w:rPr>
              <w:t>1</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rPr>
              <w:t>全过</w:t>
            </w:r>
            <w:r>
              <w:rPr>
                <w:rFonts w:hint="eastAsia" w:asciiTheme="minorEastAsia" w:hAnsiTheme="minorEastAsia" w:eastAsiaTheme="minorEastAsia" w:cstheme="minorEastAsia"/>
                <w:b/>
                <w:bCs/>
                <w:sz w:val="21"/>
                <w:szCs w:val="21"/>
                <w:lang w:val="en-US" w:eastAsia="zh-CN"/>
              </w:rPr>
              <w:t>程咨询服务业绩可为联合体形式共同承接；</w:t>
            </w:r>
          </w:p>
          <w:p>
            <w:pPr>
              <w:pStyle w:val="3"/>
              <w:autoSpaceDE/>
              <w:autoSpaceDN/>
              <w:adjustRightInd/>
              <w:spacing w:line="500" w:lineRule="exact"/>
              <w:ind w:firstLine="422" w:firstLineChars="200"/>
              <w:rPr>
                <w:rFonts w:hint="eastAsia" w:asciiTheme="minorEastAsia" w:hAnsiTheme="minorEastAsia" w:eastAsiaTheme="minorEastAsia" w:cstheme="minorEastAsia"/>
                <w:sz w:val="21"/>
                <w:szCs w:val="21"/>
                <w:lang w:val="en-US" w:bidi="ar-SA"/>
              </w:rPr>
            </w:pPr>
            <w:r>
              <w:rPr>
                <w:rFonts w:hint="eastAsia" w:asciiTheme="minorEastAsia" w:hAnsiTheme="minorEastAsia" w:eastAsiaTheme="minorEastAsia" w:cstheme="minorEastAsia"/>
                <w:b/>
                <w:bCs/>
                <w:sz w:val="21"/>
                <w:szCs w:val="21"/>
                <w:lang w:val="en-US" w:eastAsia="zh-CN"/>
              </w:rPr>
              <w:t>（2）以上各类业绩不可重复使用。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706" w:type="dxa"/>
            <w:vMerge w:val="continue"/>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企业信誉及人员荣誉（10分）</w:t>
            </w:r>
          </w:p>
        </w:tc>
        <w:tc>
          <w:tcPr>
            <w:tcW w:w="6050" w:type="dxa"/>
          </w:tcPr>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1、投标人具有有效期内的ISO质量管理体系认证、职业健康管理体系认证、环境管理体系认证，得3分，缺项不得分</w:t>
            </w:r>
            <w:r>
              <w:rPr>
                <w:rFonts w:hint="eastAsia" w:asciiTheme="minorEastAsia" w:hAnsiTheme="minorEastAsia" w:eastAsiaTheme="minorEastAsia" w:cstheme="minorEastAsia"/>
                <w:b/>
                <w:bCs/>
                <w:sz w:val="21"/>
                <w:szCs w:val="21"/>
              </w:rPr>
              <w:t>（须在投标文件中附证书原件的扫描件，否则不得分）。</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2、投标人获得AAA级信用等级且有效期内的得2分，AA级及以下不得分</w:t>
            </w:r>
            <w:r>
              <w:rPr>
                <w:rFonts w:hint="eastAsia" w:asciiTheme="minorEastAsia" w:hAnsiTheme="minorEastAsia" w:eastAsiaTheme="minorEastAsia" w:cstheme="minorEastAsia"/>
                <w:b/>
                <w:bCs/>
                <w:sz w:val="21"/>
                <w:szCs w:val="21"/>
              </w:rPr>
              <w:t>（投标文件中附证书扫描件，时间必须在有效期内，否则不得分）。</w:t>
            </w:r>
          </w:p>
          <w:p>
            <w:pPr>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3、投标人2019年1月1日（以获奖文件或获奖证书发证日期为准）以来监理的项目获得过省级质量奖得1分；国家级质量奖项（国家优质工程奖或鲁班奖）的得3分，本项最多得3分</w:t>
            </w:r>
            <w:r>
              <w:rPr>
                <w:rFonts w:hint="eastAsia" w:asciiTheme="minorEastAsia" w:hAnsiTheme="minorEastAsia" w:eastAsiaTheme="minorEastAsia" w:cstheme="minorEastAsia"/>
                <w:b/>
                <w:bCs/>
                <w:sz w:val="21"/>
                <w:szCs w:val="21"/>
              </w:rPr>
              <w:t>（投标文件中须附获奖文件、获奖证书的扫描件，否则不得分）。</w:t>
            </w:r>
          </w:p>
          <w:p>
            <w:pPr>
              <w:pStyle w:val="3"/>
              <w:autoSpaceDE/>
              <w:autoSpaceDN/>
              <w:adjustRightInd/>
              <w:spacing w:line="500" w:lineRule="exact"/>
              <w:ind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auto"/>
                <w:kern w:val="2"/>
                <w:sz w:val="21"/>
                <w:szCs w:val="21"/>
              </w:rPr>
              <w:t>4、2019年1月1日以来（以发证时间为准）企业获得省级优秀工程监理企业或诚信建设先进企业的，每有一个得2分，最多得2分</w:t>
            </w:r>
            <w:r>
              <w:rPr>
                <w:rFonts w:hint="eastAsia" w:asciiTheme="minorEastAsia" w:hAnsiTheme="minorEastAsia" w:eastAsiaTheme="minorEastAsia" w:cstheme="minorEastAsia"/>
                <w:b/>
                <w:bCs/>
                <w:color w:val="auto"/>
                <w:kern w:val="2"/>
                <w:sz w:val="21"/>
                <w:szCs w:val="21"/>
              </w:rPr>
              <w:t>（须在投标文件中附证书原件扫描件，并加盖投标单位公章，否则不得分）。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项目团队</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（9分）</w:t>
            </w:r>
          </w:p>
        </w:tc>
        <w:tc>
          <w:tcPr>
            <w:tcW w:w="6050" w:type="dxa"/>
          </w:tcPr>
          <w:p>
            <w:pPr>
              <w:pStyle w:val="27"/>
              <w:spacing w:line="500" w:lineRule="exact"/>
              <w:ind w:firstLine="210" w:firstLineChars="100"/>
              <w:rPr>
                <w:rFonts w:hint="eastAsia" w:asciiTheme="minorEastAsia" w:hAnsiTheme="minorEastAsia" w:eastAsiaTheme="minorEastAsia" w:cstheme="minorEastAsia"/>
                <w:sz w:val="21"/>
                <w:szCs w:val="21"/>
                <w:lang w:val="en-US" w:bidi="ar-SA"/>
              </w:rPr>
            </w:pPr>
            <w:r>
              <w:rPr>
                <w:rFonts w:hint="eastAsia" w:asciiTheme="minorEastAsia" w:hAnsiTheme="minorEastAsia" w:eastAsiaTheme="minorEastAsia" w:cstheme="minorEastAsia"/>
                <w:sz w:val="21"/>
                <w:szCs w:val="21"/>
                <w:lang w:val="en-US" w:bidi="ar-SA"/>
              </w:rPr>
              <w:t>1、拟派驻本项目的总负责人除具有投标人须知前附表中1.4.1条的基本资格外，同时具有基本资格中其他任一国家执业资格证书并具有高级职称的得2分。</w:t>
            </w:r>
          </w:p>
          <w:p>
            <w:pPr>
              <w:pStyle w:val="27"/>
              <w:spacing w:line="500" w:lineRule="exact"/>
              <w:ind w:firstLine="210" w:firstLineChars="100"/>
              <w:rPr>
                <w:rFonts w:hint="eastAsia" w:asciiTheme="minorEastAsia" w:hAnsiTheme="minorEastAsia" w:eastAsiaTheme="minorEastAsia" w:cstheme="minorEastAsia"/>
                <w:sz w:val="21"/>
                <w:szCs w:val="21"/>
                <w:lang w:val="en-US" w:bidi="ar-SA"/>
              </w:rPr>
            </w:pPr>
            <w:r>
              <w:rPr>
                <w:rFonts w:hint="eastAsia" w:asciiTheme="minorEastAsia" w:hAnsiTheme="minorEastAsia" w:eastAsiaTheme="minorEastAsia" w:cstheme="minorEastAsia"/>
                <w:sz w:val="21"/>
                <w:szCs w:val="21"/>
                <w:lang w:val="en-US" w:bidi="ar-SA"/>
              </w:rPr>
              <w:t>2、项目团队中配备安全工程师（具有国家注册安全工程师证书），有</w:t>
            </w:r>
            <w:r>
              <w:rPr>
                <w:rFonts w:hint="eastAsia" w:asciiTheme="minorEastAsia" w:hAnsiTheme="minorEastAsia" w:eastAsiaTheme="minorEastAsia" w:cstheme="minorEastAsia"/>
                <w:sz w:val="21"/>
                <w:szCs w:val="21"/>
                <w:lang w:val="en-US" w:eastAsia="zh-CN" w:bidi="ar-SA"/>
              </w:rPr>
              <w:t>1</w:t>
            </w:r>
            <w:r>
              <w:rPr>
                <w:rFonts w:hint="eastAsia" w:asciiTheme="minorEastAsia" w:hAnsiTheme="minorEastAsia" w:eastAsiaTheme="minorEastAsia" w:cstheme="minorEastAsia"/>
                <w:sz w:val="21"/>
                <w:szCs w:val="21"/>
                <w:lang w:val="en-US" w:bidi="ar-SA"/>
              </w:rPr>
              <w:t>名得1分，最多得1分，没有不得分。</w:t>
            </w:r>
          </w:p>
          <w:p>
            <w:pPr>
              <w:pStyle w:val="27"/>
              <w:spacing w:line="500" w:lineRule="exact"/>
              <w:ind w:firstLine="210" w:firstLineChars="100"/>
              <w:rPr>
                <w:rFonts w:hint="eastAsia" w:asciiTheme="minorEastAsia" w:hAnsiTheme="minorEastAsia" w:eastAsiaTheme="minorEastAsia" w:cstheme="minorEastAsia"/>
                <w:sz w:val="21"/>
                <w:szCs w:val="21"/>
                <w:lang w:val="en-US" w:bidi="ar-SA"/>
              </w:rPr>
            </w:pPr>
            <w:r>
              <w:rPr>
                <w:rFonts w:hint="eastAsia" w:asciiTheme="minorEastAsia" w:hAnsiTheme="minorEastAsia" w:eastAsiaTheme="minorEastAsia" w:cstheme="minorEastAsia"/>
                <w:sz w:val="21"/>
                <w:szCs w:val="21"/>
                <w:lang w:val="en-US" w:bidi="ar-SA"/>
              </w:rPr>
              <w:t>3、项目团队中配备造价工程师（不包含造价咨询团队负责人，具有国家注册造价工程师证书），每有1名得1分，最多得2分，没有不得分。</w:t>
            </w:r>
          </w:p>
          <w:p>
            <w:pPr>
              <w:pStyle w:val="27"/>
              <w:spacing w:line="500" w:lineRule="exact"/>
              <w:ind w:firstLine="210" w:firstLineChars="100"/>
              <w:rPr>
                <w:rFonts w:hint="eastAsia" w:asciiTheme="minorEastAsia" w:hAnsiTheme="minorEastAsia" w:eastAsiaTheme="minorEastAsia" w:cstheme="minorEastAsia"/>
                <w:sz w:val="21"/>
                <w:szCs w:val="21"/>
                <w:lang w:val="en-US" w:bidi="ar-SA"/>
              </w:rPr>
            </w:pPr>
            <w:r>
              <w:rPr>
                <w:rFonts w:hint="eastAsia" w:asciiTheme="minorEastAsia" w:hAnsiTheme="minorEastAsia" w:eastAsiaTheme="minorEastAsia" w:cstheme="minorEastAsia"/>
                <w:sz w:val="21"/>
                <w:szCs w:val="21"/>
                <w:lang w:val="en-US" w:bidi="ar-SA"/>
              </w:rPr>
              <w:t>4、项目团队组成（房屋建筑、机电安装、给排水、测绘、暖通）专业人员齐全得4分，缺一个专业扣1分，扣完为止（以职称证或岗位证或注册证或毕业证上载明专业为准）。</w:t>
            </w:r>
          </w:p>
          <w:p>
            <w:pPr>
              <w:pStyle w:val="27"/>
              <w:spacing w:line="500" w:lineRule="exact"/>
              <w:rPr>
                <w:rFonts w:hint="eastAsia" w:asciiTheme="minorEastAsia" w:hAnsiTheme="minorEastAsia" w:eastAsiaTheme="minorEastAsia" w:cstheme="minorEastAsia"/>
                <w:sz w:val="21"/>
                <w:szCs w:val="21"/>
                <w:lang w:val="en-US" w:bidi="ar-SA"/>
              </w:rPr>
            </w:pPr>
            <w:r>
              <w:rPr>
                <w:rFonts w:hint="eastAsia" w:asciiTheme="minorEastAsia" w:hAnsiTheme="minorEastAsia" w:eastAsiaTheme="minorEastAsia" w:cstheme="minorEastAsia"/>
                <w:b/>
                <w:bCs/>
                <w:sz w:val="21"/>
                <w:szCs w:val="21"/>
                <w:lang w:val="en-US" w:bidi="ar-SA"/>
              </w:rPr>
              <w:t>备注：须在投标文件中附人员证书原件扫描件；且须提供2021年1月1日以来本单位为其缴纳的任意连续六个月的社保证明（至少应包括养老保险），在投标文件中提供社保的个人明细查询单加盖社保部门印章原件扫描件或在社保部门开通的网站打印的社保个人明细查询单加盖投标人公章</w:t>
            </w:r>
            <w:r>
              <w:rPr>
                <w:rFonts w:hint="eastAsia" w:asciiTheme="minorEastAsia" w:hAnsiTheme="minorEastAsia" w:eastAsiaTheme="minorEastAsia" w:cstheme="minorEastAsia"/>
                <w:b/>
                <w:bCs/>
                <w:sz w:val="21"/>
                <w:szCs w:val="21"/>
                <w:lang w:val="en-US" w:eastAsia="zh-CN" w:bidi="ar-SA"/>
              </w:rPr>
              <w:t>，</w:t>
            </w:r>
            <w:r>
              <w:rPr>
                <w:rFonts w:hint="eastAsia" w:asciiTheme="minorEastAsia" w:hAnsiTheme="minorEastAsia" w:eastAsiaTheme="minorEastAsia" w:cstheme="minorEastAsia"/>
                <w:b/>
                <w:bCs/>
                <w:sz w:val="21"/>
                <w:szCs w:val="21"/>
                <w:lang w:val="en-US" w:bidi="ar-SA"/>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706" w:type="dxa"/>
            <w:vMerge w:val="continue"/>
          </w:tcPr>
          <w:p>
            <w:pPr>
              <w:spacing w:line="500" w:lineRule="exact"/>
              <w:jc w:val="center"/>
              <w:rPr>
                <w:rFonts w:hint="eastAsia" w:asciiTheme="minorEastAsia" w:hAnsiTheme="minorEastAsia" w:eastAsiaTheme="minorEastAsia" w:cstheme="minorEastAsia"/>
                <w:sz w:val="21"/>
                <w:szCs w:val="21"/>
              </w:rPr>
            </w:pPr>
          </w:p>
        </w:tc>
        <w:tc>
          <w:tcPr>
            <w:tcW w:w="1028" w:type="dxa"/>
            <w:vMerge w:val="continue"/>
          </w:tcPr>
          <w:p>
            <w:pPr>
              <w:spacing w:line="500" w:lineRule="exact"/>
              <w:jc w:val="center"/>
              <w:rPr>
                <w:rFonts w:hint="eastAsia" w:asciiTheme="minorEastAsia" w:hAnsiTheme="minorEastAsia" w:eastAsiaTheme="minorEastAsia" w:cstheme="minorEastAsia"/>
                <w:sz w:val="21"/>
                <w:szCs w:val="21"/>
              </w:rPr>
            </w:pPr>
          </w:p>
        </w:tc>
        <w:tc>
          <w:tcPr>
            <w:tcW w:w="1930" w:type="dxa"/>
            <w:vAlign w:val="center"/>
          </w:tcPr>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综合评价</w:t>
            </w:r>
          </w:p>
          <w:p>
            <w:pPr>
              <w:spacing w:line="5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（3分）</w:t>
            </w:r>
          </w:p>
        </w:tc>
        <w:tc>
          <w:tcPr>
            <w:tcW w:w="6050" w:type="dxa"/>
          </w:tcPr>
          <w:p>
            <w:pPr>
              <w:spacing w:line="5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由评标委员会根据投标文件编制情况及投标人企业综合实力等情况进行综合评价（0≤得分≤3分）</w:t>
            </w:r>
          </w:p>
        </w:tc>
      </w:tr>
    </w:tbl>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sz w:val="21"/>
          <w:szCs w:val="21"/>
        </w:rPr>
      </w:pPr>
      <w:r>
        <w:rPr>
          <w:rFonts w:hint="eastAsia"/>
          <w:sz w:val="21"/>
          <w:szCs w:val="21"/>
          <w:lang w:val="zh-CN"/>
        </w:rPr>
        <w:t>注：所涉及的所有证件及证明材料均需在投标文件中提供相应原件的扫描件，投标人并确保其真实有效，扫描件清晰可辨。因投标人原因导致应得分项而未得分或资格审查不合格等情况的，由投标人自行承担责任。</w:t>
      </w:r>
    </w:p>
    <w:p>
      <w:pPr>
        <w:spacing w:line="700" w:lineRule="exact"/>
        <w:rPr>
          <w:sz w:val="24"/>
          <w:lang w:val="zh-CN"/>
        </w:rPr>
      </w:pPr>
    </w:p>
    <w:p>
      <w:pPr>
        <w:spacing w:line="500" w:lineRule="exact"/>
        <w:rPr>
          <w:rFonts w:hint="eastAsia" w:asciiTheme="minorEastAsia" w:hAnsiTheme="minorEastAsia" w:eastAsiaTheme="minorEastAsia" w:cstheme="minorEastAsia"/>
          <w:b/>
          <w:bCs/>
          <w:sz w:val="24"/>
          <w:lang w:val="zh-CN"/>
        </w:rPr>
      </w:pPr>
      <w:r>
        <w:rPr>
          <w:rFonts w:hint="eastAsia"/>
          <w:sz w:val="24"/>
          <w:lang w:val="zh-CN"/>
        </w:rPr>
        <w:br w:type="page"/>
      </w:r>
      <w:r>
        <w:rPr>
          <w:rFonts w:hint="eastAsia"/>
          <w:sz w:val="24"/>
        </w:rPr>
        <w:t xml:space="preserve"> </w:t>
      </w:r>
      <w:r>
        <w:rPr>
          <w:rFonts w:hint="eastAsia" w:asciiTheme="minorEastAsia" w:hAnsiTheme="minorEastAsia" w:eastAsiaTheme="minorEastAsia" w:cstheme="minorEastAsia"/>
          <w:b/>
          <w:bCs/>
          <w:sz w:val="24"/>
        </w:rPr>
        <w:t xml:space="preserve">  1、</w:t>
      </w:r>
      <w:r>
        <w:rPr>
          <w:rFonts w:hint="eastAsia" w:asciiTheme="minorEastAsia" w:hAnsiTheme="minorEastAsia" w:eastAsiaTheme="minorEastAsia" w:cstheme="minorEastAsia"/>
          <w:b/>
          <w:bCs/>
          <w:sz w:val="24"/>
          <w:lang w:val="zh-CN"/>
        </w:rPr>
        <w:t>评标办法</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本次评标采用综合评估法。评标委员会对满足招标文件实质性要求的投标文件，按照本章第 2.2 款规定的评分标准进行打分，并按评标办法前附表规定的中标候选人排序方法推荐中标候选人。评分相等时，以</w:t>
      </w:r>
      <w:r>
        <w:rPr>
          <w:rFonts w:hint="eastAsia" w:asciiTheme="minorEastAsia" w:hAnsiTheme="minorEastAsia" w:eastAsiaTheme="minorEastAsia" w:cstheme="minorEastAsia"/>
          <w:sz w:val="21"/>
          <w:szCs w:val="21"/>
        </w:rPr>
        <w:t>技术部分得分高</w:t>
      </w:r>
      <w:r>
        <w:rPr>
          <w:rFonts w:hint="eastAsia" w:asciiTheme="minorEastAsia" w:hAnsiTheme="minorEastAsia" w:eastAsiaTheme="minorEastAsia" w:cstheme="minorEastAsia"/>
          <w:sz w:val="21"/>
          <w:szCs w:val="21"/>
          <w:lang w:val="zh-CN"/>
        </w:rPr>
        <w:t>的优先；</w:t>
      </w:r>
      <w:r>
        <w:rPr>
          <w:rFonts w:hint="eastAsia" w:asciiTheme="minorEastAsia" w:hAnsiTheme="minorEastAsia" w:eastAsiaTheme="minorEastAsia" w:cstheme="minorEastAsia"/>
          <w:sz w:val="21"/>
          <w:szCs w:val="21"/>
        </w:rPr>
        <w:t>如果技术部分得分也相等，则按综合部分得分高的优先原则确定中标候选人顺序；综合部分得分也相等的，评标委员会按少数服从多数原则投票表决，确定中标候选人顺序。</w:t>
      </w:r>
    </w:p>
    <w:p>
      <w:pPr>
        <w:spacing w:line="500" w:lineRule="exact"/>
        <w:ind w:left="1926" w:leftChars="200" w:hanging="1506" w:hangingChars="625"/>
        <w:jc w:val="left"/>
        <w:rPr>
          <w:rFonts w:hint="eastAsia" w:asciiTheme="minorEastAsia" w:hAnsiTheme="minorEastAsia" w:eastAsiaTheme="minorEastAsia" w:cstheme="minorEastAsia"/>
          <w:b/>
          <w:bCs/>
          <w:sz w:val="24"/>
          <w:lang w:val="zh-CN"/>
        </w:rPr>
      </w:pPr>
      <w:r>
        <w:rPr>
          <w:rFonts w:hint="eastAsia" w:asciiTheme="minorEastAsia" w:hAnsiTheme="minorEastAsia" w:eastAsiaTheme="minorEastAsia" w:cstheme="minorEastAsia"/>
          <w:b/>
          <w:bCs/>
          <w:sz w:val="24"/>
          <w:lang w:val="zh-CN"/>
        </w:rPr>
        <w:t>2、评审标准和程序</w:t>
      </w:r>
    </w:p>
    <w:p>
      <w:pPr>
        <w:spacing w:line="500" w:lineRule="exact"/>
        <w:ind w:left="1926" w:leftChars="200" w:hanging="1506" w:hangingChars="625"/>
        <w:jc w:val="left"/>
        <w:rPr>
          <w:rFonts w:hint="eastAsia" w:asciiTheme="minorEastAsia" w:hAnsiTheme="minorEastAsia" w:eastAsiaTheme="minorEastAsia" w:cstheme="minorEastAsia"/>
          <w:b/>
          <w:bCs/>
          <w:sz w:val="24"/>
          <w:lang w:val="zh-CN"/>
        </w:rPr>
      </w:pPr>
      <w:r>
        <w:rPr>
          <w:rFonts w:hint="eastAsia" w:asciiTheme="minorEastAsia" w:hAnsiTheme="minorEastAsia" w:eastAsiaTheme="minorEastAsia" w:cstheme="minorEastAsia"/>
          <w:b/>
          <w:bCs/>
          <w:sz w:val="24"/>
          <w:lang w:val="en-US" w:eastAsia="zh-CN"/>
        </w:rPr>
        <w:t xml:space="preserve">2.1 </w:t>
      </w:r>
      <w:r>
        <w:rPr>
          <w:rFonts w:hint="eastAsia" w:asciiTheme="minorEastAsia" w:hAnsiTheme="minorEastAsia" w:eastAsiaTheme="minorEastAsia" w:cstheme="minorEastAsia"/>
          <w:b/>
          <w:bCs/>
          <w:sz w:val="24"/>
          <w:lang w:val="zh-CN"/>
        </w:rPr>
        <w:t>初步评审标准</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en-US" w:eastAsia="zh-CN"/>
        </w:rPr>
        <w:t xml:space="preserve">2.1.1 </w:t>
      </w:r>
      <w:r>
        <w:rPr>
          <w:rFonts w:hint="eastAsia" w:asciiTheme="minorEastAsia" w:hAnsiTheme="minorEastAsia" w:eastAsiaTheme="minorEastAsia" w:cstheme="minorEastAsia"/>
          <w:sz w:val="21"/>
          <w:szCs w:val="21"/>
          <w:lang w:val="zh-CN"/>
        </w:rPr>
        <w:t>符合性评审标准：见评标办法前附表。</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en-US" w:eastAsia="zh-CN"/>
        </w:rPr>
        <w:t xml:space="preserve">2.1.2 </w:t>
      </w:r>
      <w:r>
        <w:rPr>
          <w:rFonts w:hint="eastAsia" w:asciiTheme="minorEastAsia" w:hAnsiTheme="minorEastAsia" w:eastAsiaTheme="minorEastAsia" w:cstheme="minorEastAsia"/>
          <w:sz w:val="21"/>
          <w:szCs w:val="21"/>
          <w:lang w:val="zh-CN"/>
        </w:rPr>
        <w:t>资格评审标准：见评标办法前附表。</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en-US" w:eastAsia="zh-CN"/>
        </w:rPr>
        <w:t xml:space="preserve">2.1.3 </w:t>
      </w:r>
      <w:r>
        <w:rPr>
          <w:rFonts w:hint="eastAsia" w:asciiTheme="minorEastAsia" w:hAnsiTheme="minorEastAsia" w:eastAsiaTheme="minorEastAsia" w:cstheme="minorEastAsia"/>
          <w:sz w:val="21"/>
          <w:szCs w:val="21"/>
          <w:lang w:val="zh-CN"/>
        </w:rPr>
        <w:t>响应性评审标准：见评标办法前附表。</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Theme="minorEastAsia" w:hAnsiTheme="minorEastAsia" w:eastAsiaTheme="minorEastAsia" w:cstheme="minorEastAsia"/>
          <w:b/>
          <w:bCs/>
          <w:sz w:val="24"/>
          <w:lang w:val="zh-CN"/>
        </w:rPr>
      </w:pPr>
      <w:r>
        <w:rPr>
          <w:rFonts w:hint="eastAsia" w:asciiTheme="minorEastAsia" w:hAnsiTheme="minorEastAsia" w:eastAsiaTheme="minorEastAsia" w:cstheme="minorEastAsia"/>
          <w:b/>
          <w:bCs/>
          <w:sz w:val="24"/>
          <w:lang w:val="en-US" w:eastAsia="zh-CN"/>
        </w:rPr>
        <w:t xml:space="preserve">2.2 </w:t>
      </w:r>
      <w:r>
        <w:rPr>
          <w:rFonts w:hint="eastAsia" w:asciiTheme="minorEastAsia" w:hAnsiTheme="minorEastAsia" w:eastAsiaTheme="minorEastAsia" w:cstheme="minorEastAsia"/>
          <w:b/>
          <w:bCs/>
          <w:sz w:val="24"/>
          <w:lang w:val="zh-CN"/>
        </w:rPr>
        <w:t>初步评审程序</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评标委员会依据初步评审标准规定的标准对投标文件进行初步评审。有一项不符合评审标准的，无法通过初步评审，不再进入后续评审。</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详细评审</w:t>
      </w:r>
    </w:p>
    <w:p>
      <w:pPr>
        <w:spacing w:line="500" w:lineRule="exact"/>
        <w:ind w:left="1926" w:leftChars="200" w:hanging="1506" w:hangingChars="625"/>
        <w:jc w:val="left"/>
        <w:rPr>
          <w:rFonts w:hint="eastAsia" w:asciiTheme="minorEastAsia" w:hAnsiTheme="minorEastAsia" w:eastAsiaTheme="minorEastAsia" w:cstheme="minorEastAsia"/>
          <w:sz w:val="24"/>
          <w:lang w:val="zh-CN"/>
        </w:rPr>
      </w:pPr>
      <w:r>
        <w:rPr>
          <w:rFonts w:hint="eastAsia" w:asciiTheme="minorEastAsia" w:hAnsiTheme="minorEastAsia" w:eastAsiaTheme="minorEastAsia" w:cstheme="minorEastAsia"/>
          <w:b/>
          <w:bCs/>
          <w:sz w:val="24"/>
          <w:lang w:val="zh-CN"/>
        </w:rPr>
        <w:t>2.</w:t>
      </w:r>
      <w:r>
        <w:rPr>
          <w:rFonts w:hint="eastAsia" w:asciiTheme="minorEastAsia" w:hAnsiTheme="minorEastAsia" w:eastAsiaTheme="minorEastAsia" w:cstheme="minorEastAsia"/>
          <w:b/>
          <w:bCs/>
          <w:sz w:val="24"/>
          <w:lang w:val="en-US" w:eastAsia="zh-CN"/>
        </w:rPr>
        <w:t>3</w:t>
      </w:r>
      <w:r>
        <w:rPr>
          <w:rFonts w:hint="eastAsia" w:asciiTheme="minorEastAsia" w:hAnsiTheme="minorEastAsia" w:eastAsiaTheme="minorEastAsia" w:cstheme="minorEastAsia"/>
          <w:b/>
          <w:bCs/>
          <w:sz w:val="24"/>
          <w:lang w:val="zh-CN"/>
        </w:rPr>
        <w:t xml:space="preserve"> </w:t>
      </w:r>
      <w:r>
        <w:rPr>
          <w:rFonts w:hint="eastAsia" w:asciiTheme="minorEastAsia" w:hAnsiTheme="minorEastAsia" w:eastAsiaTheme="minorEastAsia" w:cstheme="minorEastAsia"/>
          <w:b/>
          <w:bCs/>
          <w:sz w:val="24"/>
        </w:rPr>
        <w:t>详细评审</w:t>
      </w:r>
      <w:r>
        <w:rPr>
          <w:rFonts w:hint="eastAsia" w:asciiTheme="minorEastAsia" w:hAnsiTheme="minorEastAsia" w:eastAsiaTheme="minorEastAsia" w:cstheme="minorEastAsia"/>
          <w:b/>
          <w:bCs/>
          <w:sz w:val="24"/>
          <w:lang w:val="zh-CN"/>
        </w:rPr>
        <w:t>标准</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lang w:val="zh-CN"/>
        </w:rPr>
        <w:t>.1 分值构成见评标办法前附表。</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lang w:val="zh-CN"/>
        </w:rPr>
        <w:t>.2 评标基准价计算</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4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评标基准价计算方法：见评标办法前附表。</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lang w:val="zh-CN"/>
        </w:rPr>
        <w:t>.3 投标报价的偏差率计算</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4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投标报价的偏差率计算公式：见评标办法前附表。</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2.</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lang w:val="zh-CN"/>
        </w:rPr>
        <w:t>.4 评分标准</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4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见评标办法前附表。评标委员会对通过初步评审合格的有效投标文件，按照招标文件中明确的评标方式进行技术标、商务标、综合标的评审。</w:t>
      </w:r>
    </w:p>
    <w:p>
      <w:pPr>
        <w:spacing w:line="500" w:lineRule="exact"/>
        <w:ind w:firstLine="482" w:firstLineChars="200"/>
        <w:rPr>
          <w:rFonts w:hint="eastAsia" w:ascii="宋体" w:hAnsi="宋体" w:eastAsia="宋体" w:cs="宋体"/>
          <w:b/>
          <w:bCs/>
          <w:sz w:val="24"/>
        </w:rPr>
      </w:pPr>
      <w:r>
        <w:rPr>
          <w:rFonts w:hint="eastAsia" w:ascii="宋体" w:hAnsi="宋体" w:eastAsia="宋体" w:cs="宋体"/>
          <w:b/>
          <w:bCs/>
          <w:sz w:val="24"/>
        </w:rPr>
        <w:t>3. 评标程序</w:t>
      </w:r>
    </w:p>
    <w:p>
      <w:pPr>
        <w:spacing w:line="500" w:lineRule="exact"/>
        <w:ind w:firstLine="482" w:firstLineChars="200"/>
        <w:rPr>
          <w:rFonts w:hint="eastAsia" w:ascii="宋体" w:hAnsi="宋体" w:eastAsia="宋体" w:cs="宋体"/>
          <w:b/>
          <w:bCs/>
          <w:sz w:val="24"/>
        </w:rPr>
      </w:pPr>
      <w:r>
        <w:rPr>
          <w:rFonts w:hint="eastAsia" w:ascii="宋体" w:hAnsi="宋体" w:eastAsia="宋体" w:cs="宋体"/>
          <w:b/>
          <w:bCs/>
          <w:sz w:val="24"/>
        </w:rPr>
        <w:t>3.1 初步评审</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3.1.1 评标委员会依据本章第2.1款规定的标准对投标文件进行初步评审。有一项不符合评审标准的，作否决投标处理。</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3.1.2 投标人有以下情形之一的，评标委员会应当否决其投标：</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（1）第二章“投标人须知”第1.4.3项规定的任何一种情形的；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 xml:space="preserve">（2）投标文件不按规定加盖印章、签字的； </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（3）投标文件的关键内容字迹模糊，无法辨认的；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（4）在同一个项目中有两个同类数字，又未注明其中哪一个有效的；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（5）未按规定提交投标保证金或投标保函的；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（6）投标人未按资格评审要求提供资格证明材料或提供的证明材料不清晰不能够在电脑上被阅读、识别和判断的；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（7）有串通投标或弄虚作假或有其他违法行为的；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（8）不按评标委员会要求澄清、说明或补正的；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（9）提供虚假材料或不符合法律、法规和本招标文件规定的其他实质性要求的。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3.1.3 评标委员会在评标过程中，发现有下列行为之一的，属于投标人之间串（围）标的行为：</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（1）不同投标人的投标文件由同一单位或者个人编制；</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（2）不同投标人委托同一单位或者个人办理投标事宜；</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（3）不同投标人的投标文件载明的项目管理成员或者联系人、联系地址、联系电话为同一人，或者联系地址、联系电话为同一单位；</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（4）不同投标人的投标文件异常一致；</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（5）不同投标人的投标保证金从同一单位或者个人的账户转出；</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（6）不同投标人的投标文件错、漏之处非正常一致，且不能合理解释的；</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7）电子开评标系统提示不同投标人的电子投标文件的文件制作机器码、文件创建标识码等软硬件信息，有一条及以上相同的，应认定为《中华人民共和国招标投标法实施条例》第四十条第（一）项“不同投标人的投标文件由同一单位或者个人编制”的情形；</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eastAsia="zh-CN"/>
        </w:rPr>
        <w:t>（</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lang w:val="zh-CN" w:eastAsia="zh-CN"/>
        </w:rPr>
        <w:t>）</w:t>
      </w:r>
      <w:r>
        <w:rPr>
          <w:rFonts w:hint="eastAsia" w:asciiTheme="minorEastAsia" w:hAnsiTheme="minorEastAsia" w:eastAsiaTheme="minorEastAsia" w:cstheme="minorEastAsia"/>
          <w:sz w:val="21"/>
          <w:szCs w:val="21"/>
          <w:lang w:val="zh-CN"/>
        </w:rPr>
        <w:t>电子开评标系统提示不同投标人的投标技术文件存在内容高度一致的、投标报价或报价组成出现非正常一致或者呈规律性变化的，评标委员会可以要求投标人作出澄清，评标委员会应当集体认定是否属于《中华人民共和国招标投标法实施条例》第四十条第（四）项“不同投标人的投标文件异常一致或者投标报价呈规律性差异”的情形；</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eastAsia="zh-CN"/>
        </w:rPr>
        <w:t>（</w:t>
      </w: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 w:val="21"/>
          <w:szCs w:val="21"/>
          <w:lang w:val="zh-CN" w:eastAsia="zh-CN"/>
        </w:rPr>
        <w:t>）</w:t>
      </w:r>
      <w:r>
        <w:rPr>
          <w:rFonts w:hint="eastAsia" w:asciiTheme="minorEastAsia" w:hAnsiTheme="minorEastAsia" w:eastAsiaTheme="minorEastAsia" w:cstheme="minorEastAsia"/>
          <w:sz w:val="21"/>
          <w:szCs w:val="21"/>
          <w:lang w:val="zh-CN"/>
        </w:rPr>
        <w:t>法律法规规定或行政监管部门、资格评审委员会、评标委员会认定的投标人之间其他串（围）标的行为。电子开评标系统对不同投标人的电子投标文件作出雷同性提示或预警的，资格评审委员会或评标委员会应当集体表决认定是否属于《中华人民共和国招标投标法实施条例》第四十条“视为投标人相互串通投标”的情形，同时写出串（围）标行为认定报告并签字。</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在资格评审和评标中发现的疑似串（围）标行为，由资格评审委员会和评标委员会集体表决认定，写出串（围）标行为认定报告并签字。在资格评审、投标、开标、评标中被认定为串（围）标的，取消其投标人的投标资格。</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3.1.4 投标报价有算术错误及其他错误的，评标委员会按以下原则要求投标人对投标报价进行修正，并要求投标人书面澄清确认。投标人拒不澄清确认的，评标委员会应当否决其投标：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 xml:space="preserve"> （1）投标文件中的大写金额与小写金额不一致的，以大写金额为准；</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 xml:space="preserve"> （2）总价金额与单价金额不一致的，以单价金额为准，但单价金额小数点有明显错误的除外。</w:t>
      </w:r>
    </w:p>
    <w:p>
      <w:pPr>
        <w:spacing w:line="500" w:lineRule="exact"/>
        <w:ind w:firstLine="482" w:firstLineChars="200"/>
        <w:jc w:val="left"/>
        <w:rPr>
          <w:rFonts w:hint="eastAsia" w:asciiTheme="minorEastAsia" w:hAnsiTheme="minorEastAsia" w:eastAsiaTheme="minorEastAsia" w:cstheme="minorEastAsia"/>
          <w:b/>
          <w:bCs/>
          <w:sz w:val="24"/>
          <w:lang w:val="zh-CN"/>
        </w:rPr>
      </w:pPr>
      <w:r>
        <w:rPr>
          <w:rFonts w:hint="eastAsia" w:asciiTheme="minorEastAsia" w:hAnsiTheme="minorEastAsia" w:eastAsiaTheme="minorEastAsia" w:cstheme="minorEastAsia"/>
          <w:b/>
          <w:bCs/>
          <w:sz w:val="24"/>
          <w:lang w:val="zh-CN"/>
        </w:rPr>
        <w:t>3.2 详细评审</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3.2.1 评标委员会按本章第2.2款规定的量化因素和分值进行打分，并计算出综合评估得分，评分分值计算保留小数点后两位，小数点后第三位“四舍五入”。</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（1）按本章第2.2.4(1)目规定的评分标准对商务标计算出得分A；</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（2）按本章第2.2.4(2)目规定的评分标准对技术标计算出得分B；</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（3）按本章第2.2.4(3)目规定的评分标准对综合标计算出得分C；</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（4）评分分值计算保留小数点后两位，小数点后第三位“四舍五入”。</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（5）投标人得分=A+B+C。</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6）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spacing w:line="500" w:lineRule="exact"/>
        <w:ind w:firstLine="482" w:firstLineChars="200"/>
        <w:jc w:val="left"/>
        <w:rPr>
          <w:rFonts w:hint="eastAsia" w:asciiTheme="minorEastAsia" w:hAnsiTheme="minorEastAsia" w:eastAsiaTheme="minorEastAsia" w:cstheme="minorEastAsia"/>
          <w:b/>
          <w:bCs/>
          <w:sz w:val="24"/>
          <w:lang w:val="zh-CN"/>
        </w:rPr>
      </w:pPr>
      <w:r>
        <w:rPr>
          <w:rFonts w:hint="eastAsia" w:asciiTheme="minorEastAsia" w:hAnsiTheme="minorEastAsia" w:eastAsiaTheme="minorEastAsia" w:cstheme="minorEastAsia"/>
          <w:b/>
          <w:bCs/>
          <w:sz w:val="24"/>
          <w:lang w:val="zh-CN"/>
        </w:rPr>
        <w:t>3.3 投标文件的澄清、说明或补正</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3.3.2 澄清、说明或补正不得超出投标文件的范围且不得改变投标文件的实质性内容，并构成投标文件的组成部分。</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3.3.3 评标委员会对投标人提交的澄清、说明或补正有疑问的，可以要求投标人进一步澄清、说明或补正，直至满足评标委员会的要求。</w:t>
      </w:r>
    </w:p>
    <w:p>
      <w:pPr>
        <w:spacing w:line="500" w:lineRule="exact"/>
        <w:ind w:firstLine="482" w:firstLineChars="200"/>
        <w:jc w:val="left"/>
        <w:rPr>
          <w:rFonts w:hint="eastAsia" w:asciiTheme="minorEastAsia" w:hAnsiTheme="minorEastAsia" w:eastAsiaTheme="minorEastAsia" w:cstheme="minorEastAsia"/>
          <w:b/>
          <w:bCs/>
          <w:sz w:val="24"/>
          <w:lang w:val="zh-CN"/>
        </w:rPr>
      </w:pPr>
      <w:r>
        <w:rPr>
          <w:rFonts w:hint="eastAsia" w:asciiTheme="minorEastAsia" w:hAnsiTheme="minorEastAsia" w:eastAsiaTheme="minorEastAsia" w:cstheme="minorEastAsia"/>
          <w:b/>
          <w:bCs/>
          <w:sz w:val="24"/>
          <w:lang w:val="zh-CN"/>
        </w:rPr>
        <w:t>3.4 评标结果</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3.4.1 除第二章“投标人须知”前附表授权直接确定中标人外，评标委员会在推荐中标候选人时，评标委员会按照最终得分由高至低的次序排列，并根据投标人须知前附表规定的中标候选人数量，将排序在前的投标人推荐为中标候选人。</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3.4.2 评标委员会完成评标后，应当向招标人提交评标报告和中标候选人名单。</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 xml:space="preserve">3.4.3 评标报告应当由全体评标委员会成员签字。招标人将在规定时间内抄送有关行政监督部门备案。  </w:t>
      </w:r>
    </w:p>
    <w:p>
      <w:pPr>
        <w:spacing w:line="700" w:lineRule="exact"/>
        <w:jc w:val="center"/>
        <w:outlineLvl w:val="0"/>
        <w:rPr>
          <w:rFonts w:ascii="宋体" w:hAnsi="宋体" w:cs="宋体"/>
          <w:b/>
          <w:bCs/>
          <w:sz w:val="44"/>
          <w:szCs w:val="44"/>
        </w:rPr>
      </w:pPr>
      <w:r>
        <w:rPr>
          <w:rFonts w:hint="eastAsia"/>
          <w:sz w:val="24"/>
        </w:rPr>
        <w:br w:type="page"/>
      </w:r>
      <w:bookmarkStart w:id="14" w:name="_Toc17044"/>
      <w:bookmarkStart w:id="15" w:name="_Toc12624"/>
      <w:bookmarkStart w:id="16" w:name="_Toc20914_WPSOffice_Level1"/>
      <w:r>
        <w:rPr>
          <w:rFonts w:hint="eastAsia" w:ascii="宋体" w:hAnsi="宋体" w:cs="宋体"/>
          <w:b/>
          <w:bCs/>
          <w:sz w:val="44"/>
          <w:szCs w:val="44"/>
        </w:rPr>
        <w:t>第四章 合同条款及格式</w:t>
      </w:r>
      <w:bookmarkEnd w:id="14"/>
      <w:bookmarkEnd w:id="15"/>
      <w:bookmarkEnd w:id="16"/>
    </w:p>
    <w:p>
      <w:pPr>
        <w:spacing w:line="700" w:lineRule="exact"/>
        <w:jc w:val="center"/>
        <w:outlineLvl w:val="9"/>
        <w:rPr>
          <w:sz w:val="24"/>
        </w:rPr>
      </w:pPr>
      <w:r>
        <w:rPr>
          <w:rFonts w:hint="eastAsia"/>
          <w:sz w:val="24"/>
        </w:rPr>
        <w:t>（</w:t>
      </w:r>
      <w:r>
        <w:rPr>
          <w:rFonts w:hint="eastAsia"/>
          <w:sz w:val="24"/>
          <w:lang w:val="en-US" w:eastAsia="zh-CN"/>
        </w:rPr>
        <w:t>仅供参考，</w:t>
      </w:r>
      <w:r>
        <w:rPr>
          <w:rFonts w:hint="eastAsia"/>
          <w:sz w:val="24"/>
        </w:rPr>
        <w:t>具体内容由双方</w:t>
      </w:r>
      <w:r>
        <w:rPr>
          <w:rFonts w:hint="eastAsia"/>
          <w:sz w:val="24"/>
          <w:lang w:val="en-US" w:eastAsia="zh-CN"/>
        </w:rPr>
        <w:t>最终签订的合同为准</w:t>
      </w:r>
      <w:r>
        <w:rPr>
          <w:rFonts w:hint="eastAsia"/>
          <w:sz w:val="24"/>
        </w:rPr>
        <w:t>）</w:t>
      </w:r>
    </w:p>
    <w:p>
      <w:pPr>
        <w:adjustRightInd w:val="0"/>
        <w:snapToGrid w:val="0"/>
        <w:spacing w:line="360" w:lineRule="auto"/>
        <w:jc w:val="both"/>
        <w:rPr>
          <w:b/>
          <w:sz w:val="24"/>
          <w:szCs w:val="24"/>
        </w:rPr>
      </w:pPr>
    </w:p>
    <w:p>
      <w:pPr>
        <w:adjustRightInd w:val="0"/>
        <w:snapToGrid w:val="0"/>
        <w:spacing w:line="360" w:lineRule="auto"/>
        <w:jc w:val="center"/>
        <w:rPr>
          <w:b/>
          <w:sz w:val="24"/>
          <w:szCs w:val="24"/>
        </w:rPr>
      </w:pPr>
      <w:r>
        <w:rPr>
          <w:b/>
          <w:sz w:val="32"/>
          <w:szCs w:val="32"/>
        </w:rPr>
        <w:t>第一部分 合同协议书</w:t>
      </w:r>
    </w:p>
    <w:p>
      <w:pPr>
        <w:tabs>
          <w:tab w:val="left" w:pos="5757"/>
          <w:tab w:val="left" w:pos="5862"/>
        </w:tabs>
        <w:adjustRightInd w:val="0"/>
        <w:snapToGrid w:val="0"/>
        <w:spacing w:line="360" w:lineRule="auto"/>
        <w:ind w:left="0" w:firstLine="480" w:firstLineChars="200"/>
        <w:jc w:val="both"/>
        <w:outlineLvl w:val="9"/>
        <w:rPr>
          <w:sz w:val="24"/>
          <w:szCs w:val="24"/>
        </w:rPr>
      </w:pPr>
    </w:p>
    <w:p>
      <w:pPr>
        <w:keepNext w:val="0"/>
        <w:keepLines w:val="0"/>
        <w:pageBreakBefore w:val="0"/>
        <w:widowControl w:val="0"/>
        <w:tabs>
          <w:tab w:val="left" w:pos="5757"/>
          <w:tab w:val="left" w:pos="5862"/>
        </w:tabs>
        <w:kinsoku/>
        <w:wordWrap/>
        <w:overflowPunct/>
        <w:topLinePunct w:val="0"/>
        <w:autoSpaceDE/>
        <w:autoSpaceDN/>
        <w:bidi w:val="0"/>
        <w:adjustRightInd w:val="0"/>
        <w:snapToGrid w:val="0"/>
        <w:spacing w:line="500" w:lineRule="exact"/>
        <w:ind w:left="0" w:firstLine="482" w:firstLineChars="200"/>
        <w:jc w:val="both"/>
        <w:textAlignment w:val="auto"/>
        <w:outlineLvl w:val="9"/>
        <w:rPr>
          <w:rFonts w:hint="eastAsia" w:ascii="宋体" w:hAnsi="宋体" w:eastAsia="宋体" w:cs="宋体"/>
          <w:b/>
          <w:bCs/>
          <w:sz w:val="24"/>
          <w:szCs w:val="24"/>
          <w:u w:val="single"/>
          <w:lang w:val="en-US" w:eastAsia="zh-CN"/>
        </w:rPr>
      </w:pPr>
      <w:r>
        <w:rPr>
          <w:rFonts w:hint="eastAsia" w:ascii="宋体" w:hAnsi="宋体" w:eastAsia="宋体" w:cs="宋体"/>
          <w:b/>
          <w:bCs/>
          <w:sz w:val="24"/>
          <w:szCs w:val="24"/>
        </w:rPr>
        <w:t>委托方：</w:t>
      </w:r>
      <w:r>
        <w:rPr>
          <w:rFonts w:hint="eastAsia" w:ascii="宋体" w:hAnsi="宋体" w:eastAsia="宋体" w:cs="宋体"/>
          <w:b/>
          <w:bCs/>
          <w:sz w:val="24"/>
          <w:szCs w:val="24"/>
          <w:u w:val="single"/>
          <w:lang w:val="en-US" w:eastAsia="zh-CN"/>
        </w:rPr>
        <w:t xml:space="preserve">  </w:t>
      </w:r>
      <w:r>
        <w:rPr>
          <w:rFonts w:hint="eastAsia" w:ascii="宋体" w:hAnsi="宋体" w:eastAsia="宋体" w:cs="宋体"/>
          <w:b/>
          <w:bCs/>
          <w:sz w:val="24"/>
          <w:szCs w:val="24"/>
          <w:u w:val="single"/>
        </w:rPr>
        <w:t>氢沄（河南）新能源科技有限公司</w:t>
      </w:r>
      <w:r>
        <w:rPr>
          <w:rFonts w:hint="eastAsia" w:ascii="宋体" w:hAnsi="宋体" w:eastAsia="宋体" w:cs="宋体"/>
          <w:b/>
          <w:bCs/>
          <w:sz w:val="24"/>
          <w:szCs w:val="24"/>
          <w:u w:val="single"/>
          <w:lang w:val="en-US" w:eastAsia="zh-CN"/>
        </w:rPr>
        <w:t xml:space="preserve">  </w:t>
      </w:r>
    </w:p>
    <w:p>
      <w:pPr>
        <w:keepNext w:val="0"/>
        <w:keepLines w:val="0"/>
        <w:pageBreakBefore w:val="0"/>
        <w:widowControl w:val="0"/>
        <w:tabs>
          <w:tab w:val="left" w:pos="5757"/>
          <w:tab w:val="left" w:pos="5862"/>
        </w:tabs>
        <w:kinsoku/>
        <w:wordWrap/>
        <w:overflowPunct/>
        <w:topLinePunct w:val="0"/>
        <w:autoSpaceDE/>
        <w:autoSpaceDN/>
        <w:bidi w:val="0"/>
        <w:adjustRightInd w:val="0"/>
        <w:snapToGrid w:val="0"/>
        <w:spacing w:line="500" w:lineRule="exact"/>
        <w:ind w:left="0"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咨询方：</w:t>
      </w:r>
      <w:r>
        <w:rPr>
          <w:rFonts w:hint="eastAsia" w:ascii="宋体" w:hAnsi="宋体" w:eastAsia="宋体" w:cs="宋体"/>
          <w:b/>
          <w:bCs/>
          <w:sz w:val="24"/>
          <w:szCs w:val="24"/>
          <w:u w:val="single"/>
          <w:lang w:val="en-US" w:eastAsia="zh-CN"/>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rPr>
        <w:t>根据</w:t>
      </w:r>
      <w:r>
        <w:rPr>
          <w:rFonts w:hint="eastAsia" w:ascii="宋体" w:hAnsi="宋体" w:eastAsia="宋体" w:cs="宋体"/>
          <w:sz w:val="21"/>
          <w:szCs w:val="21"/>
          <w:lang w:eastAsia="zh-CN"/>
        </w:rPr>
        <w:t>《</w:t>
      </w:r>
      <w:r>
        <w:rPr>
          <w:rFonts w:hint="eastAsia" w:ascii="宋体" w:hAnsi="宋体" w:eastAsia="宋体" w:cs="宋体"/>
          <w:sz w:val="21"/>
          <w:szCs w:val="21"/>
        </w:rPr>
        <w:t>中华人民共和国</w:t>
      </w:r>
      <w:r>
        <w:rPr>
          <w:rFonts w:hint="eastAsia" w:ascii="宋体" w:hAnsi="宋体" w:eastAsia="宋体" w:cs="宋体"/>
          <w:sz w:val="21"/>
          <w:szCs w:val="21"/>
          <w:lang w:val="en-US"/>
        </w:rPr>
        <w:t>民法典</w:t>
      </w:r>
      <w:r>
        <w:rPr>
          <w:rFonts w:hint="eastAsia" w:ascii="宋体" w:hAnsi="宋体" w:eastAsia="宋体" w:cs="宋体"/>
          <w:sz w:val="21"/>
          <w:szCs w:val="21"/>
          <w:lang w:eastAsia="zh-CN"/>
        </w:rPr>
        <w:t>》、</w:t>
      </w:r>
      <w:r>
        <w:rPr>
          <w:rFonts w:hint="eastAsia" w:ascii="宋体" w:hAnsi="宋体" w:eastAsia="宋体" w:cs="宋体"/>
          <w:sz w:val="21"/>
          <w:szCs w:val="21"/>
        </w:rPr>
        <w:t>《中华人民共和国建筑法</w:t>
      </w:r>
      <w:r>
        <w:rPr>
          <w:rFonts w:hint="eastAsia" w:ascii="宋体" w:hAnsi="宋体" w:eastAsia="宋体" w:cs="宋体"/>
          <w:sz w:val="21"/>
          <w:szCs w:val="21"/>
          <w:lang w:eastAsia="zh-CN"/>
        </w:rPr>
        <w:t>》、</w:t>
      </w:r>
      <w:r>
        <w:rPr>
          <w:rFonts w:hint="eastAsia" w:ascii="宋体" w:hAnsi="宋体" w:eastAsia="宋体" w:cs="宋体"/>
          <w:sz w:val="21"/>
          <w:szCs w:val="21"/>
        </w:rPr>
        <w:t>《中华人民共和国招投标法》以及有关法律、法规和规章规定，遵循平等、自愿、公平和诚实信用的原则，双方就</w:t>
      </w:r>
      <w:r>
        <w:rPr>
          <w:rFonts w:hint="eastAsia" w:ascii="宋体" w:hAnsi="宋体" w:eastAsia="宋体" w:cs="宋体"/>
          <w:sz w:val="21"/>
          <w:szCs w:val="21"/>
          <w:u w:val="single"/>
          <w:lang w:val="en-US" w:eastAsia="zh-CN"/>
        </w:rPr>
        <w:t xml:space="preserve">  </w:t>
      </w:r>
      <w:r>
        <w:rPr>
          <w:rFonts w:hint="eastAsia" w:ascii="宋体" w:hAnsi="宋体" w:eastAsia="宋体" w:cs="宋体"/>
          <w:color w:val="000000"/>
          <w:sz w:val="21"/>
          <w:szCs w:val="21"/>
          <w:u w:val="single"/>
        </w:rPr>
        <w:t>洛阳氢能电机装备产业园（一地块）西区--洛阳氢能发动机项目</w:t>
      </w:r>
      <w:r>
        <w:rPr>
          <w:rFonts w:hint="eastAsia" w:ascii="宋体" w:hAnsi="宋体" w:eastAsia="宋体" w:cs="宋体"/>
          <w:color w:val="000000"/>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 xml:space="preserve">全过程工程咨询服务及有关事项协商一致，共同达成如下协议： </w:t>
      </w:r>
      <w:r>
        <w:rPr>
          <w:rFonts w:hint="eastAsia" w:ascii="宋体" w:hAnsi="宋体" w:eastAsia="宋体" w:cs="宋体"/>
          <w:sz w:val="21"/>
          <w:szCs w:val="21"/>
          <w:lang w:val="en-US"/>
        </w:rPr>
        <w:t xml:space="preserve">  </w:t>
      </w:r>
    </w:p>
    <w:p>
      <w:pPr>
        <w:pStyle w:val="3"/>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一、</w:t>
      </w:r>
      <w:r>
        <w:rPr>
          <w:rFonts w:hint="eastAsia" w:ascii="宋体" w:hAnsi="宋体" w:eastAsia="宋体" w:cs="宋体"/>
          <w:b/>
          <w:bCs w:val="0"/>
          <w:sz w:val="24"/>
          <w:szCs w:val="24"/>
        </w:rPr>
        <w:t>工程概况</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rPr>
        <w:t>（一）项目名称</w:t>
      </w:r>
      <w:r>
        <w:rPr>
          <w:rFonts w:hint="eastAsia" w:ascii="宋体" w:hAnsi="宋体" w:eastAsia="宋体" w:cs="宋体"/>
          <w:b w:val="0"/>
          <w:bCs w:val="0"/>
          <w:sz w:val="21"/>
          <w:szCs w:val="21"/>
          <w:u w:val="none"/>
          <w:lang w:val="en-US" w:eastAsia="zh-CN"/>
        </w:rPr>
        <w:t>：</w:t>
      </w:r>
      <w:r>
        <w:rPr>
          <w:rFonts w:hint="eastAsia" w:ascii="宋体" w:hAnsi="宋体" w:eastAsia="宋体" w:cs="宋体"/>
          <w:sz w:val="21"/>
          <w:szCs w:val="21"/>
          <w:u w:val="single"/>
          <w:lang w:val="en-US" w:eastAsia="zh-CN"/>
        </w:rPr>
        <w:t xml:space="preserve">洛阳氢能电机装备产业园（一地块）西区--洛阳氢能发动机项目全过程工程咨询服务 </w:t>
      </w:r>
    </w:p>
    <w:p>
      <w:pPr>
        <w:snapToGrid w:val="0"/>
        <w:spacing w:line="500" w:lineRule="exact"/>
        <w:ind w:firstLine="420"/>
        <w:rPr>
          <w:rFonts w:hint="default" w:ascii="宋体" w:hAnsi="宋体" w:eastAsia="宋体" w:cs="宋体"/>
          <w:sz w:val="21"/>
          <w:szCs w:val="21"/>
          <w:u w:val="single"/>
          <w:lang w:val="en-US"/>
        </w:rPr>
      </w:pPr>
      <w:r>
        <w:rPr>
          <w:rFonts w:hint="eastAsia" w:ascii="宋体" w:hAnsi="宋体" w:eastAsia="宋体" w:cs="宋体"/>
          <w:sz w:val="21"/>
          <w:szCs w:val="21"/>
        </w:rPr>
        <w:t>（二）建设地点：</w:t>
      </w:r>
      <w:r>
        <w:rPr>
          <w:rFonts w:hint="eastAsia" w:ascii="宋体" w:hAnsi="宋体" w:eastAsia="宋体" w:cs="宋体"/>
          <w:kern w:val="2"/>
          <w:sz w:val="21"/>
          <w:szCs w:val="21"/>
          <w:u w:val="single"/>
          <w:lang w:val="en-US" w:eastAsia="zh-CN" w:bidi="zh-CN"/>
        </w:rPr>
        <w:t xml:space="preserve"> 洛阳市涧西区丝路大道以东，孙白路以北，蓬莱路以南</w:t>
      </w:r>
      <w:r>
        <w:rPr>
          <w:rFonts w:hint="eastAsia" w:ascii="宋体" w:hAnsi="宋体" w:cs="宋体"/>
          <w:kern w:val="2"/>
          <w:sz w:val="21"/>
          <w:szCs w:val="21"/>
          <w:u w:val="single"/>
          <w:lang w:val="en-US" w:eastAsia="zh-CN" w:bidi="zh-CN"/>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（三）建设规模：</w:t>
      </w:r>
      <w:r>
        <w:rPr>
          <w:rFonts w:hint="eastAsia" w:ascii="宋体" w:hAnsi="宋体" w:eastAsia="宋体" w:cs="宋体"/>
          <w:sz w:val="21"/>
          <w:szCs w:val="21"/>
          <w:u w:val="single"/>
          <w:lang w:val="en-US" w:eastAsia="zh-CN"/>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rPr>
        <w:t>（</w:t>
      </w:r>
      <w:r>
        <w:rPr>
          <w:rFonts w:hint="eastAsia" w:ascii="宋体" w:hAnsi="宋体" w:eastAsia="宋体" w:cs="宋体"/>
          <w:sz w:val="21"/>
          <w:szCs w:val="21"/>
          <w:lang w:val="en-US"/>
        </w:rPr>
        <w:t>四</w:t>
      </w:r>
      <w:r>
        <w:rPr>
          <w:rFonts w:hint="eastAsia" w:ascii="宋体" w:hAnsi="宋体" w:eastAsia="宋体" w:cs="宋体"/>
          <w:sz w:val="21"/>
          <w:szCs w:val="21"/>
        </w:rPr>
        <w:t>）投资估算：</w:t>
      </w:r>
      <w:r>
        <w:rPr>
          <w:rFonts w:hint="eastAsia" w:ascii="宋体" w:hAnsi="宋体" w:eastAsia="宋体" w:cs="宋体"/>
          <w:sz w:val="21"/>
          <w:szCs w:val="21"/>
          <w:u w:val="single"/>
          <w:lang w:val="en-US" w:eastAsia="zh-CN"/>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p>
    <w:p>
      <w:pPr>
        <w:pStyle w:val="3"/>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rPr>
      </w:pPr>
      <w:r>
        <w:rPr>
          <w:rFonts w:hint="eastAsia" w:cs="宋体"/>
          <w:b/>
          <w:bCs w:val="0"/>
          <w:sz w:val="24"/>
          <w:szCs w:val="24"/>
          <w:lang w:val="en-US" w:eastAsia="zh-CN"/>
        </w:rPr>
        <w:t>二、</w:t>
      </w:r>
      <w:r>
        <w:rPr>
          <w:rFonts w:hint="eastAsia" w:ascii="宋体" w:hAnsi="宋体" w:eastAsia="宋体" w:cs="宋体"/>
          <w:b/>
          <w:bCs w:val="0"/>
          <w:sz w:val="24"/>
          <w:szCs w:val="24"/>
        </w:rPr>
        <w:t>服务范围与服务内容</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（一）</w:t>
      </w:r>
      <w:r>
        <w:rPr>
          <w:rFonts w:hint="eastAsia" w:ascii="宋体" w:hAnsi="宋体" w:eastAsia="宋体" w:cs="宋体"/>
          <w:sz w:val="21"/>
          <w:szCs w:val="21"/>
          <w:lang w:val="en-US" w:eastAsia="zh-CN"/>
        </w:rPr>
        <w:t>服务范围：</w:t>
      </w:r>
      <w:r>
        <w:rPr>
          <w:rFonts w:hint="eastAsia" w:ascii="宋体" w:hAnsi="宋体" w:eastAsia="宋体" w:cs="宋体"/>
          <w:sz w:val="21"/>
          <w:szCs w:val="21"/>
          <w:u w:val="single"/>
          <w:lang w:val="en-US" w:eastAsia="zh-CN"/>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default" w:ascii="宋体" w:hAnsi="宋体" w:eastAsia="宋体" w:cs="宋体"/>
          <w:sz w:val="21"/>
          <w:szCs w:val="21"/>
          <w:lang w:val="en-US" w:eastAsia="zh-CN"/>
        </w:rPr>
      </w:pPr>
      <w:r>
        <w:rPr>
          <w:rFonts w:hint="eastAsia" w:ascii="宋体" w:hAnsi="宋体" w:eastAsia="宋体" w:cs="宋体"/>
          <w:sz w:val="21"/>
          <w:szCs w:val="21"/>
        </w:rPr>
        <w:t>（</w:t>
      </w:r>
      <w:r>
        <w:rPr>
          <w:rFonts w:hint="eastAsia" w:cs="宋体"/>
          <w:sz w:val="21"/>
          <w:szCs w:val="21"/>
          <w:lang w:val="en-US" w:eastAsia="zh-CN"/>
        </w:rPr>
        <w:t>二</w:t>
      </w:r>
      <w:r>
        <w:rPr>
          <w:rFonts w:hint="eastAsia" w:ascii="宋体" w:hAnsi="宋体" w:eastAsia="宋体" w:cs="宋体"/>
          <w:sz w:val="21"/>
          <w:szCs w:val="21"/>
        </w:rPr>
        <w:t>）</w:t>
      </w:r>
      <w:r>
        <w:rPr>
          <w:rFonts w:hint="eastAsia" w:ascii="宋体" w:hAnsi="宋体" w:eastAsia="宋体" w:cs="宋体"/>
          <w:sz w:val="21"/>
          <w:szCs w:val="21"/>
          <w:lang w:val="en-US" w:eastAsia="zh-CN"/>
        </w:rPr>
        <w:t>服务内容：</w:t>
      </w:r>
      <w:r>
        <w:rPr>
          <w:rFonts w:hint="eastAsia" w:ascii="宋体" w:hAnsi="宋体" w:eastAsia="宋体" w:cs="宋体"/>
          <w:sz w:val="21"/>
          <w:szCs w:val="21"/>
          <w:u w:val="single"/>
          <w:lang w:val="en-US" w:eastAsia="zh-CN"/>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p>
    <w:p>
      <w:pPr>
        <w:pStyle w:val="3"/>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rPr>
      </w:pPr>
      <w:r>
        <w:rPr>
          <w:rFonts w:hint="eastAsia" w:cs="宋体"/>
          <w:b/>
          <w:bCs w:val="0"/>
          <w:sz w:val="24"/>
          <w:szCs w:val="24"/>
          <w:lang w:val="en-US" w:eastAsia="zh-CN"/>
        </w:rPr>
        <w:t>三、</w:t>
      </w:r>
      <w:r>
        <w:rPr>
          <w:rFonts w:hint="eastAsia" w:ascii="宋体" w:hAnsi="宋体" w:eastAsia="宋体" w:cs="宋体"/>
          <w:b/>
          <w:bCs w:val="0"/>
          <w:sz w:val="24"/>
          <w:szCs w:val="24"/>
        </w:rPr>
        <w:t>合同价款</w:t>
      </w:r>
    </w:p>
    <w:p>
      <w:pPr>
        <w:pStyle w:val="24"/>
        <w:keepNext w:val="0"/>
        <w:keepLines w:val="0"/>
        <w:pageBreakBefore w:val="0"/>
        <w:widowControl w:val="0"/>
        <w:tabs>
          <w:tab w:val="left" w:pos="1118"/>
        </w:tabs>
        <w:kinsoku/>
        <w:wordWrap/>
        <w:overflowPunct/>
        <w:topLinePunct w:val="0"/>
        <w:autoSpaceDE/>
        <w:autoSpaceDN/>
        <w:bidi w:val="0"/>
        <w:adjustRightInd w:val="0"/>
        <w:snapToGrid w:val="0"/>
        <w:spacing w:line="500" w:lineRule="exact"/>
        <w:ind w:left="420" w:leftChars="200" w:firstLine="0"/>
        <w:jc w:val="both"/>
        <w:textAlignment w:val="auto"/>
        <w:rPr>
          <w:rFonts w:hint="eastAsia" w:ascii="宋体" w:hAnsi="宋体" w:eastAsia="宋体" w:cs="宋体"/>
          <w:sz w:val="21"/>
          <w:szCs w:val="21"/>
          <w:lang w:val="en-US"/>
        </w:rPr>
      </w:pPr>
      <w:r>
        <w:rPr>
          <w:rFonts w:hint="eastAsia" w:ascii="宋体" w:hAnsi="宋体" w:eastAsia="宋体" w:cs="宋体"/>
          <w:spacing w:val="-3"/>
          <w:sz w:val="21"/>
          <w:szCs w:val="21"/>
          <w:lang w:val="en-US"/>
        </w:rPr>
        <w:t>1、</w:t>
      </w:r>
      <w:r>
        <w:rPr>
          <w:rFonts w:hint="eastAsia" w:ascii="宋体" w:hAnsi="宋体" w:eastAsia="宋体" w:cs="宋体"/>
          <w:spacing w:val="-3"/>
          <w:sz w:val="21"/>
          <w:szCs w:val="21"/>
        </w:rPr>
        <w:t>酬金计取方式：</w:t>
      </w:r>
      <w:r>
        <w:rPr>
          <w:rFonts w:hint="eastAsia" w:ascii="宋体" w:hAnsi="宋体" w:eastAsia="宋体" w:cs="宋体"/>
          <w:sz w:val="21"/>
          <w:szCs w:val="21"/>
          <w:u w:val="single"/>
          <w:lang w:val="en-US" w:eastAsia="zh-CN"/>
        </w:rPr>
        <w:t xml:space="preserve">                         </w:t>
      </w:r>
      <w:r>
        <w:rPr>
          <w:rFonts w:hint="eastAsia" w:ascii="宋体" w:hAnsi="宋体" w:eastAsia="宋体" w:cs="宋体"/>
          <w:spacing w:val="-3"/>
          <w:sz w:val="21"/>
          <w:szCs w:val="21"/>
          <w:lang w:val="en-US"/>
        </w:rPr>
        <w:t>。</w:t>
      </w:r>
    </w:p>
    <w:p>
      <w:pPr>
        <w:pStyle w:val="24"/>
        <w:keepNext w:val="0"/>
        <w:keepLines w:val="0"/>
        <w:pageBreakBefore w:val="0"/>
        <w:widowControl w:val="0"/>
        <w:tabs>
          <w:tab w:val="left" w:pos="1118"/>
        </w:tabs>
        <w:kinsoku/>
        <w:wordWrap/>
        <w:overflowPunct/>
        <w:topLinePunct w:val="0"/>
        <w:autoSpaceDE/>
        <w:autoSpaceDN/>
        <w:bidi w:val="0"/>
        <w:adjustRightInd w:val="0"/>
        <w:snapToGrid w:val="0"/>
        <w:spacing w:line="500" w:lineRule="exact"/>
        <w:ind w:left="420" w:leftChars="200" w:firstLine="408" w:firstLineChars="200"/>
        <w:jc w:val="both"/>
        <w:textAlignment w:val="auto"/>
        <w:rPr>
          <w:rFonts w:hint="eastAsia" w:ascii="宋体" w:hAnsi="宋体" w:eastAsia="宋体" w:cs="宋体"/>
          <w:sz w:val="21"/>
          <w:szCs w:val="21"/>
          <w:lang w:eastAsia="zh-CN"/>
        </w:rPr>
      </w:pPr>
      <w:r>
        <w:rPr>
          <w:rFonts w:hint="eastAsia" w:ascii="宋体" w:hAnsi="宋体" w:eastAsia="宋体" w:cs="宋体"/>
          <w:spacing w:val="-3"/>
          <w:sz w:val="21"/>
          <w:szCs w:val="21"/>
        </w:rPr>
        <w:t>暂定总价</w:t>
      </w:r>
      <w:r>
        <w:rPr>
          <w:rFonts w:hint="eastAsia" w:ascii="宋体" w:hAnsi="宋体" w:eastAsia="宋体" w:cs="宋体"/>
          <w:spacing w:val="-3"/>
          <w:sz w:val="21"/>
          <w:szCs w:val="21"/>
          <w:lang w:val="en-US"/>
        </w:rPr>
        <w:t>:</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u w:val="single"/>
          <w:lang w:val="en-US" w:eastAsia="zh-CN"/>
        </w:rPr>
        <w:t xml:space="preserve">               </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lang w:val="en-US" w:eastAsia="zh-CN"/>
        </w:rPr>
        <w:t>；</w:t>
      </w:r>
    </w:p>
    <w:p>
      <w:pPr>
        <w:pStyle w:val="24"/>
        <w:keepNext w:val="0"/>
        <w:keepLines w:val="0"/>
        <w:pageBreakBefore w:val="0"/>
        <w:widowControl w:val="0"/>
        <w:tabs>
          <w:tab w:val="left" w:pos="1118"/>
        </w:tabs>
        <w:kinsoku/>
        <w:wordWrap/>
        <w:overflowPunct/>
        <w:topLinePunct w:val="0"/>
        <w:autoSpaceDE/>
        <w:autoSpaceDN/>
        <w:bidi w:val="0"/>
        <w:adjustRightInd w:val="0"/>
        <w:snapToGrid w:val="0"/>
        <w:spacing w:line="500" w:lineRule="exact"/>
        <w:ind w:left="420" w:leftChars="200" w:firstLine="408" w:firstLineChars="200"/>
        <w:jc w:val="both"/>
        <w:textAlignment w:val="auto"/>
        <w:rPr>
          <w:rFonts w:hint="eastAsia" w:ascii="宋体" w:hAnsi="宋体" w:eastAsia="宋体" w:cs="宋体"/>
          <w:sz w:val="21"/>
          <w:szCs w:val="21"/>
          <w:lang w:eastAsia="zh-CN"/>
        </w:rPr>
      </w:pPr>
      <w:r>
        <w:rPr>
          <w:rFonts w:hint="eastAsia" w:ascii="宋体" w:hAnsi="宋体" w:eastAsia="宋体" w:cs="宋体"/>
          <w:spacing w:val="-3"/>
          <w:sz w:val="21"/>
          <w:szCs w:val="21"/>
        </w:rPr>
        <w:t>按费率计取</w:t>
      </w:r>
      <w:r>
        <w:rPr>
          <w:rFonts w:hint="eastAsia" w:ascii="宋体" w:hAnsi="宋体" w:eastAsia="宋体" w:cs="宋体"/>
          <w:spacing w:val="-3"/>
          <w:sz w:val="21"/>
          <w:szCs w:val="21"/>
          <w:lang w:val="en-US"/>
        </w:rPr>
        <w:t>:</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u w:val="single"/>
          <w:lang w:val="en-US" w:eastAsia="zh-CN"/>
        </w:rPr>
        <w:t xml:space="preserve">             </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lang w:val="en-US" w:eastAsia="zh-CN"/>
        </w:rPr>
        <w:t>；</w:t>
      </w:r>
    </w:p>
    <w:p>
      <w:pPr>
        <w:pStyle w:val="24"/>
        <w:keepNext w:val="0"/>
        <w:keepLines w:val="0"/>
        <w:pageBreakBefore w:val="0"/>
        <w:widowControl w:val="0"/>
        <w:tabs>
          <w:tab w:val="left" w:pos="1118"/>
        </w:tabs>
        <w:kinsoku/>
        <w:wordWrap/>
        <w:overflowPunct/>
        <w:topLinePunct w:val="0"/>
        <w:autoSpaceDE/>
        <w:autoSpaceDN/>
        <w:bidi w:val="0"/>
        <w:adjustRightInd w:val="0"/>
        <w:snapToGrid w:val="0"/>
        <w:spacing w:line="500" w:lineRule="exact"/>
        <w:ind w:left="420" w:leftChars="200" w:firstLine="416" w:firstLineChars="200"/>
        <w:jc w:val="both"/>
        <w:textAlignment w:val="auto"/>
        <w:rPr>
          <w:rFonts w:hint="eastAsia" w:ascii="宋体" w:hAnsi="宋体" w:eastAsia="宋体" w:cs="宋体"/>
          <w:sz w:val="21"/>
          <w:szCs w:val="21"/>
          <w:lang w:eastAsia="zh-CN"/>
        </w:rPr>
      </w:pPr>
      <w:r>
        <w:rPr>
          <w:rFonts w:hint="eastAsia" w:ascii="宋体" w:hAnsi="宋体" w:eastAsia="宋体" w:cs="宋体"/>
          <w:spacing w:val="-1"/>
          <w:sz w:val="21"/>
          <w:szCs w:val="21"/>
        </w:rPr>
        <w:t>其 他</w:t>
      </w:r>
      <w:r>
        <w:rPr>
          <w:rFonts w:hint="eastAsia" w:ascii="宋体" w:hAnsi="宋体" w:eastAsia="宋体" w:cs="宋体"/>
          <w:spacing w:val="-1"/>
          <w:sz w:val="21"/>
          <w:szCs w:val="21"/>
          <w:lang w:val="en-US"/>
        </w:rPr>
        <w:t>:</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u w:val="single"/>
          <w:lang w:val="en-US" w:eastAsia="zh-CN"/>
        </w:rPr>
        <w:t xml:space="preserve">            </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u w:val="single"/>
          <w:lang w:val="en-US" w:eastAsia="zh-CN"/>
        </w:rPr>
        <w:t xml:space="preserve"> </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lang w:val="en-US" w:eastAsia="zh-CN"/>
        </w:rPr>
        <w:t>。</w:t>
      </w:r>
    </w:p>
    <w:p>
      <w:pPr>
        <w:pStyle w:val="24"/>
        <w:keepNext w:val="0"/>
        <w:keepLines w:val="0"/>
        <w:pageBreakBefore w:val="0"/>
        <w:widowControl w:val="0"/>
        <w:tabs>
          <w:tab w:val="left" w:pos="1118"/>
        </w:tabs>
        <w:kinsoku/>
        <w:wordWrap/>
        <w:overflowPunct/>
        <w:topLinePunct w:val="0"/>
        <w:autoSpaceDE/>
        <w:autoSpaceDN/>
        <w:bidi w:val="0"/>
        <w:adjustRightInd w:val="0"/>
        <w:snapToGrid w:val="0"/>
        <w:spacing w:line="500" w:lineRule="exact"/>
        <w:ind w:left="420" w:leftChars="200" w:firstLine="0"/>
        <w:jc w:val="both"/>
        <w:textAlignment w:val="auto"/>
        <w:rPr>
          <w:rFonts w:hint="eastAsia" w:ascii="宋体" w:hAnsi="宋体" w:eastAsia="宋体" w:cs="宋体"/>
          <w:spacing w:val="-3"/>
          <w:sz w:val="21"/>
          <w:szCs w:val="21"/>
          <w:lang w:eastAsia="zh-CN"/>
        </w:rPr>
      </w:pPr>
      <w:r>
        <w:rPr>
          <w:rFonts w:hint="eastAsia" w:ascii="宋体" w:hAnsi="宋体" w:eastAsia="宋体" w:cs="宋体"/>
          <w:spacing w:val="-3"/>
          <w:sz w:val="21"/>
          <w:szCs w:val="21"/>
          <w:lang w:val="en-US"/>
        </w:rPr>
        <w:t>2、</w:t>
      </w:r>
      <w:r>
        <w:rPr>
          <w:rFonts w:hint="eastAsia" w:ascii="宋体" w:hAnsi="宋体" w:eastAsia="宋体" w:cs="宋体"/>
          <w:spacing w:val="-3"/>
          <w:sz w:val="21"/>
          <w:szCs w:val="21"/>
        </w:rPr>
        <w:t>签约合同价为：人</w:t>
      </w:r>
      <w:r>
        <w:rPr>
          <w:rFonts w:hint="eastAsia" w:ascii="宋体" w:hAnsi="宋体" w:eastAsia="宋体" w:cs="宋体"/>
          <w:sz w:val="21"/>
          <w:szCs w:val="21"/>
        </w:rPr>
        <w:t>民</w:t>
      </w:r>
      <w:r>
        <w:rPr>
          <w:rFonts w:hint="eastAsia" w:ascii="宋体" w:hAnsi="宋体" w:eastAsia="宋体" w:cs="宋体"/>
          <w:spacing w:val="-3"/>
          <w:sz w:val="21"/>
          <w:szCs w:val="21"/>
        </w:rPr>
        <w:t>币大</w:t>
      </w:r>
      <w:r>
        <w:rPr>
          <w:rFonts w:hint="eastAsia" w:ascii="宋体" w:hAnsi="宋体" w:eastAsia="宋体" w:cs="宋体"/>
          <w:sz w:val="21"/>
          <w:szCs w:val="21"/>
        </w:rPr>
        <w:t>写</w:t>
      </w:r>
      <w:r>
        <w:rPr>
          <w:rFonts w:hint="eastAsia" w:ascii="宋体" w:hAnsi="宋体" w:eastAsia="宋体" w:cs="宋体"/>
          <w:sz w:val="21"/>
          <w:szCs w:val="21"/>
          <w:u w:val="single"/>
          <w:lang w:val="en-US" w:eastAsia="zh-CN"/>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w:t>
      </w:r>
      <w:r>
        <w:rPr>
          <w:rFonts w:hint="eastAsia" w:ascii="宋体" w:hAnsi="宋体" w:eastAsia="宋体" w:cs="宋体"/>
          <w:sz w:val="21"/>
          <w:szCs w:val="21"/>
          <w:u w:val="single"/>
          <w:lang w:val="en-US" w:eastAsia="zh-CN"/>
        </w:rPr>
        <w:t xml:space="preserve">         </w:t>
      </w:r>
      <w:r>
        <w:rPr>
          <w:rFonts w:hint="eastAsia" w:ascii="宋体" w:hAnsi="宋体" w:eastAsia="宋体" w:cs="宋体"/>
          <w:spacing w:val="-3"/>
          <w:sz w:val="21"/>
          <w:szCs w:val="21"/>
        </w:rPr>
        <w:t>元</w:t>
      </w:r>
      <w:r>
        <w:rPr>
          <w:rFonts w:hint="eastAsia" w:ascii="宋体" w:hAnsi="宋体" w:eastAsia="宋体" w:cs="宋体"/>
          <w:spacing w:val="-3"/>
          <w:sz w:val="21"/>
          <w:szCs w:val="21"/>
          <w:lang w:eastAsia="zh-CN"/>
        </w:rPr>
        <w:t>）。</w:t>
      </w:r>
    </w:p>
    <w:p>
      <w:pPr>
        <w:pStyle w:val="2"/>
        <w:numPr>
          <w:ilvl w:val="0"/>
          <w:numId w:val="0"/>
        </w:numPr>
        <w:tabs>
          <w:tab w:val="left" w:pos="2691"/>
        </w:tabs>
        <w:adjustRightInd w:val="0"/>
        <w:snapToGrid w:val="0"/>
        <w:spacing w:line="360" w:lineRule="auto"/>
        <w:jc w:val="both"/>
        <w:rPr>
          <w:rFonts w:hint="eastAsia" w:cs="宋体"/>
          <w:b/>
          <w:bCs w:val="0"/>
          <w:sz w:val="24"/>
          <w:szCs w:val="24"/>
          <w:lang w:val="en-US" w:eastAsia="zh-CN"/>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rPr>
      </w:pPr>
      <w:r>
        <w:rPr>
          <w:rFonts w:hint="eastAsia" w:cs="宋体"/>
          <w:b/>
          <w:bCs w:val="0"/>
          <w:sz w:val="24"/>
          <w:szCs w:val="24"/>
          <w:lang w:val="en-US" w:eastAsia="zh-CN"/>
        </w:rPr>
        <w:t>四、</w:t>
      </w:r>
      <w:r>
        <w:rPr>
          <w:rFonts w:hint="eastAsia" w:ascii="宋体" w:hAnsi="宋体" w:eastAsia="宋体" w:cs="宋体"/>
          <w:b/>
          <w:bCs w:val="0"/>
          <w:sz w:val="24"/>
          <w:szCs w:val="24"/>
        </w:rPr>
        <w:t>委托方代表与咨询方主要负责人</w:t>
      </w:r>
    </w:p>
    <w:p>
      <w:pPr>
        <w:pStyle w:val="24"/>
        <w:keepNext w:val="0"/>
        <w:keepLines w:val="0"/>
        <w:pageBreakBefore w:val="0"/>
        <w:widowControl w:val="0"/>
        <w:numPr>
          <w:ilvl w:val="0"/>
          <w:numId w:val="0"/>
        </w:numPr>
        <w:tabs>
          <w:tab w:val="left" w:pos="1118"/>
        </w:tabs>
        <w:kinsoku/>
        <w:wordWrap/>
        <w:overflowPunct/>
        <w:topLinePunct w:val="0"/>
        <w:autoSpaceDE/>
        <w:autoSpaceDN/>
        <w:bidi w:val="0"/>
        <w:adjustRightInd w:val="0"/>
        <w:snapToGrid w:val="0"/>
        <w:spacing w:line="500" w:lineRule="exact"/>
        <w:ind w:leftChars="200"/>
        <w:jc w:val="both"/>
        <w:textAlignment w:val="auto"/>
        <w:rPr>
          <w:rFonts w:hint="eastAsia" w:ascii="宋体" w:hAnsi="宋体" w:eastAsia="宋体" w:cs="宋体"/>
          <w:b/>
          <w:bCs/>
          <w:kern w:val="2"/>
          <w:sz w:val="21"/>
          <w:szCs w:val="21"/>
          <w:lang w:val="zh-CN" w:eastAsia="zh-CN" w:bidi="zh-CN"/>
        </w:rPr>
      </w:pPr>
      <w:r>
        <w:rPr>
          <w:rFonts w:hint="eastAsia" w:ascii="宋体" w:hAnsi="宋体" w:eastAsia="宋体" w:cs="宋体"/>
          <w:b/>
          <w:bCs/>
          <w:kern w:val="2"/>
          <w:sz w:val="21"/>
          <w:szCs w:val="21"/>
          <w:lang w:val="en-US" w:eastAsia="zh-CN" w:bidi="zh-CN"/>
        </w:rPr>
        <w:t>1.</w:t>
      </w:r>
      <w:r>
        <w:rPr>
          <w:rFonts w:hint="eastAsia" w:ascii="宋体" w:hAnsi="宋体" w:eastAsia="宋体" w:cs="宋体"/>
          <w:b/>
          <w:bCs/>
          <w:kern w:val="2"/>
          <w:sz w:val="21"/>
          <w:szCs w:val="21"/>
          <w:lang w:val="zh-CN" w:eastAsia="zh-CN" w:bidi="zh-CN"/>
        </w:rPr>
        <w:t>委托方代表</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val="zh-CN" w:eastAsia="zh-CN" w:bidi="zh-CN"/>
        </w:rPr>
        <w:t>姓</w:t>
      </w:r>
      <w:r>
        <w:rPr>
          <w:rFonts w:hint="eastAsia" w:ascii="宋体" w:hAnsi="宋体" w:eastAsia="宋体" w:cs="宋体"/>
          <w:kern w:val="2"/>
          <w:sz w:val="21"/>
          <w:szCs w:val="21"/>
          <w:lang w:val="en-US" w:eastAsia="zh-CN" w:bidi="zh-CN"/>
        </w:rPr>
        <w:t xml:space="preserve">   </w:t>
      </w:r>
      <w:r>
        <w:rPr>
          <w:rFonts w:hint="eastAsia" w:ascii="宋体" w:hAnsi="宋体" w:cs="宋体"/>
          <w:kern w:val="2"/>
          <w:sz w:val="21"/>
          <w:szCs w:val="21"/>
          <w:lang w:val="en-US" w:eastAsia="zh-CN" w:bidi="zh-CN"/>
        </w:rPr>
        <w:t xml:space="preserve"> </w:t>
      </w:r>
      <w:r>
        <w:rPr>
          <w:rFonts w:hint="eastAsia" w:ascii="宋体" w:hAnsi="宋体" w:eastAsia="宋体" w:cs="宋体"/>
          <w:kern w:val="2"/>
          <w:sz w:val="21"/>
          <w:szCs w:val="21"/>
          <w:lang w:val="zh-CN" w:eastAsia="zh-CN" w:bidi="zh-CN"/>
        </w:rPr>
        <w:t>名：</w:t>
      </w:r>
      <w:r>
        <w:rPr>
          <w:rFonts w:hint="eastAsia" w:ascii="宋体" w:hAnsi="宋体" w:eastAsia="宋体" w:cs="宋体"/>
          <w:kern w:val="2"/>
          <w:sz w:val="21"/>
          <w:szCs w:val="21"/>
          <w:u w:val="single"/>
          <w:lang w:val="zh-CN" w:eastAsia="zh-CN" w:bidi="zh-CN"/>
        </w:rPr>
        <w:t xml:space="preserve">   </w:t>
      </w:r>
      <w:r>
        <w:rPr>
          <w:rFonts w:hint="eastAsia" w:ascii="宋体" w:hAnsi="宋体" w:eastAsia="宋体" w:cs="宋体"/>
          <w:kern w:val="2"/>
          <w:sz w:val="21"/>
          <w:szCs w:val="21"/>
          <w:u w:val="single"/>
          <w:lang w:val="zh-CN" w:eastAsia="zh-CN" w:bidi="zh-CN"/>
        </w:rPr>
        <w:tab/>
      </w:r>
      <w:r>
        <w:rPr>
          <w:rFonts w:hint="eastAsia" w:ascii="宋体" w:hAnsi="宋体" w:eastAsia="宋体" w:cs="宋体"/>
          <w:kern w:val="2"/>
          <w:sz w:val="21"/>
          <w:szCs w:val="21"/>
          <w:u w:val="single"/>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eastAsia="宋体" w:cs="宋体"/>
          <w:kern w:val="2"/>
          <w:sz w:val="21"/>
          <w:szCs w:val="21"/>
          <w:u w:val="single"/>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 xml:space="preserve">     </w:t>
      </w:r>
      <w:r>
        <w:rPr>
          <w:rFonts w:hint="eastAsia" w:ascii="宋体" w:hAnsi="宋体" w:eastAsia="宋体" w:cs="宋体"/>
          <w:kern w:val="2"/>
          <w:sz w:val="21"/>
          <w:szCs w:val="21"/>
          <w:lang w:val="zh-CN" w:eastAsia="zh-CN" w:bidi="zh-CN"/>
        </w:rPr>
        <w:t>身份证号码：</w:t>
      </w:r>
      <w:r>
        <w:rPr>
          <w:rFonts w:hint="eastAsia" w:ascii="宋体" w:hAnsi="宋体" w:eastAsia="宋体" w:cs="宋体"/>
          <w:kern w:val="2"/>
          <w:sz w:val="21"/>
          <w:szCs w:val="21"/>
          <w:u w:val="single"/>
          <w:lang w:val="zh-CN" w:eastAsia="zh-CN" w:bidi="zh-CN"/>
        </w:rPr>
        <w:t xml:space="preserve">   </w:t>
      </w:r>
      <w:r>
        <w:rPr>
          <w:rFonts w:hint="eastAsia" w:ascii="宋体" w:hAnsi="宋体" w:eastAsia="宋体" w:cs="宋体"/>
          <w:kern w:val="2"/>
          <w:sz w:val="21"/>
          <w:szCs w:val="21"/>
          <w:u w:val="single"/>
          <w:lang w:val="zh-CN" w:eastAsia="zh-CN" w:bidi="zh-CN"/>
        </w:rPr>
        <w:tab/>
      </w:r>
      <w:r>
        <w:rPr>
          <w:rFonts w:hint="eastAsia" w:ascii="宋体" w:hAnsi="宋体" w:eastAsia="宋体" w:cs="宋体"/>
          <w:kern w:val="2"/>
          <w:sz w:val="21"/>
          <w:szCs w:val="21"/>
          <w:u w:val="single"/>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 xml:space="preserve"> </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宋体" w:hAnsi="宋体" w:eastAsia="宋体" w:cs="宋体"/>
          <w:kern w:val="2"/>
          <w:sz w:val="21"/>
          <w:szCs w:val="21"/>
          <w:lang w:val="en-US" w:eastAsia="zh-CN" w:bidi="zh-CN"/>
        </w:rPr>
      </w:pPr>
      <w:r>
        <w:rPr>
          <w:rFonts w:hint="eastAsia" w:ascii="宋体" w:hAnsi="宋体" w:eastAsia="宋体" w:cs="宋体"/>
          <w:kern w:val="2"/>
          <w:sz w:val="21"/>
          <w:szCs w:val="21"/>
          <w:lang w:val="zh-CN" w:eastAsia="zh-CN" w:bidi="zh-CN"/>
        </w:rPr>
        <w:t>执业资格：</w:t>
      </w:r>
      <w:r>
        <w:rPr>
          <w:rFonts w:hint="eastAsia" w:ascii="宋体" w:hAnsi="宋体" w:eastAsia="宋体" w:cs="宋体"/>
          <w:kern w:val="2"/>
          <w:sz w:val="21"/>
          <w:szCs w:val="21"/>
          <w:u w:val="single"/>
          <w:lang w:val="zh-CN" w:eastAsia="zh-CN" w:bidi="zh-CN"/>
        </w:rPr>
        <w:t xml:space="preserve">   </w:t>
      </w:r>
      <w:r>
        <w:rPr>
          <w:rFonts w:hint="eastAsia" w:ascii="宋体" w:hAnsi="宋体" w:eastAsia="宋体" w:cs="宋体"/>
          <w:kern w:val="2"/>
          <w:sz w:val="21"/>
          <w:szCs w:val="21"/>
          <w:u w:val="single"/>
          <w:lang w:val="zh-CN" w:eastAsia="zh-CN" w:bidi="zh-CN"/>
        </w:rPr>
        <w:tab/>
      </w:r>
      <w:r>
        <w:rPr>
          <w:rFonts w:hint="eastAsia" w:ascii="宋体" w:hAnsi="宋体" w:eastAsia="宋体" w:cs="宋体"/>
          <w:kern w:val="2"/>
          <w:sz w:val="21"/>
          <w:szCs w:val="21"/>
          <w:u w:val="single"/>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 xml:space="preserve">     </w:t>
      </w:r>
      <w:r>
        <w:rPr>
          <w:rFonts w:hint="eastAsia" w:ascii="宋体" w:hAnsi="宋体" w:eastAsia="宋体" w:cs="宋体"/>
          <w:kern w:val="2"/>
          <w:sz w:val="21"/>
          <w:szCs w:val="21"/>
          <w:lang w:val="zh-CN" w:eastAsia="zh-CN" w:bidi="zh-CN"/>
        </w:rPr>
        <w:t>注册号：</w:t>
      </w:r>
      <w:r>
        <w:rPr>
          <w:rFonts w:hint="eastAsia" w:ascii="宋体" w:hAnsi="宋体" w:eastAsia="宋体" w:cs="宋体"/>
          <w:kern w:val="2"/>
          <w:sz w:val="21"/>
          <w:szCs w:val="21"/>
          <w:u w:val="single"/>
          <w:lang w:val="zh-CN" w:eastAsia="zh-CN" w:bidi="zh-CN"/>
        </w:rPr>
        <w:t xml:space="preserve">   </w:t>
      </w:r>
      <w:r>
        <w:rPr>
          <w:rFonts w:hint="eastAsia" w:ascii="宋体" w:hAnsi="宋体" w:eastAsia="宋体" w:cs="宋体"/>
          <w:kern w:val="2"/>
          <w:sz w:val="21"/>
          <w:szCs w:val="21"/>
          <w:u w:val="single"/>
          <w:lang w:val="zh-CN" w:eastAsia="zh-CN" w:bidi="zh-CN"/>
        </w:rPr>
        <w:tab/>
      </w:r>
      <w:r>
        <w:rPr>
          <w:rFonts w:hint="eastAsia" w:ascii="宋体" w:hAnsi="宋体" w:eastAsia="宋体" w:cs="宋体"/>
          <w:kern w:val="2"/>
          <w:sz w:val="21"/>
          <w:szCs w:val="21"/>
          <w:u w:val="single"/>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 xml:space="preserve"> </w:t>
      </w:r>
    </w:p>
    <w:p>
      <w:pPr>
        <w:pStyle w:val="24"/>
        <w:keepNext w:val="0"/>
        <w:keepLines w:val="0"/>
        <w:pageBreakBefore w:val="0"/>
        <w:widowControl w:val="0"/>
        <w:numPr>
          <w:ilvl w:val="0"/>
          <w:numId w:val="0"/>
        </w:numPr>
        <w:tabs>
          <w:tab w:val="left" w:pos="1118"/>
        </w:tabs>
        <w:kinsoku/>
        <w:wordWrap/>
        <w:overflowPunct/>
        <w:topLinePunct w:val="0"/>
        <w:autoSpaceDE/>
        <w:autoSpaceDN/>
        <w:bidi w:val="0"/>
        <w:adjustRightInd w:val="0"/>
        <w:snapToGrid w:val="0"/>
        <w:spacing w:line="500" w:lineRule="exact"/>
        <w:ind w:leftChars="200"/>
        <w:jc w:val="both"/>
        <w:textAlignment w:val="auto"/>
        <w:rPr>
          <w:rFonts w:hint="eastAsia" w:ascii="宋体" w:hAnsi="宋体" w:eastAsia="宋体" w:cs="宋体"/>
          <w:b/>
          <w:bCs/>
          <w:kern w:val="2"/>
          <w:sz w:val="21"/>
          <w:szCs w:val="21"/>
          <w:lang w:val="zh-CN" w:eastAsia="zh-CN" w:bidi="zh-CN"/>
        </w:rPr>
      </w:pPr>
      <w:r>
        <w:rPr>
          <w:rFonts w:hint="eastAsia" w:ascii="宋体" w:hAnsi="宋体" w:eastAsia="宋体" w:cs="宋体"/>
          <w:b/>
          <w:bCs/>
          <w:kern w:val="2"/>
          <w:sz w:val="21"/>
          <w:szCs w:val="21"/>
          <w:lang w:val="en-US" w:eastAsia="zh-CN" w:bidi="zh-CN"/>
        </w:rPr>
        <w:t>2.</w:t>
      </w:r>
      <w:r>
        <w:rPr>
          <w:rFonts w:hint="eastAsia" w:ascii="宋体" w:hAnsi="宋体" w:eastAsia="宋体" w:cs="宋体"/>
          <w:b/>
          <w:bCs/>
          <w:kern w:val="2"/>
          <w:sz w:val="21"/>
          <w:szCs w:val="21"/>
          <w:lang w:val="zh-CN" w:eastAsia="zh-CN" w:bidi="zh-CN"/>
        </w:rPr>
        <w:t>咨询方主要负责人</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eastAsia" w:ascii="宋体" w:hAnsi="宋体" w:eastAsia="宋体" w:cs="宋体"/>
          <w:kern w:val="2"/>
          <w:sz w:val="21"/>
          <w:szCs w:val="21"/>
          <w:lang w:val="zh-CN" w:eastAsia="zh-CN" w:bidi="zh-CN"/>
        </w:rPr>
      </w:pPr>
      <w:r>
        <w:rPr>
          <w:rFonts w:hint="eastAsia" w:ascii="宋体" w:hAnsi="宋体" w:cs="宋体"/>
          <w:kern w:val="2"/>
          <w:sz w:val="21"/>
          <w:szCs w:val="21"/>
          <w:lang w:val="zh-CN" w:eastAsia="zh-CN" w:bidi="zh-CN"/>
        </w:rPr>
        <w:t>（</w:t>
      </w:r>
      <w:r>
        <w:rPr>
          <w:rFonts w:hint="eastAsia" w:ascii="宋体" w:hAnsi="宋体" w:cs="宋体"/>
          <w:kern w:val="2"/>
          <w:sz w:val="21"/>
          <w:szCs w:val="21"/>
          <w:lang w:val="en-US" w:eastAsia="zh-CN" w:bidi="zh-CN"/>
        </w:rPr>
        <w:t>1</w:t>
      </w:r>
      <w:r>
        <w:rPr>
          <w:rFonts w:hint="eastAsia" w:ascii="宋体" w:hAnsi="宋体" w:cs="宋体"/>
          <w:kern w:val="2"/>
          <w:sz w:val="21"/>
          <w:szCs w:val="21"/>
          <w:lang w:val="zh-CN" w:eastAsia="zh-CN" w:bidi="zh-CN"/>
        </w:rPr>
        <w:t>）</w:t>
      </w:r>
      <w:r>
        <w:rPr>
          <w:rFonts w:hint="eastAsia" w:ascii="宋体" w:hAnsi="宋体" w:eastAsia="宋体" w:cs="宋体"/>
          <w:kern w:val="2"/>
          <w:sz w:val="21"/>
          <w:szCs w:val="21"/>
          <w:lang w:val="zh-CN" w:eastAsia="zh-CN" w:bidi="zh-CN"/>
        </w:rPr>
        <w:t>项目咨询总负责人：</w:t>
      </w:r>
    </w:p>
    <w:p>
      <w:pPr>
        <w:keepNext w:val="0"/>
        <w:keepLines w:val="0"/>
        <w:pageBreakBefore w:val="0"/>
        <w:widowControl w:val="0"/>
        <w:kinsoku/>
        <w:wordWrap/>
        <w:overflowPunct/>
        <w:topLinePunct w:val="0"/>
        <w:autoSpaceDE/>
        <w:autoSpaceDN/>
        <w:bidi w:val="0"/>
        <w:spacing w:line="500" w:lineRule="exact"/>
        <w:ind w:firstLine="840" w:firstLineChars="40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val="zh-CN" w:eastAsia="zh-CN" w:bidi="zh-CN"/>
        </w:rPr>
        <w:t>姓名：</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身份证号码：</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 xml:space="preserve"> 执业资格：</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注册号：</w:t>
      </w:r>
      <w:r>
        <w:rPr>
          <w:rFonts w:hint="eastAsia" w:ascii="宋体" w:hAnsi="宋体" w:eastAsia="宋体" w:cs="宋体"/>
          <w:kern w:val="2"/>
          <w:sz w:val="21"/>
          <w:szCs w:val="21"/>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eastAsia" w:ascii="宋体" w:hAnsi="宋体" w:eastAsia="宋体" w:cs="宋体"/>
          <w:kern w:val="2"/>
          <w:sz w:val="21"/>
          <w:szCs w:val="21"/>
          <w:lang w:val="zh-CN" w:eastAsia="zh-CN" w:bidi="zh-CN"/>
        </w:rPr>
      </w:pPr>
      <w:r>
        <w:rPr>
          <w:rFonts w:hint="eastAsia" w:ascii="宋体" w:hAnsi="宋体" w:cs="宋体"/>
          <w:kern w:val="2"/>
          <w:sz w:val="21"/>
          <w:szCs w:val="21"/>
          <w:lang w:val="zh-CN" w:eastAsia="zh-CN" w:bidi="zh-CN"/>
        </w:rPr>
        <w:t>（</w:t>
      </w:r>
      <w:r>
        <w:rPr>
          <w:rFonts w:hint="eastAsia" w:ascii="宋体" w:hAnsi="宋体" w:cs="宋体"/>
          <w:kern w:val="2"/>
          <w:sz w:val="21"/>
          <w:szCs w:val="21"/>
          <w:lang w:val="en-US" w:eastAsia="zh-CN" w:bidi="zh-CN"/>
        </w:rPr>
        <w:t>2</w:t>
      </w:r>
      <w:r>
        <w:rPr>
          <w:rFonts w:hint="eastAsia" w:ascii="宋体" w:hAnsi="宋体" w:cs="宋体"/>
          <w:kern w:val="2"/>
          <w:sz w:val="21"/>
          <w:szCs w:val="21"/>
          <w:lang w:val="zh-CN" w:eastAsia="zh-CN" w:bidi="zh-CN"/>
        </w:rPr>
        <w:t>）</w:t>
      </w:r>
      <w:r>
        <w:rPr>
          <w:rFonts w:hint="eastAsia" w:ascii="宋体" w:hAnsi="宋体" w:eastAsia="宋体" w:cs="宋体"/>
          <w:kern w:val="2"/>
          <w:sz w:val="21"/>
          <w:szCs w:val="21"/>
          <w:lang w:val="zh-CN" w:eastAsia="zh-CN" w:bidi="zh-CN"/>
        </w:rPr>
        <w:t>造价咨询专业负责人：</w:t>
      </w:r>
    </w:p>
    <w:p>
      <w:pPr>
        <w:keepNext w:val="0"/>
        <w:keepLines w:val="0"/>
        <w:pageBreakBefore w:val="0"/>
        <w:widowControl w:val="0"/>
        <w:kinsoku/>
        <w:wordWrap/>
        <w:overflowPunct/>
        <w:topLinePunct w:val="0"/>
        <w:autoSpaceDE/>
        <w:autoSpaceDN/>
        <w:bidi w:val="0"/>
        <w:spacing w:line="500" w:lineRule="exact"/>
        <w:ind w:firstLine="840" w:firstLineChars="40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val="zh-CN" w:eastAsia="zh-CN" w:bidi="zh-CN"/>
        </w:rPr>
        <w:t>姓名：</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身份证号码：</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 xml:space="preserve"> 执业资格：</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注册号：</w:t>
      </w:r>
      <w:r>
        <w:rPr>
          <w:rFonts w:hint="eastAsia" w:ascii="宋体" w:hAnsi="宋体" w:eastAsia="宋体" w:cs="宋体"/>
          <w:kern w:val="2"/>
          <w:sz w:val="21"/>
          <w:szCs w:val="21"/>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eastAsia" w:ascii="宋体" w:hAnsi="宋体" w:eastAsia="宋体" w:cs="宋体"/>
          <w:kern w:val="2"/>
          <w:sz w:val="21"/>
          <w:szCs w:val="21"/>
          <w:lang w:val="zh-CN" w:eastAsia="zh-CN" w:bidi="zh-CN"/>
        </w:rPr>
      </w:pPr>
      <w:r>
        <w:rPr>
          <w:rFonts w:hint="eastAsia" w:ascii="宋体" w:hAnsi="宋体" w:cs="宋体"/>
          <w:kern w:val="2"/>
          <w:sz w:val="21"/>
          <w:szCs w:val="21"/>
          <w:lang w:val="zh-CN" w:eastAsia="zh-CN" w:bidi="zh-CN"/>
        </w:rPr>
        <w:t>（</w:t>
      </w:r>
      <w:r>
        <w:rPr>
          <w:rFonts w:hint="eastAsia" w:ascii="宋体" w:hAnsi="宋体" w:cs="宋体"/>
          <w:kern w:val="2"/>
          <w:sz w:val="21"/>
          <w:szCs w:val="21"/>
          <w:lang w:val="en-US" w:eastAsia="zh-CN" w:bidi="zh-CN"/>
        </w:rPr>
        <w:t>3</w:t>
      </w:r>
      <w:r>
        <w:rPr>
          <w:rFonts w:hint="eastAsia" w:ascii="宋体" w:hAnsi="宋体" w:cs="宋体"/>
          <w:kern w:val="2"/>
          <w:sz w:val="21"/>
          <w:szCs w:val="21"/>
          <w:lang w:val="zh-CN" w:eastAsia="zh-CN" w:bidi="zh-CN"/>
        </w:rPr>
        <w:t>）</w:t>
      </w:r>
      <w:r>
        <w:rPr>
          <w:rFonts w:hint="eastAsia" w:ascii="宋体" w:hAnsi="宋体" w:eastAsia="宋体" w:cs="宋体"/>
          <w:kern w:val="2"/>
          <w:sz w:val="21"/>
          <w:szCs w:val="21"/>
          <w:lang w:val="zh-CN" w:eastAsia="zh-CN" w:bidi="zh-CN"/>
        </w:rPr>
        <w:t>工程监理专业负责人：</w:t>
      </w:r>
    </w:p>
    <w:p>
      <w:pPr>
        <w:keepNext w:val="0"/>
        <w:keepLines w:val="0"/>
        <w:pageBreakBefore w:val="0"/>
        <w:widowControl w:val="0"/>
        <w:kinsoku/>
        <w:wordWrap/>
        <w:overflowPunct/>
        <w:topLinePunct w:val="0"/>
        <w:autoSpaceDE/>
        <w:autoSpaceDN/>
        <w:bidi w:val="0"/>
        <w:spacing w:line="500" w:lineRule="exact"/>
        <w:ind w:firstLine="840" w:firstLineChars="40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val="zh-CN" w:eastAsia="zh-CN" w:bidi="zh-CN"/>
        </w:rPr>
        <w:t>姓名：</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身份证号码：</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 xml:space="preserve"> 执业资格：</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注册号：</w:t>
      </w:r>
      <w:r>
        <w:rPr>
          <w:rFonts w:hint="eastAsia" w:ascii="宋体" w:hAnsi="宋体" w:eastAsia="宋体" w:cs="宋体"/>
          <w:kern w:val="2"/>
          <w:sz w:val="21"/>
          <w:szCs w:val="21"/>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eastAsia" w:ascii="宋体" w:hAnsi="宋体" w:eastAsia="宋体" w:cs="宋体"/>
          <w:kern w:val="2"/>
          <w:sz w:val="21"/>
          <w:szCs w:val="21"/>
          <w:lang w:val="zh-CN" w:eastAsia="zh-CN" w:bidi="zh-CN"/>
        </w:rPr>
      </w:pPr>
      <w:r>
        <w:rPr>
          <w:rFonts w:hint="eastAsia" w:ascii="宋体" w:hAnsi="宋体" w:cs="宋体"/>
          <w:kern w:val="2"/>
          <w:sz w:val="21"/>
          <w:szCs w:val="21"/>
          <w:lang w:val="zh-CN" w:eastAsia="zh-CN" w:bidi="zh-CN"/>
        </w:rPr>
        <w:t>（</w:t>
      </w:r>
      <w:r>
        <w:rPr>
          <w:rFonts w:hint="eastAsia" w:ascii="宋体" w:hAnsi="宋体" w:cs="宋体"/>
          <w:kern w:val="2"/>
          <w:sz w:val="21"/>
          <w:szCs w:val="21"/>
          <w:lang w:val="en-US" w:eastAsia="zh-CN" w:bidi="zh-CN"/>
        </w:rPr>
        <w:t>4</w:t>
      </w:r>
      <w:r>
        <w:rPr>
          <w:rFonts w:hint="eastAsia" w:ascii="宋体" w:hAnsi="宋体" w:cs="宋体"/>
          <w:kern w:val="2"/>
          <w:sz w:val="21"/>
          <w:szCs w:val="21"/>
          <w:lang w:val="zh-CN" w:eastAsia="zh-CN" w:bidi="zh-CN"/>
        </w:rPr>
        <w:t>）</w:t>
      </w:r>
      <w:r>
        <w:rPr>
          <w:rFonts w:hint="eastAsia" w:ascii="宋体" w:hAnsi="宋体" w:eastAsia="宋体" w:cs="宋体"/>
          <w:kern w:val="2"/>
          <w:sz w:val="21"/>
          <w:szCs w:val="21"/>
          <w:lang w:val="zh-CN" w:eastAsia="zh-CN" w:bidi="zh-CN"/>
        </w:rPr>
        <w:t>项目管理负责人：</w:t>
      </w:r>
    </w:p>
    <w:p>
      <w:pPr>
        <w:keepNext w:val="0"/>
        <w:keepLines w:val="0"/>
        <w:pageBreakBefore w:val="0"/>
        <w:widowControl w:val="0"/>
        <w:kinsoku/>
        <w:wordWrap/>
        <w:overflowPunct/>
        <w:topLinePunct w:val="0"/>
        <w:autoSpaceDE/>
        <w:autoSpaceDN/>
        <w:bidi w:val="0"/>
        <w:spacing w:line="500" w:lineRule="exact"/>
        <w:ind w:firstLine="840" w:firstLineChars="400"/>
        <w:textAlignment w:val="auto"/>
        <w:rPr>
          <w:rFonts w:hint="eastAsia" w:ascii="宋体" w:hAnsi="宋体" w:cs="宋体"/>
          <w:kern w:val="2"/>
          <w:sz w:val="21"/>
          <w:szCs w:val="21"/>
          <w:lang w:val="en-US" w:eastAsia="zh-CN" w:bidi="zh-CN"/>
        </w:rPr>
      </w:pPr>
      <w:r>
        <w:rPr>
          <w:rFonts w:hint="eastAsia" w:ascii="宋体" w:hAnsi="宋体" w:eastAsia="宋体" w:cs="宋体"/>
          <w:kern w:val="2"/>
          <w:sz w:val="21"/>
          <w:szCs w:val="21"/>
          <w:lang w:val="zh-CN" w:eastAsia="zh-CN" w:bidi="zh-CN"/>
        </w:rPr>
        <w:t>姓名：</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身份证号码：</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 xml:space="preserve"> 执业资格：</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注册号：</w:t>
      </w:r>
      <w:r>
        <w:rPr>
          <w:rFonts w:hint="eastAsia" w:ascii="宋体" w:hAnsi="宋体" w:eastAsia="宋体" w:cs="宋体"/>
          <w:kern w:val="2"/>
          <w:sz w:val="21"/>
          <w:szCs w:val="21"/>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eastAsia" w:ascii="宋体" w:hAnsi="宋体" w:eastAsia="宋体" w:cs="宋体"/>
          <w:kern w:val="2"/>
          <w:sz w:val="21"/>
          <w:szCs w:val="21"/>
          <w:lang w:val="zh-CN" w:eastAsia="zh-CN" w:bidi="zh-CN"/>
        </w:rPr>
      </w:pPr>
      <w:r>
        <w:rPr>
          <w:rFonts w:hint="eastAsia" w:ascii="宋体" w:hAnsi="宋体" w:cs="宋体"/>
          <w:kern w:val="2"/>
          <w:sz w:val="21"/>
          <w:szCs w:val="21"/>
          <w:lang w:val="zh-CN" w:eastAsia="zh-CN" w:bidi="zh-CN"/>
        </w:rPr>
        <w:t>（</w:t>
      </w:r>
      <w:r>
        <w:rPr>
          <w:rFonts w:hint="eastAsia" w:ascii="宋体" w:hAnsi="宋体" w:cs="宋体"/>
          <w:kern w:val="2"/>
          <w:sz w:val="21"/>
          <w:szCs w:val="21"/>
          <w:lang w:val="en-US" w:eastAsia="zh-CN" w:bidi="zh-CN"/>
        </w:rPr>
        <w:t>5</w:t>
      </w:r>
      <w:r>
        <w:rPr>
          <w:rFonts w:hint="eastAsia" w:ascii="宋体" w:hAnsi="宋体" w:cs="宋体"/>
          <w:kern w:val="2"/>
          <w:sz w:val="21"/>
          <w:szCs w:val="21"/>
          <w:lang w:val="zh-CN" w:eastAsia="zh-CN" w:bidi="zh-CN"/>
        </w:rPr>
        <w:t>）</w:t>
      </w:r>
      <w:r>
        <w:rPr>
          <w:rFonts w:hint="eastAsia" w:ascii="宋体" w:hAnsi="宋体" w:cs="宋体"/>
          <w:kern w:val="2"/>
          <w:sz w:val="21"/>
          <w:szCs w:val="21"/>
          <w:lang w:val="en-US" w:eastAsia="zh-CN" w:bidi="zh-CN"/>
        </w:rPr>
        <w:t>采购</w:t>
      </w:r>
      <w:r>
        <w:rPr>
          <w:rFonts w:hint="eastAsia" w:ascii="宋体" w:hAnsi="宋体" w:eastAsia="宋体" w:cs="宋体"/>
          <w:kern w:val="2"/>
          <w:sz w:val="21"/>
          <w:szCs w:val="21"/>
          <w:lang w:val="zh-CN" w:eastAsia="zh-CN" w:bidi="zh-CN"/>
        </w:rPr>
        <w:t>管理负责人：</w:t>
      </w:r>
    </w:p>
    <w:p>
      <w:pPr>
        <w:keepNext w:val="0"/>
        <w:keepLines w:val="0"/>
        <w:pageBreakBefore w:val="0"/>
        <w:widowControl w:val="0"/>
        <w:kinsoku/>
        <w:wordWrap/>
        <w:overflowPunct/>
        <w:topLinePunct w:val="0"/>
        <w:autoSpaceDE/>
        <w:autoSpaceDN/>
        <w:bidi w:val="0"/>
        <w:spacing w:line="500" w:lineRule="exact"/>
        <w:ind w:firstLine="840" w:firstLineChars="40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val="zh-CN" w:eastAsia="zh-CN" w:bidi="zh-CN"/>
        </w:rPr>
        <w:t>姓名：</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身份证号码：</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 xml:space="preserve"> 执业资格：</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r>
        <w:rPr>
          <w:rFonts w:hint="eastAsia" w:ascii="宋体" w:hAnsi="宋体" w:eastAsia="宋体" w:cs="宋体"/>
          <w:kern w:val="2"/>
          <w:sz w:val="21"/>
          <w:szCs w:val="21"/>
          <w:lang w:val="zh-CN" w:eastAsia="zh-CN" w:bidi="zh-CN"/>
        </w:rPr>
        <w:t>注册号：</w:t>
      </w:r>
      <w:r>
        <w:rPr>
          <w:rFonts w:hint="eastAsia" w:ascii="宋体" w:hAnsi="宋体" w:eastAsia="宋体" w:cs="宋体"/>
          <w:kern w:val="2"/>
          <w:sz w:val="21"/>
          <w:szCs w:val="21"/>
          <w:lang w:val="en-US" w:eastAsia="zh-CN" w:bidi="zh-CN"/>
        </w:rPr>
        <w:t xml:space="preserve"> </w:t>
      </w:r>
      <w:r>
        <w:rPr>
          <w:rFonts w:hint="eastAsia" w:ascii="宋体" w:hAnsi="宋体" w:cs="宋体"/>
          <w:kern w:val="2"/>
          <w:sz w:val="21"/>
          <w:szCs w:val="21"/>
          <w:u w:val="single"/>
          <w:lang w:val="en-US" w:eastAsia="zh-CN" w:bidi="zh-CN"/>
        </w:rPr>
        <w:t xml:space="preserve">           </w:t>
      </w:r>
      <w:r>
        <w:rPr>
          <w:rFonts w:hint="eastAsia" w:ascii="宋体" w:hAnsi="宋体" w:cs="宋体"/>
          <w:kern w:val="2"/>
          <w:sz w:val="21"/>
          <w:szCs w:val="21"/>
          <w:lang w:val="en-US" w:eastAsia="zh-CN" w:bidi="zh-CN"/>
        </w:rPr>
        <w:t>。</w:t>
      </w:r>
    </w:p>
    <w:p>
      <w:pPr>
        <w:pStyle w:val="24"/>
        <w:tabs>
          <w:tab w:val="left" w:pos="1343"/>
          <w:tab w:val="left" w:pos="1745"/>
          <w:tab w:val="left" w:pos="4792"/>
          <w:tab w:val="left" w:pos="5272"/>
          <w:tab w:val="left" w:pos="8234"/>
        </w:tabs>
        <w:adjustRightInd w:val="0"/>
        <w:snapToGrid w:val="0"/>
        <w:spacing w:line="360" w:lineRule="auto"/>
        <w:ind w:left="0" w:leftChars="0" w:firstLine="0" w:firstLineChars="0"/>
        <w:jc w:val="both"/>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五、</w:t>
      </w:r>
      <w:r>
        <w:rPr>
          <w:rFonts w:hint="eastAsia" w:ascii="宋体" w:hAnsi="宋体" w:eastAsia="宋体" w:cs="宋体"/>
          <w:b/>
          <w:bCs w:val="0"/>
          <w:sz w:val="24"/>
          <w:szCs w:val="24"/>
        </w:rPr>
        <w:t>服务期限</w:t>
      </w:r>
    </w:p>
    <w:p>
      <w:pPr>
        <w:snapToGrid w:val="0"/>
        <w:spacing w:line="500" w:lineRule="exact"/>
        <w:ind w:firstLine="420"/>
        <w:rPr>
          <w:rFonts w:hint="eastAsia" w:ascii="宋体" w:hAnsi="宋体" w:eastAsia="宋体" w:cs="宋体"/>
          <w:sz w:val="21"/>
          <w:szCs w:val="21"/>
        </w:rPr>
      </w:pPr>
      <w:r>
        <w:rPr>
          <w:rFonts w:hint="eastAsia" w:ascii="宋体" w:hAnsi="宋体" w:eastAsia="宋体" w:cs="宋体"/>
          <w:sz w:val="21"/>
          <w:szCs w:val="21"/>
        </w:rPr>
        <w:t>1. 总服务期：</w:t>
      </w:r>
      <w:r>
        <w:rPr>
          <w:rFonts w:hint="eastAsia" w:ascii="宋体" w:hAnsi="宋体" w:cs="宋体"/>
          <w:sz w:val="21"/>
          <w:szCs w:val="21"/>
          <w:u w:val="single"/>
          <w:lang w:val="en-US" w:eastAsia="zh-CN"/>
        </w:rPr>
        <w:t xml:space="preserve"> </w:t>
      </w:r>
      <w:r>
        <w:rPr>
          <w:rFonts w:hint="eastAsia" w:ascii="宋体" w:hAnsi="宋体" w:cs="宋体"/>
          <w:color w:val="000000"/>
          <w:szCs w:val="21"/>
          <w:u w:val="single"/>
          <w:lang w:val="en-US"/>
        </w:rPr>
        <w:t>自全过程咨询合同签订之日开始至工程通过竣工验收，竣工结算完毕（含缺陷责任期）</w:t>
      </w:r>
      <w:r>
        <w:rPr>
          <w:rFonts w:hint="eastAsia" w:ascii="宋体" w:hAnsi="宋体" w:cs="宋体"/>
          <w:color w:val="000000"/>
          <w:szCs w:val="21"/>
          <w:u w:val="single"/>
          <w:lang w:val="en-US" w:eastAsia="zh-CN"/>
        </w:rPr>
        <w:t xml:space="preserve">。  </w:t>
      </w:r>
      <w:r>
        <w:rPr>
          <w:rFonts w:hint="eastAsia" w:ascii="宋体" w:hAnsi="宋体" w:eastAsia="宋体" w:cs="宋体"/>
          <w:sz w:val="21"/>
          <w:szCs w:val="21"/>
          <w:lang w:val="en-US" w:eastAsia="zh-CN"/>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u w:val="single"/>
          <w:lang w:val="en-US"/>
        </w:rPr>
      </w:pPr>
      <w:r>
        <w:rPr>
          <w:rFonts w:hint="eastAsia" w:ascii="宋体" w:hAnsi="宋体" w:eastAsia="宋体" w:cs="宋体"/>
          <w:sz w:val="21"/>
          <w:szCs w:val="21"/>
          <w:lang w:val="en-US"/>
        </w:rPr>
        <w:t>计划开始日期：</w:t>
      </w:r>
      <w:r>
        <w:rPr>
          <w:rFonts w:hint="eastAsia" w:ascii="宋体" w:hAnsi="宋体" w:eastAsia="宋体" w:cs="宋体"/>
          <w:sz w:val="21"/>
          <w:szCs w:val="21"/>
          <w:u w:val="single"/>
          <w:lang w:val="en-US"/>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计划完成日期：</w:t>
      </w:r>
      <w:r>
        <w:rPr>
          <w:rFonts w:hint="eastAsia" w:ascii="宋体" w:hAnsi="宋体" w:eastAsia="宋体" w:cs="宋体"/>
          <w:sz w:val="21"/>
          <w:szCs w:val="21"/>
          <w:u w:val="single"/>
          <w:lang w:val="en-US"/>
        </w:rPr>
        <w:t xml:space="preserve">  </w:t>
      </w:r>
      <w:r>
        <w:rPr>
          <w:rFonts w:hint="eastAsia" w:cs="宋体"/>
          <w:sz w:val="21"/>
          <w:szCs w:val="21"/>
          <w:u w:val="single"/>
          <w:lang w:val="en-US" w:eastAsia="zh-CN"/>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z w:val="21"/>
          <w:szCs w:val="21"/>
          <w:lang w:val="en-US"/>
        </w:rPr>
        <w:t xml:space="preserve">       </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2</w:t>
      </w:r>
      <w:r>
        <w:rPr>
          <w:rFonts w:hint="eastAsia" w:ascii="宋体" w:hAnsi="宋体" w:eastAsia="宋体" w:cs="宋体"/>
          <w:sz w:val="21"/>
          <w:szCs w:val="21"/>
        </w:rPr>
        <w:t xml:space="preserve">. </w:t>
      </w:r>
      <w:r>
        <w:rPr>
          <w:rFonts w:hint="eastAsia" w:ascii="宋体" w:hAnsi="宋体" w:eastAsia="宋体" w:cs="宋体"/>
          <w:sz w:val="21"/>
          <w:szCs w:val="21"/>
          <w:lang w:val="en-US"/>
        </w:rPr>
        <w:t>专业服务期：</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rPr>
      </w:pPr>
      <w:r>
        <w:rPr>
          <w:rFonts w:hint="eastAsia" w:ascii="宋体" w:hAnsi="宋体" w:eastAsia="宋体" w:cs="宋体"/>
          <w:sz w:val="21"/>
          <w:szCs w:val="21"/>
        </w:rPr>
        <w:t>具体全过程工程咨询服务期以专用合同条款及其附件的约定为准。</w:t>
      </w:r>
    </w:p>
    <w:p>
      <w:pPr>
        <w:pStyle w:val="24"/>
        <w:tabs>
          <w:tab w:val="left" w:pos="1390"/>
          <w:tab w:val="left" w:pos="3697"/>
          <w:tab w:val="left" w:pos="4220"/>
          <w:tab w:val="left" w:pos="4746"/>
          <w:tab w:val="left" w:pos="6112"/>
          <w:tab w:val="left" w:pos="6636"/>
          <w:tab w:val="left" w:pos="7161"/>
        </w:tabs>
        <w:adjustRightInd w:val="0"/>
        <w:snapToGrid w:val="0"/>
        <w:spacing w:line="360" w:lineRule="auto"/>
        <w:ind w:left="420" w:leftChars="200" w:firstLine="0"/>
        <w:jc w:val="both"/>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六、合同的组成部分</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ascii="宋体" w:hAnsi="宋体" w:eastAsia="宋体" w:cs="宋体"/>
          <w:sz w:val="21"/>
          <w:szCs w:val="21"/>
        </w:rPr>
        <w:t>本</w:t>
      </w:r>
      <w:r>
        <w:rPr>
          <w:rFonts w:hint="eastAsia" w:ascii="宋体" w:hAnsi="宋体" w:eastAsia="宋体" w:cs="宋体"/>
          <w:sz w:val="21"/>
          <w:szCs w:val="21"/>
          <w:lang w:val="en-US"/>
        </w:rPr>
        <w:t>协议书与下列文件一起构成合同文件：</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（1）</w:t>
      </w:r>
      <w:r>
        <w:rPr>
          <w:rFonts w:hint="eastAsia" w:ascii="宋体" w:hAnsi="宋体" w:eastAsia="宋体" w:cs="宋体"/>
          <w:sz w:val="21"/>
          <w:szCs w:val="21"/>
          <w:lang w:val="en-US"/>
        </w:rPr>
        <w:t>专用合同条款及其附件；</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（2）</w:t>
      </w:r>
      <w:r>
        <w:rPr>
          <w:rFonts w:hint="eastAsia" w:ascii="宋体" w:hAnsi="宋体" w:eastAsia="宋体" w:cs="宋体"/>
          <w:sz w:val="21"/>
          <w:szCs w:val="21"/>
          <w:lang w:val="en-US"/>
        </w:rPr>
        <w:t>通用合同条款；</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（3）</w:t>
      </w:r>
      <w:r>
        <w:rPr>
          <w:rFonts w:hint="eastAsia" w:ascii="宋体" w:hAnsi="宋体" w:eastAsia="宋体" w:cs="宋体"/>
          <w:sz w:val="21"/>
          <w:szCs w:val="21"/>
          <w:lang w:val="en-US"/>
        </w:rPr>
        <w:t>中标通知书（如果有）；</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（4）</w:t>
      </w:r>
      <w:r>
        <w:rPr>
          <w:rFonts w:hint="eastAsia" w:ascii="宋体" w:hAnsi="宋体" w:eastAsia="宋体" w:cs="宋体"/>
          <w:sz w:val="21"/>
          <w:szCs w:val="21"/>
          <w:lang w:val="en-US"/>
        </w:rPr>
        <w:t>投标函及其附录（如果有）；</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（5）</w:t>
      </w:r>
      <w:r>
        <w:rPr>
          <w:rFonts w:hint="eastAsia" w:ascii="宋体" w:hAnsi="宋体" w:eastAsia="宋体" w:cs="宋体"/>
          <w:sz w:val="21"/>
          <w:szCs w:val="21"/>
          <w:lang w:val="en-US"/>
        </w:rPr>
        <w:t>委托方要求；</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（6）</w:t>
      </w:r>
      <w:r>
        <w:rPr>
          <w:rFonts w:hint="eastAsia" w:ascii="宋体" w:hAnsi="宋体" w:eastAsia="宋体" w:cs="宋体"/>
          <w:sz w:val="21"/>
          <w:szCs w:val="21"/>
          <w:lang w:val="en-US"/>
        </w:rPr>
        <w:t>技术标准；</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（7）</w:t>
      </w:r>
      <w:r>
        <w:rPr>
          <w:rFonts w:hint="eastAsia" w:ascii="宋体" w:hAnsi="宋体" w:eastAsia="宋体" w:cs="宋体"/>
          <w:sz w:val="21"/>
          <w:szCs w:val="21"/>
          <w:lang w:val="en-US"/>
        </w:rPr>
        <w:t>委托方提供的相关资料（如果有）；</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eastAsia="zh-CN"/>
        </w:rPr>
      </w:pPr>
      <w:r>
        <w:rPr>
          <w:rFonts w:hint="eastAsia" w:cs="宋体"/>
          <w:sz w:val="21"/>
          <w:szCs w:val="21"/>
          <w:lang w:val="en-US" w:eastAsia="zh-CN"/>
        </w:rPr>
        <w:t>（8）</w:t>
      </w:r>
      <w:r>
        <w:rPr>
          <w:rFonts w:hint="eastAsia" w:ascii="宋体" w:hAnsi="宋体" w:eastAsia="宋体" w:cs="宋体"/>
          <w:sz w:val="21"/>
          <w:szCs w:val="21"/>
          <w:lang w:val="en-US"/>
        </w:rPr>
        <w:t>其他合同文件</w:t>
      </w:r>
      <w:r>
        <w:rPr>
          <w:rFonts w:hint="eastAsia" w:cs="宋体"/>
          <w:sz w:val="21"/>
          <w:szCs w:val="21"/>
          <w:lang w:val="en-US" w:eastAsia="zh-CN"/>
        </w:rPr>
        <w:t>；</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cs="宋体"/>
          <w:sz w:val="21"/>
          <w:szCs w:val="21"/>
          <w:lang w:val="en-US" w:eastAsia="zh-CN"/>
        </w:rPr>
        <w:t>（9）</w:t>
      </w:r>
      <w:r>
        <w:rPr>
          <w:rFonts w:hint="eastAsia" w:ascii="宋体" w:hAnsi="宋体" w:eastAsia="宋体" w:cs="宋体"/>
          <w:sz w:val="21"/>
          <w:szCs w:val="21"/>
          <w:lang w:val="en-US"/>
        </w:rPr>
        <w:t>在合同履行过程中形成的与合同有关的文件均构成合同文件组成部分。</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840" w:firstLineChars="4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上述各项合同文件包括合同当事人就该项合同文件所作出的补充和修改，属于同一类内容的文件，应以最新签署的为准。</w:t>
      </w:r>
    </w:p>
    <w:p>
      <w:pPr>
        <w:pStyle w:val="3"/>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七、双方承诺</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1、委托方承诺：</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（1）按照法律规定履行项目审批手续，按照合同约定提供开展全过程工程咨询服务活动的依据；</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（2）按照本合同约定派遣相应的人员，提供房屋、资料、设备，并按合同约定的期限和方式支付合同价款。</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2、咨询方承诺：</w:t>
      </w:r>
    </w:p>
    <w:p>
      <w:pPr>
        <w:pStyle w:val="2"/>
        <w:keepNext w:val="0"/>
        <w:keepLines w:val="0"/>
        <w:pageBreakBefore w:val="0"/>
        <w:widowControl w:val="0"/>
        <w:tabs>
          <w:tab w:val="left" w:pos="2691"/>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rPr>
        <w:t>按照法律、法规和规章规定，以及技术标准规定及合同约定提供全程工程咨询服务。</w:t>
      </w:r>
    </w:p>
    <w:p>
      <w:pPr>
        <w:pStyle w:val="3"/>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sz w:val="21"/>
          <w:szCs w:val="21"/>
        </w:rPr>
      </w:pPr>
      <w:r>
        <w:rPr>
          <w:rFonts w:hint="eastAsia" w:ascii="宋体" w:hAnsi="宋体" w:eastAsia="宋体" w:cs="宋体"/>
          <w:b/>
          <w:bCs w:val="0"/>
          <w:sz w:val="24"/>
          <w:szCs w:val="24"/>
          <w:lang w:val="en-US" w:eastAsia="zh-CN"/>
        </w:rPr>
        <w:t>八、词语含义</w:t>
      </w:r>
    </w:p>
    <w:p>
      <w:pPr>
        <w:pStyle w:val="2"/>
        <w:adjustRightInd w:val="0"/>
        <w:snapToGrid w:val="0"/>
        <w:spacing w:line="36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本协议书中词语含义与第二部分通用合同条款中赋予的含义相同。</w:t>
      </w:r>
    </w:p>
    <w:p>
      <w:pPr>
        <w:pStyle w:val="2"/>
        <w:numPr>
          <w:ilvl w:val="0"/>
          <w:numId w:val="0"/>
        </w:numPr>
        <w:adjustRightInd w:val="0"/>
        <w:snapToGrid w:val="0"/>
        <w:spacing w:line="360" w:lineRule="auto"/>
        <w:jc w:val="both"/>
        <w:rPr>
          <w:rFonts w:hint="eastAsia" w:ascii="宋体" w:hAnsi="宋体" w:eastAsia="宋体" w:cs="宋体"/>
          <w:b/>
          <w:spacing w:val="-3"/>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sz w:val="21"/>
          <w:szCs w:val="21"/>
        </w:rPr>
      </w:pPr>
      <w:r>
        <w:rPr>
          <w:rFonts w:hint="eastAsia" w:ascii="宋体" w:hAnsi="宋体" w:eastAsia="宋体" w:cs="宋体"/>
          <w:b/>
          <w:bCs w:val="0"/>
          <w:sz w:val="24"/>
          <w:szCs w:val="24"/>
          <w:lang w:val="en-US" w:eastAsia="zh-CN"/>
        </w:rPr>
        <w:t>九、签订地点</w:t>
      </w:r>
    </w:p>
    <w:p>
      <w:pPr>
        <w:pStyle w:val="2"/>
        <w:adjustRightInd w:val="0"/>
        <w:snapToGrid w:val="0"/>
        <w:spacing w:line="36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本合同在</w:t>
      </w:r>
      <w:r>
        <w:rPr>
          <w:rFonts w:hint="eastAsia" w:ascii="宋体" w:hAnsi="宋体" w:eastAsia="宋体" w:cs="宋体"/>
          <w:sz w:val="21"/>
          <w:szCs w:val="21"/>
          <w:u w:val="single"/>
          <w:lang w:val="en-US"/>
        </w:rPr>
        <w:t xml:space="preserve">   洛阳市    </w:t>
      </w:r>
      <w:r>
        <w:rPr>
          <w:rFonts w:hint="eastAsia" w:ascii="宋体" w:hAnsi="宋体" w:eastAsia="宋体" w:cs="宋体"/>
          <w:sz w:val="21"/>
          <w:szCs w:val="21"/>
        </w:rPr>
        <w:t>签订。</w:t>
      </w:r>
    </w:p>
    <w:p>
      <w:pPr>
        <w:pStyle w:val="3"/>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sz w:val="21"/>
          <w:szCs w:val="21"/>
        </w:rPr>
      </w:pPr>
      <w:r>
        <w:rPr>
          <w:rFonts w:hint="eastAsia" w:ascii="宋体" w:hAnsi="宋体" w:eastAsia="宋体" w:cs="宋体"/>
          <w:b/>
          <w:bCs w:val="0"/>
          <w:sz w:val="24"/>
          <w:szCs w:val="24"/>
          <w:lang w:val="en-US" w:eastAsia="zh-CN"/>
        </w:rPr>
        <w:t>十、补充协议</w:t>
      </w:r>
    </w:p>
    <w:p>
      <w:pPr>
        <w:pStyle w:val="2"/>
        <w:adjustRightInd w:val="0"/>
        <w:snapToGrid w:val="0"/>
        <w:spacing w:line="36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合同未尽事宜，合同当事人另行签订补充协议，补充协议是合同的组成部分。</w:t>
      </w:r>
    </w:p>
    <w:p>
      <w:pPr>
        <w:pStyle w:val="3"/>
        <w:rPr>
          <w:rFonts w:hint="eastAsia"/>
          <w:lang w:val="en-US" w:eastAsia="zh-CN"/>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sz w:val="21"/>
          <w:szCs w:val="21"/>
        </w:rPr>
      </w:pPr>
      <w:r>
        <w:rPr>
          <w:rFonts w:hint="eastAsia" w:ascii="宋体" w:hAnsi="宋体" w:eastAsia="宋体" w:cs="宋体"/>
          <w:b/>
          <w:bCs w:val="0"/>
          <w:sz w:val="24"/>
          <w:szCs w:val="24"/>
          <w:lang w:val="en-US" w:eastAsia="zh-CN"/>
        </w:rPr>
        <w:t>十一、合同生效</w:t>
      </w:r>
    </w:p>
    <w:p>
      <w:pPr>
        <w:adjustRightInd w:val="0"/>
        <w:snapToGrid w:val="0"/>
        <w:spacing w:line="360" w:lineRule="auto"/>
        <w:ind w:firstLine="408" w:firstLineChars="200"/>
        <w:jc w:val="both"/>
        <w:rPr>
          <w:rFonts w:hint="eastAsia" w:ascii="宋体" w:hAnsi="宋体" w:eastAsia="宋体" w:cs="宋体"/>
          <w:spacing w:val="-3"/>
          <w:sz w:val="21"/>
          <w:szCs w:val="21"/>
        </w:rPr>
      </w:pPr>
      <w:r>
        <w:rPr>
          <w:rFonts w:hint="eastAsia" w:ascii="宋体" w:hAnsi="宋体" w:eastAsia="宋体" w:cs="宋体"/>
          <w:spacing w:val="-3"/>
          <w:sz w:val="21"/>
          <w:szCs w:val="21"/>
        </w:rPr>
        <w:t>本合同自</w:t>
      </w:r>
      <w:r>
        <w:rPr>
          <w:rFonts w:hint="eastAsia" w:ascii="宋体" w:hAnsi="宋体" w:eastAsia="宋体" w:cs="宋体"/>
          <w:spacing w:val="-3"/>
          <w:sz w:val="21"/>
          <w:szCs w:val="21"/>
          <w:u w:val="single"/>
        </w:rPr>
        <w:t xml:space="preserve"> </w:t>
      </w:r>
      <w:r>
        <w:rPr>
          <w:rFonts w:hint="eastAsia" w:ascii="宋体" w:hAnsi="宋体" w:eastAsia="宋体" w:cs="宋体"/>
          <w:spacing w:val="-3"/>
          <w:sz w:val="21"/>
          <w:szCs w:val="21"/>
          <w:u w:val="single"/>
          <w:lang w:val="en-US"/>
        </w:rPr>
        <w:t xml:space="preserve"> </w:t>
      </w:r>
      <w:r>
        <w:rPr>
          <w:rFonts w:hint="eastAsia" w:ascii="宋体" w:hAnsi="宋体" w:eastAsia="宋体" w:cs="宋体"/>
          <w:bCs/>
          <w:color w:val="000000"/>
          <w:szCs w:val="21"/>
          <w:u w:val="single"/>
        </w:rPr>
        <w:t>双方签字盖章之日</w:t>
      </w:r>
      <w:r>
        <w:rPr>
          <w:rFonts w:hint="eastAsia" w:ascii="宋体" w:hAnsi="宋体" w:eastAsia="宋体" w:cs="宋体"/>
          <w:spacing w:val="-3"/>
          <w:sz w:val="21"/>
          <w:szCs w:val="21"/>
          <w:u w:val="single"/>
          <w:lang w:val="en-US"/>
        </w:rPr>
        <w:t xml:space="preserve">  </w:t>
      </w:r>
      <w:r>
        <w:rPr>
          <w:rFonts w:hint="eastAsia" w:ascii="宋体" w:hAnsi="宋体" w:eastAsia="宋体" w:cs="宋体"/>
          <w:spacing w:val="-3"/>
          <w:sz w:val="21"/>
          <w:szCs w:val="21"/>
        </w:rPr>
        <w:t>生效。</w:t>
      </w:r>
    </w:p>
    <w:p>
      <w:pPr>
        <w:pStyle w:val="2"/>
        <w:rPr>
          <w:rFonts w:hint="eastAsia" w:ascii="宋体" w:hAnsi="宋体" w:eastAsia="宋体" w:cs="宋体"/>
          <w:sz w:val="21"/>
          <w:szCs w:val="21"/>
        </w:rPr>
      </w:pPr>
    </w:p>
    <w:p>
      <w:pPr>
        <w:pStyle w:val="2"/>
        <w:numPr>
          <w:ilvl w:val="0"/>
          <w:numId w:val="0"/>
        </w:numPr>
        <w:tabs>
          <w:tab w:val="left" w:pos="2691"/>
        </w:tabs>
        <w:adjustRightInd w:val="0"/>
        <w:snapToGrid w:val="0"/>
        <w:spacing w:line="360" w:lineRule="auto"/>
        <w:ind w:firstLine="482" w:firstLineChars="200"/>
        <w:jc w:val="both"/>
        <w:rPr>
          <w:rFonts w:hint="eastAsia" w:ascii="宋体" w:hAnsi="宋体" w:eastAsia="宋体" w:cs="宋体"/>
          <w:b/>
          <w:bCs w:val="0"/>
          <w:sz w:val="24"/>
          <w:szCs w:val="24"/>
          <w:lang w:val="en-US" w:eastAsia="zh-CN"/>
        </w:rPr>
      </w:pPr>
      <w:r>
        <w:rPr>
          <w:rFonts w:hint="eastAsia" w:ascii="宋体" w:hAnsi="宋体" w:eastAsia="宋体" w:cs="宋体"/>
          <w:b/>
          <w:bCs w:val="0"/>
          <w:sz w:val="24"/>
          <w:szCs w:val="24"/>
          <w:lang w:val="en-US" w:eastAsia="zh-CN"/>
        </w:rPr>
        <w:t>十二、合同份数</w:t>
      </w:r>
    </w:p>
    <w:p>
      <w:pPr>
        <w:pStyle w:val="2"/>
        <w:keepNext w:val="0"/>
        <w:keepLines w:val="0"/>
        <w:pageBreakBefore w:val="0"/>
        <w:widowControl w:val="0"/>
        <w:tabs>
          <w:tab w:val="left" w:pos="1325"/>
          <w:tab w:val="left" w:pos="2797"/>
          <w:tab w:val="left" w:pos="3532"/>
          <w:tab w:val="left" w:pos="4581"/>
          <w:tab w:val="left" w:pos="4898"/>
          <w:tab w:val="left" w:pos="8887"/>
        </w:tabs>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本合</w:t>
      </w:r>
      <w:r>
        <w:rPr>
          <w:rFonts w:hint="eastAsia" w:ascii="宋体" w:hAnsi="宋体" w:eastAsia="宋体" w:cs="宋体"/>
          <w:spacing w:val="-3"/>
          <w:sz w:val="21"/>
          <w:szCs w:val="21"/>
        </w:rPr>
        <w:t>同</w:t>
      </w:r>
      <w:r>
        <w:rPr>
          <w:rFonts w:hint="eastAsia" w:ascii="宋体" w:hAnsi="宋体" w:eastAsia="宋体" w:cs="宋体"/>
          <w:sz w:val="21"/>
          <w:szCs w:val="21"/>
        </w:rPr>
        <w:t>正</w:t>
      </w:r>
      <w:r>
        <w:rPr>
          <w:rFonts w:hint="eastAsia" w:ascii="宋体" w:hAnsi="宋体" w:eastAsia="宋体" w:cs="宋体"/>
          <w:spacing w:val="-3"/>
          <w:sz w:val="21"/>
          <w:szCs w:val="21"/>
        </w:rPr>
        <w:t>本</w:t>
      </w:r>
      <w:r>
        <w:rPr>
          <w:rFonts w:hint="eastAsia" w:ascii="宋体" w:hAnsi="宋体" w:eastAsia="宋体" w:cs="宋体"/>
          <w:sz w:val="21"/>
          <w:szCs w:val="21"/>
        </w:rPr>
        <w:t>一式</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pacing w:val="-3"/>
          <w:sz w:val="21"/>
          <w:szCs w:val="21"/>
        </w:rPr>
        <w:t>份、</w:t>
      </w:r>
      <w:r>
        <w:rPr>
          <w:rFonts w:hint="eastAsia" w:ascii="宋体" w:hAnsi="宋体" w:eastAsia="宋体" w:cs="宋体"/>
          <w:sz w:val="21"/>
          <w:szCs w:val="21"/>
        </w:rPr>
        <w:t>副本</w:t>
      </w:r>
      <w:r>
        <w:rPr>
          <w:rFonts w:hint="eastAsia" w:ascii="宋体" w:hAnsi="宋体" w:eastAsia="宋体" w:cs="宋体"/>
          <w:spacing w:val="-3"/>
          <w:sz w:val="21"/>
          <w:szCs w:val="21"/>
        </w:rPr>
        <w:t>一</w:t>
      </w:r>
      <w:r>
        <w:rPr>
          <w:rFonts w:hint="eastAsia" w:ascii="宋体" w:hAnsi="宋体" w:eastAsia="宋体" w:cs="宋体"/>
          <w:sz w:val="21"/>
          <w:szCs w:val="21"/>
        </w:rPr>
        <w:t>式</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z w:val="21"/>
          <w:szCs w:val="21"/>
        </w:rPr>
        <w:t>份</w:t>
      </w:r>
      <w:r>
        <w:rPr>
          <w:rFonts w:hint="eastAsia" w:ascii="宋体" w:hAnsi="宋体" w:eastAsia="宋体" w:cs="宋体"/>
          <w:spacing w:val="-3"/>
          <w:sz w:val="21"/>
          <w:szCs w:val="21"/>
        </w:rPr>
        <w:t>，</w:t>
      </w:r>
      <w:r>
        <w:rPr>
          <w:rFonts w:hint="eastAsia" w:ascii="宋体" w:hAnsi="宋体" w:eastAsia="宋体" w:cs="宋体"/>
          <w:sz w:val="21"/>
          <w:szCs w:val="21"/>
        </w:rPr>
        <w:t>均</w:t>
      </w:r>
      <w:r>
        <w:rPr>
          <w:rFonts w:hint="eastAsia" w:ascii="宋体" w:hAnsi="宋体" w:eastAsia="宋体" w:cs="宋体"/>
          <w:spacing w:val="-3"/>
          <w:sz w:val="21"/>
          <w:szCs w:val="21"/>
        </w:rPr>
        <w:t>具有</w:t>
      </w:r>
      <w:r>
        <w:rPr>
          <w:rFonts w:hint="eastAsia" w:ascii="宋体" w:hAnsi="宋体" w:eastAsia="宋体" w:cs="宋体"/>
          <w:sz w:val="21"/>
          <w:szCs w:val="21"/>
        </w:rPr>
        <w:t>同等</w:t>
      </w:r>
      <w:r>
        <w:rPr>
          <w:rFonts w:hint="eastAsia" w:ascii="宋体" w:hAnsi="宋体" w:eastAsia="宋体" w:cs="宋体"/>
          <w:spacing w:val="-3"/>
          <w:sz w:val="21"/>
          <w:szCs w:val="21"/>
        </w:rPr>
        <w:t>法</w:t>
      </w:r>
      <w:r>
        <w:rPr>
          <w:rFonts w:hint="eastAsia" w:ascii="宋体" w:hAnsi="宋体" w:eastAsia="宋体" w:cs="宋体"/>
          <w:sz w:val="21"/>
          <w:szCs w:val="21"/>
        </w:rPr>
        <w:t>律</w:t>
      </w:r>
      <w:r>
        <w:rPr>
          <w:rFonts w:hint="eastAsia" w:ascii="宋体" w:hAnsi="宋体" w:eastAsia="宋体" w:cs="宋体"/>
          <w:spacing w:val="-3"/>
          <w:sz w:val="21"/>
          <w:szCs w:val="21"/>
        </w:rPr>
        <w:t>效</w:t>
      </w:r>
      <w:r>
        <w:rPr>
          <w:rFonts w:hint="eastAsia" w:ascii="宋体" w:hAnsi="宋体" w:eastAsia="宋体" w:cs="宋体"/>
          <w:sz w:val="21"/>
          <w:szCs w:val="21"/>
        </w:rPr>
        <w:t>力</w:t>
      </w:r>
      <w:r>
        <w:rPr>
          <w:rFonts w:hint="eastAsia" w:ascii="宋体" w:hAnsi="宋体" w:eastAsia="宋体" w:cs="宋体"/>
          <w:spacing w:val="-3"/>
          <w:sz w:val="21"/>
          <w:szCs w:val="21"/>
        </w:rPr>
        <w:t>，</w:t>
      </w:r>
      <w:r>
        <w:rPr>
          <w:rFonts w:hint="eastAsia" w:ascii="宋体" w:hAnsi="宋体" w:eastAsia="宋体" w:cs="宋体"/>
          <w:sz w:val="21"/>
          <w:szCs w:val="21"/>
        </w:rPr>
        <w:t>发</w:t>
      </w:r>
      <w:r>
        <w:rPr>
          <w:rFonts w:hint="eastAsia" w:ascii="宋体" w:hAnsi="宋体" w:eastAsia="宋体" w:cs="宋体"/>
          <w:spacing w:val="-3"/>
          <w:sz w:val="21"/>
          <w:szCs w:val="21"/>
        </w:rPr>
        <w:t>包</w:t>
      </w:r>
      <w:r>
        <w:rPr>
          <w:rFonts w:hint="eastAsia" w:ascii="宋体" w:hAnsi="宋体" w:eastAsia="宋体" w:cs="宋体"/>
          <w:sz w:val="21"/>
          <w:szCs w:val="21"/>
        </w:rPr>
        <w:t>人</w:t>
      </w:r>
      <w:r>
        <w:rPr>
          <w:rFonts w:hint="eastAsia" w:ascii="宋体" w:hAnsi="宋体" w:eastAsia="宋体" w:cs="宋体"/>
          <w:spacing w:val="-3"/>
          <w:sz w:val="21"/>
          <w:szCs w:val="21"/>
        </w:rPr>
        <w:t>执</w:t>
      </w:r>
      <w:r>
        <w:rPr>
          <w:rFonts w:hint="eastAsia" w:ascii="宋体" w:hAnsi="宋体" w:eastAsia="宋体" w:cs="宋体"/>
          <w:sz w:val="21"/>
          <w:szCs w:val="21"/>
        </w:rPr>
        <w:t>正本</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z w:val="21"/>
          <w:szCs w:val="21"/>
        </w:rPr>
        <w:t>份</w:t>
      </w:r>
      <w:r>
        <w:rPr>
          <w:rFonts w:hint="eastAsia" w:ascii="宋体" w:hAnsi="宋体" w:eastAsia="宋体" w:cs="宋体"/>
          <w:spacing w:val="-17"/>
          <w:sz w:val="21"/>
          <w:szCs w:val="21"/>
        </w:rPr>
        <w:t>、</w:t>
      </w:r>
      <w:r>
        <w:rPr>
          <w:rFonts w:hint="eastAsia" w:ascii="宋体" w:hAnsi="宋体" w:eastAsia="宋体" w:cs="宋体"/>
          <w:sz w:val="21"/>
          <w:szCs w:val="21"/>
        </w:rPr>
        <w:t>副本</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z w:val="21"/>
          <w:szCs w:val="21"/>
        </w:rPr>
        <w:t>份</w:t>
      </w:r>
      <w:r>
        <w:rPr>
          <w:rFonts w:hint="eastAsia" w:ascii="宋体" w:hAnsi="宋体" w:eastAsia="宋体" w:cs="宋体"/>
          <w:spacing w:val="-3"/>
          <w:sz w:val="21"/>
          <w:szCs w:val="21"/>
        </w:rPr>
        <w:t>，</w:t>
      </w:r>
      <w:r>
        <w:rPr>
          <w:rFonts w:hint="eastAsia" w:ascii="宋体" w:hAnsi="宋体" w:eastAsia="宋体" w:cs="宋体"/>
          <w:sz w:val="21"/>
          <w:szCs w:val="21"/>
        </w:rPr>
        <w:t>咨询人</w:t>
      </w:r>
      <w:r>
        <w:rPr>
          <w:rFonts w:hint="eastAsia" w:ascii="宋体" w:hAnsi="宋体" w:eastAsia="宋体" w:cs="宋体"/>
          <w:spacing w:val="-3"/>
          <w:sz w:val="21"/>
          <w:szCs w:val="21"/>
        </w:rPr>
        <w:t>执正</w:t>
      </w:r>
      <w:r>
        <w:rPr>
          <w:rFonts w:hint="eastAsia" w:ascii="宋体" w:hAnsi="宋体" w:eastAsia="宋体" w:cs="宋体"/>
          <w:sz w:val="21"/>
          <w:szCs w:val="21"/>
        </w:rPr>
        <w:t>本</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pacing w:val="-3"/>
          <w:sz w:val="21"/>
          <w:szCs w:val="21"/>
        </w:rPr>
        <w:t>份</w:t>
      </w:r>
      <w:r>
        <w:rPr>
          <w:rFonts w:hint="eastAsia" w:ascii="宋体" w:hAnsi="宋体" w:eastAsia="宋体" w:cs="宋体"/>
          <w:sz w:val="21"/>
          <w:szCs w:val="21"/>
        </w:rPr>
        <w:t>、</w:t>
      </w:r>
      <w:r>
        <w:rPr>
          <w:rFonts w:hint="eastAsia" w:ascii="宋体" w:hAnsi="宋体" w:eastAsia="宋体" w:cs="宋体"/>
          <w:spacing w:val="-3"/>
          <w:sz w:val="21"/>
          <w:szCs w:val="21"/>
        </w:rPr>
        <w:t>副</w:t>
      </w:r>
      <w:r>
        <w:rPr>
          <w:rFonts w:hint="eastAsia" w:ascii="宋体" w:hAnsi="宋体" w:eastAsia="宋体" w:cs="宋体"/>
          <w:sz w:val="21"/>
          <w:szCs w:val="21"/>
        </w:rPr>
        <w:t>本</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val="en-US"/>
        </w:rPr>
        <w:t xml:space="preserve"> </w:t>
      </w:r>
      <w:r>
        <w:rPr>
          <w:rFonts w:hint="eastAsia" w:ascii="宋体" w:hAnsi="宋体" w:eastAsia="宋体" w:cs="宋体"/>
          <w:spacing w:val="-3"/>
          <w:sz w:val="21"/>
          <w:szCs w:val="21"/>
        </w:rPr>
        <w:t>份。</w:t>
      </w:r>
    </w:p>
    <w:p>
      <w:pPr>
        <w:pStyle w:val="3"/>
        <w:rPr>
          <w:rFonts w:hint="eastAsia"/>
        </w:rPr>
      </w:pPr>
    </w:p>
    <w:p>
      <w:pPr>
        <w:pStyle w:val="3"/>
        <w:rPr>
          <w:rFonts w:hint="eastAsia" w:ascii="宋体" w:hAnsi="宋体" w:eastAsia="宋体" w:cs="宋体"/>
          <w:sz w:val="21"/>
          <w:szCs w:val="21"/>
        </w:rPr>
      </w:pPr>
    </w:p>
    <w:tbl>
      <w:tblPr>
        <w:tblStyle w:val="16"/>
        <w:tblpPr w:leftFromText="180" w:rightFromText="180" w:vertAnchor="text" w:horzAnchor="page" w:tblpX="1431" w:tblpY="104"/>
        <w:tblOverlap w:val="never"/>
        <w:tblW w:w="0" w:type="auto"/>
        <w:tblInd w:w="0" w:type="dxa"/>
        <w:tblLayout w:type="fixed"/>
        <w:tblCellMar>
          <w:top w:w="0" w:type="dxa"/>
          <w:left w:w="0" w:type="dxa"/>
          <w:bottom w:w="0" w:type="dxa"/>
          <w:right w:w="0" w:type="dxa"/>
        </w:tblCellMar>
      </w:tblPr>
      <w:tblGrid>
        <w:gridCol w:w="4781"/>
        <w:gridCol w:w="4778"/>
      </w:tblGrid>
      <w:tr>
        <w:tblPrEx>
          <w:tblCellMar>
            <w:top w:w="0" w:type="dxa"/>
            <w:left w:w="0" w:type="dxa"/>
            <w:bottom w:w="0" w:type="dxa"/>
            <w:right w:w="0" w:type="dxa"/>
          </w:tblCellMar>
        </w:tblPrEx>
        <w:trPr>
          <w:trHeight w:val="959" w:hRule="atLeast"/>
        </w:trPr>
        <w:tc>
          <w:tcPr>
            <w:tcW w:w="4781" w:type="dxa"/>
          </w:tcPr>
          <w:p>
            <w:pPr>
              <w:pStyle w:val="27"/>
              <w:tabs>
                <w:tab w:val="left" w:pos="472"/>
                <w:tab w:val="left" w:pos="3354"/>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z w:val="21"/>
                <w:szCs w:val="21"/>
              </w:rPr>
              <w:t>发包</w:t>
            </w:r>
            <w:r>
              <w:rPr>
                <w:rFonts w:hint="eastAsia" w:ascii="宋体" w:hAnsi="宋体" w:eastAsia="宋体" w:cs="宋体"/>
                <w:spacing w:val="-3"/>
                <w:sz w:val="21"/>
                <w:szCs w:val="21"/>
              </w:rPr>
              <w:t>方</w:t>
            </w:r>
            <w:r>
              <w:rPr>
                <w:rFonts w:hint="eastAsia" w:ascii="宋体" w:hAnsi="宋体" w:eastAsia="宋体" w:cs="宋体"/>
                <w:sz w:val="21"/>
                <w:szCs w:val="21"/>
              </w:rPr>
              <w:t>：(</w:t>
            </w:r>
            <w:r>
              <w:rPr>
                <w:rFonts w:hint="eastAsia" w:ascii="宋体" w:hAnsi="宋体" w:eastAsia="宋体" w:cs="宋体"/>
                <w:spacing w:val="-3"/>
                <w:sz w:val="21"/>
                <w:szCs w:val="21"/>
              </w:rPr>
              <w:t>盖</w:t>
            </w:r>
            <w:r>
              <w:rPr>
                <w:rFonts w:hint="eastAsia" w:ascii="宋体" w:hAnsi="宋体" w:eastAsia="宋体" w:cs="宋体"/>
                <w:sz w:val="21"/>
                <w:szCs w:val="21"/>
              </w:rPr>
              <w:t>章)</w:t>
            </w:r>
          </w:p>
        </w:tc>
        <w:tc>
          <w:tcPr>
            <w:tcW w:w="4778" w:type="dxa"/>
          </w:tcPr>
          <w:p>
            <w:pPr>
              <w:pStyle w:val="2"/>
              <w:tabs>
                <w:tab w:val="left" w:pos="1431"/>
                <w:tab w:val="left" w:pos="4898"/>
                <w:tab w:val="left" w:pos="5949"/>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pacing w:val="-3"/>
                <w:sz w:val="21"/>
                <w:szCs w:val="21"/>
              </w:rPr>
              <w:t>咨</w:t>
            </w:r>
            <w:r>
              <w:rPr>
                <w:rFonts w:hint="eastAsia" w:ascii="宋体" w:hAnsi="宋体" w:eastAsia="宋体" w:cs="宋体"/>
                <w:sz w:val="21"/>
                <w:szCs w:val="21"/>
              </w:rPr>
              <w:t>询方：</w:t>
            </w:r>
            <w:r>
              <w:rPr>
                <w:rFonts w:hint="eastAsia" w:ascii="宋体" w:hAnsi="宋体" w:eastAsia="宋体" w:cs="宋体"/>
                <w:spacing w:val="-3"/>
                <w:sz w:val="21"/>
                <w:szCs w:val="21"/>
              </w:rPr>
              <w:t>(</w:t>
            </w:r>
            <w:r>
              <w:rPr>
                <w:rFonts w:hint="eastAsia" w:ascii="宋体" w:hAnsi="宋体" w:eastAsia="宋体" w:cs="宋体"/>
                <w:sz w:val="21"/>
                <w:szCs w:val="21"/>
              </w:rPr>
              <w:t>盖章)</w:t>
            </w:r>
          </w:p>
        </w:tc>
      </w:tr>
      <w:tr>
        <w:tblPrEx>
          <w:tblCellMar>
            <w:top w:w="0" w:type="dxa"/>
            <w:left w:w="0" w:type="dxa"/>
            <w:bottom w:w="0" w:type="dxa"/>
            <w:right w:w="0" w:type="dxa"/>
          </w:tblCellMar>
        </w:tblPrEx>
        <w:trPr>
          <w:trHeight w:val="657" w:hRule="atLeast"/>
        </w:trPr>
        <w:tc>
          <w:tcPr>
            <w:tcW w:w="4781" w:type="dxa"/>
          </w:tcPr>
          <w:p>
            <w:pPr>
              <w:pStyle w:val="27"/>
              <w:tabs>
                <w:tab w:val="left" w:pos="472"/>
                <w:tab w:val="left" w:pos="3354"/>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z w:val="21"/>
                <w:szCs w:val="21"/>
              </w:rPr>
              <w:t>法定</w:t>
            </w:r>
            <w:r>
              <w:rPr>
                <w:rFonts w:hint="eastAsia" w:ascii="宋体" w:hAnsi="宋体" w:eastAsia="宋体" w:cs="宋体"/>
                <w:spacing w:val="-3"/>
                <w:sz w:val="21"/>
                <w:szCs w:val="21"/>
              </w:rPr>
              <w:t>代</w:t>
            </w:r>
            <w:r>
              <w:rPr>
                <w:rFonts w:hint="eastAsia" w:ascii="宋体" w:hAnsi="宋体" w:eastAsia="宋体" w:cs="宋体"/>
                <w:sz w:val="21"/>
                <w:szCs w:val="21"/>
              </w:rPr>
              <w:t>表</w:t>
            </w:r>
            <w:r>
              <w:rPr>
                <w:rFonts w:hint="eastAsia" w:ascii="宋体" w:hAnsi="宋体" w:eastAsia="宋体" w:cs="宋体"/>
                <w:spacing w:val="-3"/>
                <w:sz w:val="21"/>
                <w:szCs w:val="21"/>
              </w:rPr>
              <w:t>人</w:t>
            </w:r>
            <w:r>
              <w:rPr>
                <w:rFonts w:hint="eastAsia" w:ascii="宋体" w:hAnsi="宋体" w:eastAsia="宋体" w:cs="宋体"/>
                <w:sz w:val="21"/>
                <w:szCs w:val="21"/>
              </w:rPr>
              <w:t>或</w:t>
            </w:r>
            <w:r>
              <w:rPr>
                <w:rFonts w:hint="eastAsia" w:ascii="宋体" w:hAnsi="宋体" w:eastAsia="宋体" w:cs="宋体"/>
                <w:spacing w:val="-3"/>
                <w:sz w:val="21"/>
                <w:szCs w:val="21"/>
              </w:rPr>
              <w:t>其</w:t>
            </w:r>
            <w:r>
              <w:rPr>
                <w:rFonts w:hint="eastAsia" w:ascii="宋体" w:hAnsi="宋体" w:eastAsia="宋体" w:cs="宋体"/>
                <w:sz w:val="21"/>
                <w:szCs w:val="21"/>
              </w:rPr>
              <w:t>委</w:t>
            </w:r>
            <w:r>
              <w:rPr>
                <w:rFonts w:hint="eastAsia" w:ascii="宋体" w:hAnsi="宋体" w:eastAsia="宋体" w:cs="宋体"/>
                <w:spacing w:val="-3"/>
                <w:sz w:val="21"/>
                <w:szCs w:val="21"/>
              </w:rPr>
              <w:t>托</w:t>
            </w:r>
            <w:r>
              <w:rPr>
                <w:rFonts w:hint="eastAsia" w:ascii="宋体" w:hAnsi="宋体" w:eastAsia="宋体" w:cs="宋体"/>
                <w:sz w:val="21"/>
                <w:szCs w:val="21"/>
              </w:rPr>
              <w:t>代</w:t>
            </w:r>
            <w:r>
              <w:rPr>
                <w:rFonts w:hint="eastAsia" w:ascii="宋体" w:hAnsi="宋体" w:eastAsia="宋体" w:cs="宋体"/>
                <w:spacing w:val="-3"/>
                <w:sz w:val="21"/>
                <w:szCs w:val="21"/>
              </w:rPr>
              <w:t>理</w:t>
            </w:r>
            <w:r>
              <w:rPr>
                <w:rFonts w:hint="eastAsia" w:ascii="宋体" w:hAnsi="宋体" w:eastAsia="宋体" w:cs="宋体"/>
                <w:sz w:val="21"/>
                <w:szCs w:val="21"/>
              </w:rPr>
              <w:t>人</w:t>
            </w:r>
            <w:r>
              <w:rPr>
                <w:rFonts w:hint="eastAsia" w:ascii="宋体" w:hAnsi="宋体" w:eastAsia="宋体" w:cs="宋体"/>
                <w:sz w:val="21"/>
                <w:szCs w:val="21"/>
                <w:lang w:val="en-US"/>
              </w:rPr>
              <w:t>：</w:t>
            </w:r>
          </w:p>
        </w:tc>
        <w:tc>
          <w:tcPr>
            <w:tcW w:w="4778" w:type="dxa"/>
          </w:tcPr>
          <w:p>
            <w:pPr>
              <w:pStyle w:val="27"/>
              <w:tabs>
                <w:tab w:val="left" w:pos="417"/>
                <w:tab w:val="left" w:pos="3300"/>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pacing w:val="-3"/>
                <w:sz w:val="21"/>
                <w:szCs w:val="21"/>
              </w:rPr>
              <w:t>法</w:t>
            </w:r>
            <w:r>
              <w:rPr>
                <w:rFonts w:hint="eastAsia" w:ascii="宋体" w:hAnsi="宋体" w:eastAsia="宋体" w:cs="宋体"/>
                <w:sz w:val="21"/>
                <w:szCs w:val="21"/>
              </w:rPr>
              <w:t>定代</w:t>
            </w:r>
            <w:r>
              <w:rPr>
                <w:rFonts w:hint="eastAsia" w:ascii="宋体" w:hAnsi="宋体" w:eastAsia="宋体" w:cs="宋体"/>
                <w:spacing w:val="-3"/>
                <w:sz w:val="21"/>
                <w:szCs w:val="21"/>
              </w:rPr>
              <w:t>表</w:t>
            </w:r>
            <w:r>
              <w:rPr>
                <w:rFonts w:hint="eastAsia" w:ascii="宋体" w:hAnsi="宋体" w:eastAsia="宋体" w:cs="宋体"/>
                <w:sz w:val="21"/>
                <w:szCs w:val="21"/>
              </w:rPr>
              <w:t>人</w:t>
            </w:r>
            <w:r>
              <w:rPr>
                <w:rFonts w:hint="eastAsia" w:ascii="宋体" w:hAnsi="宋体" w:eastAsia="宋体" w:cs="宋体"/>
                <w:spacing w:val="-3"/>
                <w:sz w:val="21"/>
                <w:szCs w:val="21"/>
              </w:rPr>
              <w:t>或</w:t>
            </w:r>
            <w:r>
              <w:rPr>
                <w:rFonts w:hint="eastAsia" w:ascii="宋体" w:hAnsi="宋体" w:eastAsia="宋体" w:cs="宋体"/>
                <w:sz w:val="21"/>
                <w:szCs w:val="21"/>
              </w:rPr>
              <w:t>其</w:t>
            </w:r>
            <w:r>
              <w:rPr>
                <w:rFonts w:hint="eastAsia" w:ascii="宋体" w:hAnsi="宋体" w:eastAsia="宋体" w:cs="宋体"/>
                <w:spacing w:val="-3"/>
                <w:sz w:val="21"/>
                <w:szCs w:val="21"/>
              </w:rPr>
              <w:t>委</w:t>
            </w:r>
            <w:r>
              <w:rPr>
                <w:rFonts w:hint="eastAsia" w:ascii="宋体" w:hAnsi="宋体" w:eastAsia="宋体" w:cs="宋体"/>
                <w:sz w:val="21"/>
                <w:szCs w:val="21"/>
              </w:rPr>
              <w:t>托</w:t>
            </w:r>
            <w:r>
              <w:rPr>
                <w:rFonts w:hint="eastAsia" w:ascii="宋体" w:hAnsi="宋体" w:eastAsia="宋体" w:cs="宋体"/>
                <w:spacing w:val="-3"/>
                <w:sz w:val="21"/>
                <w:szCs w:val="21"/>
              </w:rPr>
              <w:t>代</w:t>
            </w:r>
            <w:r>
              <w:rPr>
                <w:rFonts w:hint="eastAsia" w:ascii="宋体" w:hAnsi="宋体" w:eastAsia="宋体" w:cs="宋体"/>
                <w:sz w:val="21"/>
                <w:szCs w:val="21"/>
              </w:rPr>
              <w:t>理</w:t>
            </w:r>
            <w:r>
              <w:rPr>
                <w:rFonts w:hint="eastAsia" w:ascii="宋体" w:hAnsi="宋体" w:eastAsia="宋体" w:cs="宋体"/>
                <w:spacing w:val="-3"/>
                <w:sz w:val="21"/>
                <w:szCs w:val="21"/>
              </w:rPr>
              <w:t>人</w:t>
            </w:r>
            <w:r>
              <w:rPr>
                <w:rFonts w:hint="eastAsia" w:ascii="宋体" w:hAnsi="宋体" w:eastAsia="宋体" w:cs="宋体"/>
                <w:sz w:val="21"/>
                <w:szCs w:val="21"/>
                <w:lang w:val="en-US"/>
              </w:rPr>
              <w:t>：</w:t>
            </w:r>
          </w:p>
        </w:tc>
      </w:tr>
      <w:tr>
        <w:tblPrEx>
          <w:tblCellMar>
            <w:top w:w="0" w:type="dxa"/>
            <w:left w:w="0" w:type="dxa"/>
            <w:bottom w:w="0" w:type="dxa"/>
            <w:right w:w="0" w:type="dxa"/>
          </w:tblCellMar>
        </w:tblPrEx>
        <w:trPr>
          <w:trHeight w:val="656" w:hRule="atLeast"/>
        </w:trPr>
        <w:tc>
          <w:tcPr>
            <w:tcW w:w="4781" w:type="dxa"/>
          </w:tcPr>
          <w:p>
            <w:pPr>
              <w:pStyle w:val="27"/>
              <w:tabs>
                <w:tab w:val="left" w:pos="3354"/>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z w:val="21"/>
                <w:szCs w:val="21"/>
              </w:rPr>
              <w:t>（签</w:t>
            </w:r>
            <w:r>
              <w:rPr>
                <w:rFonts w:hint="eastAsia" w:ascii="宋体" w:hAnsi="宋体" w:eastAsia="宋体" w:cs="宋体"/>
                <w:spacing w:val="-3"/>
                <w:sz w:val="21"/>
                <w:szCs w:val="21"/>
              </w:rPr>
              <w:t>字</w:t>
            </w:r>
            <w:r>
              <w:rPr>
                <w:rFonts w:hint="eastAsia" w:ascii="宋体" w:hAnsi="宋体" w:eastAsia="宋体" w:cs="宋体"/>
                <w:sz w:val="21"/>
                <w:szCs w:val="21"/>
              </w:rPr>
              <w:t>）</w:t>
            </w:r>
          </w:p>
        </w:tc>
        <w:tc>
          <w:tcPr>
            <w:tcW w:w="4778" w:type="dxa"/>
          </w:tcPr>
          <w:p>
            <w:pPr>
              <w:pStyle w:val="27"/>
              <w:tabs>
                <w:tab w:val="left" w:pos="3302"/>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pacing w:val="-3"/>
                <w:sz w:val="21"/>
                <w:szCs w:val="21"/>
              </w:rPr>
              <w:t>（</w:t>
            </w:r>
            <w:r>
              <w:rPr>
                <w:rFonts w:hint="eastAsia" w:ascii="宋体" w:hAnsi="宋体" w:eastAsia="宋体" w:cs="宋体"/>
                <w:sz w:val="21"/>
                <w:szCs w:val="21"/>
              </w:rPr>
              <w:t>签</w:t>
            </w:r>
            <w:r>
              <w:rPr>
                <w:rFonts w:hint="eastAsia" w:ascii="宋体" w:hAnsi="宋体" w:eastAsia="宋体" w:cs="宋体"/>
                <w:spacing w:val="-3"/>
                <w:sz w:val="21"/>
                <w:szCs w:val="21"/>
              </w:rPr>
              <w:t>字</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657" w:hRule="atLeast"/>
        </w:trPr>
        <w:tc>
          <w:tcPr>
            <w:tcW w:w="4781" w:type="dxa"/>
          </w:tcPr>
          <w:p>
            <w:pPr>
              <w:pStyle w:val="27"/>
              <w:tabs>
                <w:tab w:val="left" w:pos="3354"/>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z w:val="21"/>
                <w:szCs w:val="21"/>
                <w:lang w:val="en-US"/>
              </w:rPr>
              <w:t>统一社会信用</w:t>
            </w:r>
            <w:r>
              <w:rPr>
                <w:rFonts w:hint="eastAsia" w:ascii="宋体" w:hAnsi="宋体" w:eastAsia="宋体" w:cs="宋体"/>
                <w:spacing w:val="-3"/>
                <w:sz w:val="21"/>
                <w:szCs w:val="21"/>
              </w:rPr>
              <w:t>代</w:t>
            </w:r>
            <w:r>
              <w:rPr>
                <w:rFonts w:hint="eastAsia" w:ascii="宋体" w:hAnsi="宋体" w:eastAsia="宋体" w:cs="宋体"/>
                <w:sz w:val="21"/>
                <w:szCs w:val="21"/>
              </w:rPr>
              <w:t>码</w:t>
            </w:r>
            <w:r>
              <w:rPr>
                <w:rFonts w:hint="eastAsia" w:ascii="宋体" w:hAnsi="宋体" w:eastAsia="宋体" w:cs="宋体"/>
                <w:spacing w:val="-3"/>
                <w:sz w:val="21"/>
                <w:szCs w:val="21"/>
              </w:rPr>
              <w:t>：</w:t>
            </w:r>
          </w:p>
        </w:tc>
        <w:tc>
          <w:tcPr>
            <w:tcW w:w="4778" w:type="dxa"/>
          </w:tcPr>
          <w:p>
            <w:pPr>
              <w:pStyle w:val="27"/>
              <w:tabs>
                <w:tab w:val="left" w:pos="3302"/>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pacing w:val="-3"/>
                <w:sz w:val="21"/>
                <w:szCs w:val="21"/>
                <w:lang w:val="en-US"/>
              </w:rPr>
              <w:t>统一社会信用代码：</w:t>
            </w:r>
          </w:p>
        </w:tc>
      </w:tr>
      <w:tr>
        <w:tblPrEx>
          <w:tblCellMar>
            <w:top w:w="0" w:type="dxa"/>
            <w:left w:w="0" w:type="dxa"/>
            <w:bottom w:w="0" w:type="dxa"/>
            <w:right w:w="0" w:type="dxa"/>
          </w:tblCellMar>
        </w:tblPrEx>
        <w:trPr>
          <w:trHeight w:val="568" w:hRule="atLeast"/>
        </w:trPr>
        <w:tc>
          <w:tcPr>
            <w:tcW w:w="4781" w:type="dxa"/>
          </w:tcPr>
          <w:p>
            <w:pPr>
              <w:pStyle w:val="2"/>
              <w:tabs>
                <w:tab w:val="left" w:pos="802"/>
                <w:tab w:val="left" w:pos="3685"/>
                <w:tab w:val="left" w:pos="4898"/>
                <w:tab w:val="left" w:pos="5315"/>
                <w:tab w:val="left" w:pos="8198"/>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z w:val="21"/>
                <w:szCs w:val="21"/>
              </w:rPr>
              <w:t>地</w:t>
            </w:r>
            <w:r>
              <w:rPr>
                <w:rFonts w:hint="eastAsia" w:cs="宋体"/>
                <w:sz w:val="21"/>
                <w:szCs w:val="21"/>
                <w:lang w:val="en-US" w:eastAsia="zh-CN"/>
              </w:rPr>
              <w:t xml:space="preserve">    </w:t>
            </w:r>
            <w:r>
              <w:rPr>
                <w:rFonts w:hint="eastAsia" w:ascii="宋体" w:hAnsi="宋体" w:eastAsia="宋体" w:cs="宋体"/>
                <w:spacing w:val="-3"/>
                <w:sz w:val="21"/>
                <w:szCs w:val="21"/>
              </w:rPr>
              <w:t>址</w:t>
            </w:r>
            <w:r>
              <w:rPr>
                <w:rFonts w:hint="eastAsia" w:ascii="宋体" w:hAnsi="宋体" w:eastAsia="宋体" w:cs="宋体"/>
                <w:sz w:val="21"/>
                <w:szCs w:val="21"/>
              </w:rPr>
              <w:t>：</w:t>
            </w:r>
          </w:p>
        </w:tc>
        <w:tc>
          <w:tcPr>
            <w:tcW w:w="4778" w:type="dxa"/>
          </w:tcPr>
          <w:p>
            <w:pPr>
              <w:pStyle w:val="27"/>
              <w:tabs>
                <w:tab w:val="left" w:pos="417"/>
                <w:tab w:val="left" w:pos="3300"/>
              </w:tabs>
              <w:adjustRightInd w:val="0"/>
              <w:snapToGrid w:val="0"/>
              <w:spacing w:line="360" w:lineRule="auto"/>
              <w:jc w:val="both"/>
              <w:rPr>
                <w:rFonts w:hint="eastAsia" w:ascii="宋体" w:hAnsi="宋体" w:eastAsia="宋体" w:cs="宋体"/>
                <w:sz w:val="21"/>
                <w:szCs w:val="21"/>
              </w:rPr>
            </w:pPr>
            <w:r>
              <w:rPr>
                <w:rFonts w:hint="eastAsia"/>
              </w:rPr>
              <w:t>地</w:t>
            </w:r>
            <w:r>
              <w:rPr>
                <w:rFonts w:hint="eastAsia"/>
                <w:lang w:val="en-US" w:eastAsia="zh-CN"/>
              </w:rPr>
              <w:t xml:space="preserve">    </w:t>
            </w:r>
            <w:r>
              <w:rPr>
                <w:rFonts w:hint="eastAsia"/>
              </w:rPr>
              <w:t>址：</w:t>
            </w:r>
          </w:p>
        </w:tc>
      </w:tr>
      <w:tr>
        <w:tblPrEx>
          <w:tblCellMar>
            <w:top w:w="0" w:type="dxa"/>
            <w:left w:w="0" w:type="dxa"/>
            <w:bottom w:w="0" w:type="dxa"/>
            <w:right w:w="0" w:type="dxa"/>
          </w:tblCellMar>
        </w:tblPrEx>
        <w:trPr>
          <w:trHeight w:val="574" w:hRule="atLeast"/>
        </w:trPr>
        <w:tc>
          <w:tcPr>
            <w:tcW w:w="4781" w:type="dxa"/>
          </w:tcPr>
          <w:p>
            <w:pPr>
              <w:pStyle w:val="27"/>
              <w:tabs>
                <w:tab w:val="left" w:pos="472"/>
                <w:tab w:val="left" w:pos="1836"/>
                <w:tab w:val="left" w:pos="2570"/>
                <w:tab w:val="left" w:pos="3201"/>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z w:val="21"/>
                <w:szCs w:val="21"/>
              </w:rPr>
              <w:t>邮政</w:t>
            </w:r>
            <w:r>
              <w:rPr>
                <w:rFonts w:hint="eastAsia" w:ascii="宋体" w:hAnsi="宋体" w:eastAsia="宋体" w:cs="宋体"/>
                <w:spacing w:val="-3"/>
                <w:sz w:val="21"/>
                <w:szCs w:val="21"/>
              </w:rPr>
              <w:t>编</w:t>
            </w:r>
            <w:r>
              <w:rPr>
                <w:rFonts w:hint="eastAsia" w:ascii="宋体" w:hAnsi="宋体" w:eastAsia="宋体" w:cs="宋体"/>
                <w:sz w:val="21"/>
                <w:szCs w:val="21"/>
              </w:rPr>
              <w:t>码</w:t>
            </w:r>
            <w:r>
              <w:rPr>
                <w:rFonts w:hint="eastAsia" w:ascii="宋体" w:hAnsi="宋体" w:eastAsia="宋体" w:cs="宋体"/>
                <w:spacing w:val="-3"/>
                <w:sz w:val="21"/>
                <w:szCs w:val="21"/>
              </w:rPr>
              <w:t>：</w:t>
            </w:r>
          </w:p>
        </w:tc>
        <w:tc>
          <w:tcPr>
            <w:tcW w:w="4778" w:type="dxa"/>
          </w:tcPr>
          <w:p>
            <w:pPr>
              <w:pStyle w:val="27"/>
              <w:tabs>
                <w:tab w:val="left" w:pos="417"/>
                <w:tab w:val="left" w:pos="1677"/>
                <w:tab w:val="left" w:pos="2414"/>
                <w:tab w:val="left" w:pos="3149"/>
              </w:tabs>
              <w:adjustRightInd w:val="0"/>
              <w:snapToGrid w:val="0"/>
              <w:spacing w:line="360" w:lineRule="auto"/>
              <w:jc w:val="both"/>
              <w:rPr>
                <w:rFonts w:hint="eastAsia" w:ascii="宋体" w:hAnsi="宋体" w:eastAsia="宋体" w:cs="宋体"/>
                <w:sz w:val="21"/>
                <w:szCs w:val="21"/>
              </w:rPr>
            </w:pPr>
            <w:r>
              <w:rPr>
                <w:rFonts w:hint="eastAsia" w:ascii="宋体" w:hAnsi="宋体" w:eastAsia="宋体" w:cs="宋体"/>
                <w:spacing w:val="-3"/>
                <w:sz w:val="21"/>
                <w:szCs w:val="21"/>
              </w:rPr>
              <w:t>邮</w:t>
            </w:r>
            <w:r>
              <w:rPr>
                <w:rFonts w:hint="eastAsia" w:ascii="宋体" w:hAnsi="宋体" w:eastAsia="宋体" w:cs="宋体"/>
                <w:spacing w:val="-1"/>
                <w:sz w:val="21"/>
                <w:szCs w:val="21"/>
              </w:rPr>
              <w:t>政</w:t>
            </w:r>
            <w:r>
              <w:rPr>
                <w:rFonts w:hint="eastAsia" w:ascii="宋体" w:hAnsi="宋体" w:eastAsia="宋体" w:cs="宋体"/>
                <w:sz w:val="21"/>
                <w:szCs w:val="21"/>
              </w:rPr>
              <w:t>编</w:t>
            </w:r>
            <w:r>
              <w:rPr>
                <w:rFonts w:hint="eastAsia" w:ascii="宋体" w:hAnsi="宋体" w:eastAsia="宋体" w:cs="宋体"/>
                <w:spacing w:val="-3"/>
                <w:sz w:val="21"/>
                <w:szCs w:val="21"/>
              </w:rPr>
              <w:t>码</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574" w:hRule="atLeast"/>
        </w:trPr>
        <w:tc>
          <w:tcPr>
            <w:tcW w:w="4781" w:type="dxa"/>
            <w:vAlign w:val="top"/>
          </w:tcPr>
          <w:p>
            <w:pPr>
              <w:pStyle w:val="27"/>
              <w:tabs>
                <w:tab w:val="left" w:pos="472"/>
                <w:tab w:val="left" w:pos="3354"/>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电</w:t>
            </w:r>
            <w:r>
              <w:rPr>
                <w:rFonts w:hint="eastAsia" w:cs="宋体"/>
                <w:sz w:val="21"/>
                <w:szCs w:val="21"/>
                <w:lang w:val="en-US" w:eastAsia="zh-CN"/>
              </w:rPr>
              <w:t xml:space="preserve">    </w:t>
            </w:r>
            <w:r>
              <w:rPr>
                <w:rFonts w:hint="eastAsia" w:ascii="宋体" w:hAnsi="宋体" w:eastAsia="宋体" w:cs="宋体"/>
                <w:sz w:val="21"/>
                <w:szCs w:val="21"/>
              </w:rPr>
              <w:t>话：</w:t>
            </w:r>
          </w:p>
        </w:tc>
        <w:tc>
          <w:tcPr>
            <w:tcW w:w="4778" w:type="dxa"/>
            <w:vAlign w:val="top"/>
          </w:tcPr>
          <w:p>
            <w:pPr>
              <w:pStyle w:val="27"/>
              <w:tabs>
                <w:tab w:val="left" w:pos="417"/>
                <w:tab w:val="left" w:pos="3300"/>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电</w:t>
            </w:r>
            <w:r>
              <w:rPr>
                <w:rFonts w:hint="eastAsia" w:cs="宋体"/>
                <w:sz w:val="21"/>
                <w:szCs w:val="21"/>
                <w:lang w:val="en-US" w:eastAsia="zh-CN"/>
              </w:rPr>
              <w:t xml:space="preserve">    </w:t>
            </w:r>
            <w:r>
              <w:rPr>
                <w:rFonts w:hint="eastAsia" w:ascii="宋体" w:hAnsi="宋体" w:eastAsia="宋体" w:cs="宋体"/>
                <w:sz w:val="21"/>
                <w:szCs w:val="21"/>
              </w:rPr>
              <w:t xml:space="preserve">话： </w:t>
            </w:r>
            <w:r>
              <w:rPr>
                <w:rFonts w:hint="eastAsia" w:ascii="宋体" w:hAnsi="宋体" w:eastAsia="宋体" w:cs="宋体"/>
                <w:sz w:val="21"/>
                <w:szCs w:val="21"/>
              </w:rPr>
              <w:tab/>
            </w:r>
          </w:p>
        </w:tc>
      </w:tr>
      <w:tr>
        <w:tblPrEx>
          <w:tblCellMar>
            <w:top w:w="0" w:type="dxa"/>
            <w:left w:w="0" w:type="dxa"/>
            <w:bottom w:w="0" w:type="dxa"/>
            <w:right w:w="0" w:type="dxa"/>
          </w:tblCellMar>
        </w:tblPrEx>
        <w:trPr>
          <w:trHeight w:val="574" w:hRule="atLeast"/>
        </w:trPr>
        <w:tc>
          <w:tcPr>
            <w:tcW w:w="4781" w:type="dxa"/>
            <w:vAlign w:val="top"/>
          </w:tcPr>
          <w:p>
            <w:pPr>
              <w:pStyle w:val="27"/>
              <w:tabs>
                <w:tab w:val="left" w:pos="472"/>
                <w:tab w:val="left" w:pos="3354"/>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传</w:t>
            </w:r>
            <w:r>
              <w:rPr>
                <w:rFonts w:hint="eastAsia" w:cs="宋体"/>
                <w:sz w:val="21"/>
                <w:szCs w:val="21"/>
                <w:lang w:val="en-US" w:eastAsia="zh-CN"/>
              </w:rPr>
              <w:t xml:space="preserve">    </w:t>
            </w:r>
            <w:r>
              <w:rPr>
                <w:rFonts w:hint="eastAsia" w:ascii="宋体" w:hAnsi="宋体" w:eastAsia="宋体" w:cs="宋体"/>
                <w:sz w:val="21"/>
                <w:szCs w:val="21"/>
              </w:rPr>
              <w:t xml:space="preserve">真： </w:t>
            </w:r>
            <w:r>
              <w:rPr>
                <w:rFonts w:hint="eastAsia" w:ascii="宋体" w:hAnsi="宋体" w:eastAsia="宋体" w:cs="宋体"/>
                <w:sz w:val="21"/>
                <w:szCs w:val="21"/>
              </w:rPr>
              <w:tab/>
            </w:r>
          </w:p>
        </w:tc>
        <w:tc>
          <w:tcPr>
            <w:tcW w:w="4778" w:type="dxa"/>
            <w:vAlign w:val="top"/>
          </w:tcPr>
          <w:p>
            <w:pPr>
              <w:pStyle w:val="27"/>
              <w:tabs>
                <w:tab w:val="left" w:pos="417"/>
                <w:tab w:val="left" w:pos="3300"/>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传</w:t>
            </w:r>
            <w:r>
              <w:rPr>
                <w:rFonts w:hint="eastAsia" w:cs="宋体"/>
                <w:sz w:val="21"/>
                <w:szCs w:val="21"/>
                <w:lang w:val="en-US" w:eastAsia="zh-CN"/>
              </w:rPr>
              <w:t xml:space="preserve">    </w:t>
            </w:r>
            <w:r>
              <w:rPr>
                <w:rFonts w:hint="eastAsia" w:ascii="宋体" w:hAnsi="宋体" w:eastAsia="宋体" w:cs="宋体"/>
                <w:sz w:val="21"/>
                <w:szCs w:val="21"/>
              </w:rPr>
              <w:t xml:space="preserve">真： </w:t>
            </w:r>
            <w:r>
              <w:rPr>
                <w:rFonts w:hint="eastAsia" w:ascii="宋体" w:hAnsi="宋体" w:eastAsia="宋体" w:cs="宋体"/>
                <w:sz w:val="21"/>
                <w:szCs w:val="21"/>
              </w:rPr>
              <w:tab/>
            </w:r>
          </w:p>
        </w:tc>
      </w:tr>
      <w:tr>
        <w:tblPrEx>
          <w:tblCellMar>
            <w:top w:w="0" w:type="dxa"/>
            <w:left w:w="0" w:type="dxa"/>
            <w:bottom w:w="0" w:type="dxa"/>
            <w:right w:w="0" w:type="dxa"/>
          </w:tblCellMar>
        </w:tblPrEx>
        <w:trPr>
          <w:trHeight w:val="574" w:hRule="atLeast"/>
        </w:trPr>
        <w:tc>
          <w:tcPr>
            <w:tcW w:w="4781" w:type="dxa"/>
            <w:vAlign w:val="top"/>
          </w:tcPr>
          <w:p>
            <w:pPr>
              <w:pStyle w:val="27"/>
              <w:tabs>
                <w:tab w:val="left" w:pos="3354"/>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 xml:space="preserve">电子信箱： </w:t>
            </w:r>
            <w:r>
              <w:rPr>
                <w:rFonts w:hint="eastAsia" w:ascii="宋体" w:hAnsi="宋体" w:eastAsia="宋体" w:cs="宋体"/>
                <w:sz w:val="21"/>
                <w:szCs w:val="21"/>
              </w:rPr>
              <w:tab/>
            </w:r>
          </w:p>
        </w:tc>
        <w:tc>
          <w:tcPr>
            <w:tcW w:w="4778" w:type="dxa"/>
            <w:vAlign w:val="top"/>
          </w:tcPr>
          <w:p>
            <w:pPr>
              <w:pStyle w:val="27"/>
              <w:tabs>
                <w:tab w:val="left" w:pos="3302"/>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 xml:space="preserve">电子信箱： </w:t>
            </w:r>
            <w:r>
              <w:rPr>
                <w:rFonts w:hint="eastAsia" w:ascii="宋体" w:hAnsi="宋体" w:eastAsia="宋体" w:cs="宋体"/>
                <w:sz w:val="21"/>
                <w:szCs w:val="21"/>
              </w:rPr>
              <w:tab/>
            </w:r>
          </w:p>
        </w:tc>
      </w:tr>
      <w:tr>
        <w:tblPrEx>
          <w:tblCellMar>
            <w:top w:w="0" w:type="dxa"/>
            <w:left w:w="0" w:type="dxa"/>
            <w:bottom w:w="0" w:type="dxa"/>
            <w:right w:w="0" w:type="dxa"/>
          </w:tblCellMar>
        </w:tblPrEx>
        <w:trPr>
          <w:trHeight w:val="574" w:hRule="atLeast"/>
        </w:trPr>
        <w:tc>
          <w:tcPr>
            <w:tcW w:w="4781" w:type="dxa"/>
            <w:vAlign w:val="top"/>
          </w:tcPr>
          <w:p>
            <w:pPr>
              <w:pStyle w:val="27"/>
              <w:tabs>
                <w:tab w:val="left" w:pos="3354"/>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 xml:space="preserve">开户银行： </w:t>
            </w:r>
            <w:r>
              <w:rPr>
                <w:rFonts w:hint="eastAsia" w:ascii="宋体" w:hAnsi="宋体" w:eastAsia="宋体" w:cs="宋体"/>
                <w:sz w:val="21"/>
                <w:szCs w:val="21"/>
              </w:rPr>
              <w:tab/>
            </w:r>
          </w:p>
        </w:tc>
        <w:tc>
          <w:tcPr>
            <w:tcW w:w="4778" w:type="dxa"/>
            <w:vAlign w:val="top"/>
          </w:tcPr>
          <w:p>
            <w:pPr>
              <w:pStyle w:val="27"/>
              <w:tabs>
                <w:tab w:val="left" w:pos="3302"/>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 xml:space="preserve">开户银行： </w:t>
            </w:r>
            <w:r>
              <w:rPr>
                <w:rFonts w:hint="eastAsia" w:ascii="宋体" w:hAnsi="宋体" w:eastAsia="宋体" w:cs="宋体"/>
                <w:sz w:val="21"/>
                <w:szCs w:val="21"/>
                <w:lang w:val="en-US"/>
              </w:rPr>
              <w:t xml:space="preserve"> </w:t>
            </w:r>
            <w:r>
              <w:rPr>
                <w:rFonts w:hint="eastAsia" w:ascii="宋体" w:hAnsi="宋体" w:eastAsia="宋体" w:cs="宋体"/>
                <w:sz w:val="21"/>
                <w:szCs w:val="21"/>
              </w:rPr>
              <w:tab/>
            </w:r>
          </w:p>
        </w:tc>
      </w:tr>
      <w:tr>
        <w:tblPrEx>
          <w:tblCellMar>
            <w:top w:w="0" w:type="dxa"/>
            <w:left w:w="0" w:type="dxa"/>
            <w:bottom w:w="0" w:type="dxa"/>
            <w:right w:w="0" w:type="dxa"/>
          </w:tblCellMar>
        </w:tblPrEx>
        <w:trPr>
          <w:trHeight w:val="574" w:hRule="atLeast"/>
        </w:trPr>
        <w:tc>
          <w:tcPr>
            <w:tcW w:w="4781" w:type="dxa"/>
            <w:vAlign w:val="top"/>
          </w:tcPr>
          <w:p>
            <w:pPr>
              <w:pStyle w:val="27"/>
              <w:tabs>
                <w:tab w:val="left" w:pos="472"/>
                <w:tab w:val="left" w:pos="3354"/>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账</w:t>
            </w:r>
            <w:r>
              <w:rPr>
                <w:rFonts w:hint="eastAsia" w:cs="宋体"/>
                <w:sz w:val="21"/>
                <w:szCs w:val="21"/>
                <w:lang w:val="en-US" w:eastAsia="zh-CN"/>
              </w:rPr>
              <w:t xml:space="preserve">    </w:t>
            </w:r>
            <w:r>
              <w:rPr>
                <w:rFonts w:hint="eastAsia" w:ascii="宋体" w:hAnsi="宋体" w:eastAsia="宋体" w:cs="宋体"/>
                <w:sz w:val="21"/>
                <w:szCs w:val="21"/>
              </w:rPr>
              <w:t xml:space="preserve">号： </w:t>
            </w:r>
            <w:r>
              <w:rPr>
                <w:rFonts w:hint="eastAsia" w:ascii="宋体" w:hAnsi="宋体" w:eastAsia="宋体" w:cs="宋体"/>
                <w:sz w:val="21"/>
                <w:szCs w:val="21"/>
              </w:rPr>
              <w:tab/>
            </w:r>
          </w:p>
        </w:tc>
        <w:tc>
          <w:tcPr>
            <w:tcW w:w="4778" w:type="dxa"/>
            <w:vAlign w:val="top"/>
          </w:tcPr>
          <w:p>
            <w:pPr>
              <w:pStyle w:val="27"/>
              <w:tabs>
                <w:tab w:val="left" w:pos="417"/>
                <w:tab w:val="left" w:pos="3300"/>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账</w:t>
            </w:r>
            <w:r>
              <w:rPr>
                <w:rFonts w:hint="eastAsia" w:cs="宋体"/>
                <w:sz w:val="21"/>
                <w:szCs w:val="21"/>
                <w:lang w:val="en-US" w:eastAsia="zh-CN"/>
              </w:rPr>
              <w:t xml:space="preserve">    </w:t>
            </w:r>
            <w:r>
              <w:rPr>
                <w:rFonts w:hint="eastAsia" w:ascii="宋体" w:hAnsi="宋体" w:eastAsia="宋体" w:cs="宋体"/>
                <w:sz w:val="21"/>
                <w:szCs w:val="21"/>
              </w:rPr>
              <w:t xml:space="preserve">号： </w:t>
            </w:r>
          </w:p>
        </w:tc>
      </w:tr>
      <w:tr>
        <w:tblPrEx>
          <w:tblCellMar>
            <w:top w:w="0" w:type="dxa"/>
            <w:left w:w="0" w:type="dxa"/>
            <w:bottom w:w="0" w:type="dxa"/>
            <w:right w:w="0" w:type="dxa"/>
          </w:tblCellMar>
        </w:tblPrEx>
        <w:trPr>
          <w:trHeight w:val="574" w:hRule="atLeast"/>
        </w:trPr>
        <w:tc>
          <w:tcPr>
            <w:tcW w:w="4781" w:type="dxa"/>
            <w:vAlign w:val="top"/>
          </w:tcPr>
          <w:p>
            <w:pPr>
              <w:pStyle w:val="27"/>
              <w:tabs>
                <w:tab w:val="left" w:pos="472"/>
                <w:tab w:val="left" w:pos="1836"/>
                <w:tab w:val="left" w:pos="2570"/>
                <w:tab w:val="left" w:pos="3201"/>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时</w:t>
            </w:r>
            <w:r>
              <w:rPr>
                <w:rFonts w:hint="eastAsia" w:cs="宋体"/>
                <w:sz w:val="21"/>
                <w:szCs w:val="21"/>
                <w:lang w:val="en-US" w:eastAsia="zh-CN"/>
              </w:rPr>
              <w:t xml:space="preserve">    </w:t>
            </w:r>
            <w:r>
              <w:rPr>
                <w:rFonts w:hint="eastAsia" w:ascii="宋体" w:hAnsi="宋体" w:eastAsia="宋体" w:cs="宋体"/>
                <w:sz w:val="21"/>
                <w:szCs w:val="21"/>
              </w:rPr>
              <w:t xml:space="preserve">间： </w:t>
            </w:r>
            <w:r>
              <w:rPr>
                <w:rFonts w:hint="eastAsia" w:ascii="宋体" w:hAnsi="宋体" w:eastAsia="宋体" w:cs="宋体"/>
                <w:sz w:val="21"/>
                <w:szCs w:val="21"/>
              </w:rPr>
              <w:tab/>
            </w:r>
            <w:r>
              <w:rPr>
                <w:rFonts w:hint="eastAsia" w:ascii="宋体" w:hAnsi="宋体" w:eastAsia="宋体" w:cs="宋体"/>
                <w:sz w:val="21"/>
                <w:szCs w:val="21"/>
              </w:rPr>
              <w:t xml:space="preserve">年 </w:t>
            </w:r>
            <w:r>
              <w:rPr>
                <w:rFonts w:hint="eastAsia" w:ascii="宋体" w:hAnsi="宋体" w:eastAsia="宋体" w:cs="宋体"/>
                <w:sz w:val="21"/>
                <w:szCs w:val="21"/>
              </w:rPr>
              <w:tab/>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eastAsia="宋体" w:cs="宋体"/>
                <w:sz w:val="21"/>
                <w:szCs w:val="21"/>
              </w:rPr>
              <w:t>日</w:t>
            </w:r>
          </w:p>
        </w:tc>
        <w:tc>
          <w:tcPr>
            <w:tcW w:w="4778" w:type="dxa"/>
            <w:vAlign w:val="top"/>
          </w:tcPr>
          <w:p>
            <w:pPr>
              <w:pStyle w:val="27"/>
              <w:tabs>
                <w:tab w:val="left" w:pos="417"/>
                <w:tab w:val="left" w:pos="1677"/>
                <w:tab w:val="left" w:pos="2414"/>
                <w:tab w:val="left" w:pos="3149"/>
              </w:tabs>
              <w:adjustRightInd w:val="0"/>
              <w:snapToGrid w:val="0"/>
              <w:spacing w:line="360" w:lineRule="auto"/>
              <w:jc w:val="both"/>
              <w:rPr>
                <w:rFonts w:hint="eastAsia" w:ascii="宋体" w:hAnsi="宋体" w:eastAsia="宋体" w:cs="宋体"/>
                <w:kern w:val="2"/>
                <w:sz w:val="21"/>
                <w:szCs w:val="21"/>
                <w:lang w:val="zh-CN" w:eastAsia="zh-CN" w:bidi="zh-CN"/>
              </w:rPr>
            </w:pPr>
            <w:r>
              <w:rPr>
                <w:rFonts w:hint="eastAsia" w:ascii="宋体" w:hAnsi="宋体" w:eastAsia="宋体" w:cs="宋体"/>
                <w:sz w:val="21"/>
                <w:szCs w:val="21"/>
              </w:rPr>
              <w:t>时</w:t>
            </w:r>
            <w:r>
              <w:rPr>
                <w:rFonts w:hint="eastAsia" w:cs="宋体"/>
                <w:sz w:val="21"/>
                <w:szCs w:val="21"/>
                <w:lang w:val="en-US" w:eastAsia="zh-CN"/>
              </w:rPr>
              <w:t xml:space="preserve">    </w:t>
            </w:r>
            <w:r>
              <w:rPr>
                <w:rFonts w:hint="eastAsia" w:ascii="宋体" w:hAnsi="宋体" w:eastAsia="宋体" w:cs="宋体"/>
                <w:sz w:val="21"/>
                <w:szCs w:val="21"/>
              </w:rPr>
              <w:t xml:space="preserve">间： </w:t>
            </w:r>
            <w:r>
              <w:rPr>
                <w:rFonts w:hint="eastAsia" w:ascii="宋体" w:hAnsi="宋体" w:eastAsia="宋体" w:cs="宋体"/>
                <w:sz w:val="21"/>
                <w:szCs w:val="21"/>
              </w:rPr>
              <w:tab/>
            </w:r>
            <w:r>
              <w:rPr>
                <w:rFonts w:hint="eastAsia" w:ascii="宋体" w:hAnsi="宋体" w:eastAsia="宋体" w:cs="宋体"/>
                <w:sz w:val="21"/>
                <w:szCs w:val="21"/>
              </w:rPr>
              <w:t xml:space="preserve">年 </w:t>
            </w:r>
            <w:r>
              <w:rPr>
                <w:rFonts w:hint="eastAsia" w:ascii="宋体" w:hAnsi="宋体" w:eastAsia="宋体" w:cs="宋体"/>
                <w:sz w:val="21"/>
                <w:szCs w:val="21"/>
              </w:rPr>
              <w:tab/>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eastAsia="宋体" w:cs="宋体"/>
                <w:sz w:val="21"/>
                <w:szCs w:val="21"/>
              </w:rPr>
              <w:t>日</w:t>
            </w:r>
          </w:p>
        </w:tc>
      </w:tr>
    </w:tbl>
    <w:p>
      <w:pPr>
        <w:rPr>
          <w:rFonts w:hint="eastAsia" w:ascii="宋体" w:hAnsi="宋体" w:eastAsia="宋体" w:cs="宋体"/>
          <w:sz w:val="21"/>
          <w:szCs w:val="21"/>
        </w:rPr>
      </w:pPr>
    </w:p>
    <w:p>
      <w:pPr>
        <w:pStyle w:val="2"/>
        <w:rPr>
          <w:rFonts w:hint="eastAsia" w:ascii="宋体" w:hAnsi="宋体" w:eastAsia="宋体" w:cs="宋体"/>
          <w:sz w:val="21"/>
          <w:szCs w:val="21"/>
        </w:rPr>
      </w:pPr>
    </w:p>
    <w:p>
      <w:pPr>
        <w:pStyle w:val="3"/>
        <w:rPr>
          <w:rFonts w:hint="eastAsia" w:ascii="宋体" w:hAnsi="宋体" w:eastAsia="宋体" w:cs="宋体"/>
          <w:sz w:val="21"/>
          <w:szCs w:val="21"/>
        </w:rPr>
      </w:pPr>
    </w:p>
    <w:p>
      <w:pPr>
        <w:pStyle w:val="2"/>
        <w:tabs>
          <w:tab w:val="left" w:pos="1431"/>
          <w:tab w:val="left" w:pos="4898"/>
          <w:tab w:val="left" w:pos="5949"/>
        </w:tabs>
        <w:adjustRightInd w:val="0"/>
        <w:snapToGrid w:val="0"/>
        <w:spacing w:line="36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lang w:val="en-US"/>
        </w:rPr>
        <w:t xml:space="preserve">                 </w:t>
      </w:r>
    </w:p>
    <w:p>
      <w:pPr>
        <w:pStyle w:val="2"/>
        <w:tabs>
          <w:tab w:val="left" w:pos="4898"/>
        </w:tabs>
        <w:adjustRightInd w:val="0"/>
        <w:snapToGrid w:val="0"/>
        <w:spacing w:line="360" w:lineRule="auto"/>
        <w:ind w:firstLine="420" w:firstLineChars="200"/>
        <w:jc w:val="both"/>
        <w:rPr>
          <w:rFonts w:hint="eastAsia" w:ascii="宋体" w:hAnsi="宋体" w:eastAsia="宋体" w:cs="宋体"/>
          <w:sz w:val="21"/>
          <w:szCs w:val="21"/>
          <w:lang w:val="en-US"/>
        </w:rPr>
      </w:pPr>
      <w:r>
        <w:rPr>
          <w:rFonts w:hint="eastAsia" w:ascii="宋体" w:hAnsi="宋体" w:eastAsia="宋体" w:cs="宋体"/>
          <w:sz w:val="21"/>
          <w:szCs w:val="21"/>
          <w:lang w:val="en-US"/>
        </w:rPr>
        <w:t xml:space="preserve">     </w:t>
      </w:r>
    </w:p>
    <w:p>
      <w:pPr>
        <w:pStyle w:val="2"/>
        <w:tabs>
          <w:tab w:val="left" w:pos="5109"/>
        </w:tabs>
        <w:adjustRightInd w:val="0"/>
        <w:snapToGrid w:val="0"/>
        <w:spacing w:line="36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ab/>
      </w:r>
    </w:p>
    <w:p>
      <w:pPr>
        <w:pStyle w:val="2"/>
        <w:tabs>
          <w:tab w:val="left" w:pos="3685"/>
          <w:tab w:val="left" w:pos="4898"/>
          <w:tab w:val="left" w:pos="8200"/>
        </w:tabs>
        <w:adjustRightInd w:val="0"/>
        <w:snapToGrid w:val="0"/>
        <w:spacing w:line="360" w:lineRule="auto"/>
        <w:ind w:firstLine="408" w:firstLineChars="200"/>
        <w:jc w:val="both"/>
        <w:rPr>
          <w:rFonts w:hint="eastAsia" w:ascii="宋体" w:hAnsi="宋体" w:eastAsia="宋体" w:cs="宋体"/>
          <w:spacing w:val="-3"/>
          <w:sz w:val="21"/>
          <w:szCs w:val="21"/>
        </w:rPr>
      </w:pPr>
      <w:r>
        <w:rPr>
          <w:rFonts w:hint="eastAsia" w:ascii="宋体" w:hAnsi="宋体" w:eastAsia="宋体" w:cs="宋体"/>
          <w:spacing w:val="-3"/>
          <w:sz w:val="21"/>
          <w:szCs w:val="21"/>
          <w:lang w:val="en-US"/>
        </w:rPr>
        <w:t xml:space="preserve"> </w:t>
      </w:r>
    </w:p>
    <w:p>
      <w:pPr>
        <w:pStyle w:val="2"/>
        <w:tabs>
          <w:tab w:val="left" w:pos="3685"/>
          <w:tab w:val="left" w:pos="4898"/>
          <w:tab w:val="left" w:pos="8200"/>
        </w:tabs>
        <w:adjustRightInd w:val="0"/>
        <w:snapToGrid w:val="0"/>
        <w:spacing w:line="360" w:lineRule="auto"/>
        <w:ind w:firstLine="408" w:firstLineChars="200"/>
        <w:jc w:val="both"/>
        <w:rPr>
          <w:rFonts w:hint="eastAsia" w:ascii="宋体" w:hAnsi="宋体" w:eastAsia="宋体" w:cs="宋体"/>
          <w:sz w:val="21"/>
          <w:szCs w:val="21"/>
        </w:rPr>
      </w:pPr>
      <w:r>
        <w:rPr>
          <w:rFonts w:hint="eastAsia" w:ascii="宋体" w:hAnsi="宋体" w:eastAsia="宋体" w:cs="宋体"/>
          <w:spacing w:val="-3"/>
          <w:sz w:val="21"/>
          <w:szCs w:val="21"/>
          <w:lang w:val="en-US"/>
        </w:rPr>
        <w:t xml:space="preserve"> </w:t>
      </w:r>
    </w:p>
    <w:p>
      <w:pPr>
        <w:spacing w:line="700" w:lineRule="exact"/>
        <w:rPr>
          <w:rFonts w:hint="eastAsia" w:ascii="宋体" w:hAnsi="宋体" w:eastAsia="宋体" w:cs="宋体"/>
          <w:sz w:val="21"/>
          <w:szCs w:val="21"/>
        </w:rPr>
      </w:pPr>
    </w:p>
    <w:p>
      <w:pPr>
        <w:pStyle w:val="2"/>
        <w:rPr>
          <w:rFonts w:hint="eastAsia" w:ascii="宋体" w:hAnsi="宋体" w:eastAsia="宋体" w:cs="宋体"/>
          <w:sz w:val="21"/>
          <w:szCs w:val="21"/>
        </w:rPr>
      </w:pPr>
    </w:p>
    <w:p>
      <w:pPr>
        <w:rPr>
          <w:rFonts w:hint="eastAsia" w:ascii="宋体" w:hAnsi="宋体" w:eastAsia="宋体" w:cs="宋体"/>
          <w:sz w:val="21"/>
          <w:szCs w:val="21"/>
        </w:rPr>
      </w:pPr>
    </w:p>
    <w:p>
      <w:pPr>
        <w:pStyle w:val="2"/>
        <w:rPr>
          <w:rFonts w:hint="eastAsia"/>
        </w:rPr>
      </w:pPr>
    </w:p>
    <w:p>
      <w:pPr>
        <w:pStyle w:val="2"/>
        <w:rPr>
          <w:rFonts w:hint="eastAsia" w:ascii="宋体" w:hAnsi="宋体" w:eastAsia="宋体" w:cs="宋体"/>
          <w:sz w:val="21"/>
          <w:szCs w:val="21"/>
        </w:rPr>
      </w:pPr>
    </w:p>
    <w:p>
      <w:pPr>
        <w:adjustRightInd w:val="0"/>
        <w:snapToGrid w:val="0"/>
        <w:spacing w:line="360" w:lineRule="auto"/>
        <w:jc w:val="center"/>
        <w:rPr>
          <w:rFonts w:hint="eastAsia"/>
          <w:b/>
          <w:sz w:val="32"/>
          <w:szCs w:val="32"/>
        </w:rPr>
      </w:pPr>
    </w:p>
    <w:p>
      <w:pPr>
        <w:adjustRightInd w:val="0"/>
        <w:snapToGrid w:val="0"/>
        <w:spacing w:line="360" w:lineRule="auto"/>
        <w:jc w:val="center"/>
        <w:rPr>
          <w:rFonts w:hint="eastAsia"/>
          <w:b/>
          <w:sz w:val="32"/>
          <w:szCs w:val="32"/>
        </w:rPr>
      </w:pPr>
      <w:bookmarkStart w:id="17" w:name="_Toc531850340"/>
      <w:bookmarkStart w:id="18" w:name="_Toc37436641"/>
      <w:bookmarkStart w:id="19" w:name="_Toc36971699"/>
      <w:bookmarkStart w:id="20" w:name="_Toc7350"/>
      <w:bookmarkStart w:id="21" w:name="_Toc45643940"/>
      <w:bookmarkStart w:id="22" w:name="_Toc532553046"/>
      <w:bookmarkStart w:id="23" w:name="_Toc36975865"/>
      <w:r>
        <w:rPr>
          <w:rFonts w:hint="eastAsia"/>
          <w:b/>
          <w:sz w:val="32"/>
          <w:szCs w:val="32"/>
        </w:rPr>
        <w:t>第二部分</w:t>
      </w:r>
      <w:r>
        <w:rPr>
          <w:rFonts w:hint="eastAsia"/>
          <w:b/>
          <w:sz w:val="32"/>
          <w:szCs w:val="32"/>
          <w:lang w:val="en-US" w:eastAsia="zh-CN"/>
        </w:rPr>
        <w:t xml:space="preserve"> </w:t>
      </w:r>
      <w:r>
        <w:rPr>
          <w:rFonts w:hint="eastAsia"/>
          <w:b/>
          <w:sz w:val="32"/>
          <w:szCs w:val="32"/>
        </w:rPr>
        <w:t>通用条件</w:t>
      </w:r>
      <w:bookmarkEnd w:id="17"/>
      <w:bookmarkEnd w:id="18"/>
      <w:bookmarkEnd w:id="19"/>
      <w:bookmarkEnd w:id="20"/>
      <w:bookmarkEnd w:id="21"/>
      <w:bookmarkEnd w:id="22"/>
      <w:bookmarkEnd w:id="23"/>
    </w:p>
    <w:p>
      <w:pPr>
        <w:keepNext/>
        <w:keepLines/>
        <w:numPr>
          <w:ilvl w:val="2"/>
          <w:numId w:val="0"/>
        </w:numPr>
        <w:spacing w:before="260" w:after="260" w:line="360" w:lineRule="exact"/>
        <w:ind w:left="630" w:leftChars="300" w:right="256" w:rightChars="122" w:firstLine="329" w:firstLineChars="157"/>
        <w:outlineLvl w:val="9"/>
        <w:rPr>
          <w:rFonts w:hint="eastAsia" w:ascii="宋体" w:hAnsi="宋体" w:eastAsia="宋体" w:cs="宋体"/>
          <w:color w:val="auto"/>
          <w:sz w:val="21"/>
          <w:szCs w:val="21"/>
        </w:rPr>
      </w:pPr>
      <w:bookmarkStart w:id="24" w:name="_Toc531850341"/>
      <w:bookmarkStart w:id="25" w:name="_Toc478380027"/>
      <w:bookmarkStart w:id="26" w:name="_Toc478373423"/>
      <w:bookmarkStart w:id="27" w:name="_Toc37436642"/>
      <w:bookmarkStart w:id="28" w:name="_Toc509302648"/>
      <w:bookmarkStart w:id="29" w:name="_Toc532553047"/>
      <w:bookmarkStart w:id="30" w:name="_Toc36971700"/>
      <w:bookmarkStart w:id="31" w:name="_Toc36975866"/>
      <w:r>
        <w:rPr>
          <w:rFonts w:hint="eastAsia" w:ascii="宋体" w:hAnsi="宋体" w:eastAsia="宋体" w:cs="宋体"/>
          <w:color w:val="auto"/>
          <w:sz w:val="21"/>
          <w:szCs w:val="21"/>
        </w:rPr>
        <w:t>1.定义与解释</w:t>
      </w:r>
      <w:bookmarkEnd w:id="24"/>
      <w:bookmarkEnd w:id="25"/>
      <w:bookmarkEnd w:id="26"/>
      <w:bookmarkEnd w:id="27"/>
      <w:bookmarkEnd w:id="28"/>
      <w:bookmarkEnd w:id="29"/>
      <w:bookmarkEnd w:id="30"/>
      <w:bookmarkEnd w:id="31"/>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1.1定义</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除根据上下文另有其意义外，组成本合同的全部文件中的下列名词和用语应具有本款所赋予的含义：</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1.1.1“工程”是指按照本合同约定实施全过程工程咨询的建设工程。</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1.1.2“委托人”是指本合同中委托全过程工程咨询的一方，及其合法的继承人。</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1.1.3“受托人”指本合同中提供全过程工程咨询的一方，包括其合法继承人。</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1.1.4“其他参建方”是指在工程范围内与委托人签订拆迁、勘察、专业设计、施工、材料和设备供应及安装、试验检测、专业咨询与服务等有关合同的当事人，及其合法的继承人。</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1.1.5“正常工作”指本合同订立时通用条件和专用条件中约定的受托人的工作。</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1.1.6“附加工作”是指本合同约定的正常工作以外受托人的工作。</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1.1.7“全过程工程咨询机构”是指受托人派驻工程负责履行本合同的组织机构。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1.1.8“全过程工程咨询项目总负责人”是指由受托人的法定代表人书面授权，全面负责履行本合同、主持全过程工程咨询机构工作的人员。</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1.1.9“酬金”是指受托人履行本合同义务，委托人按照本合同约定给付受托人的金额。</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1.1.10“正常工作酬金”是指受托人完成正常工作，委托人应给付受托人并在协议书中载明的签约酬金额。</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1.1.11“附加工作酬金”是指受托人完成附加工作，委托人应给付受托人的金额。</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1.1.12“一方”是指委托人或受托人；“双方”是指委托人和受托人；“第三方”是指除委托人和受托人以外的有关方。</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1.1.13“书面形式”是指合同书、信件和数据电文（包括电报、电传、传真、电子数据交换和电子邮件）等可以有形地表现所载内容的形式。</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1.1.14“天”是指第一天零时至第二天零时的时间。</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1.1.15“月”是指按公历从一个月中任何一天开始的一个公历月时间。</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1.1.16“不可抗力”是指委托人和受托人在订立本合同时不可预见，在工程施工过程中不可避免发生并不能克服的自然灾害和社会性突发事件，如地震、海啸、瘟疫、骚乱、戒严、暴动、战争和专用合同条款中约定的其他情形。</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1.2解释</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1.2.1本合同使用中文书写、解释和说明。如专用条件约定使用两种及以上语言文字时，应以中文为准。</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1.2.2组成本合同的下列文件彼此应能相互解释、互为说明。除专用条件另有约定外，本合同文件的解释顺序如下：</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（1）协议书；</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（2）中标通知书；</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（3）投标文件</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（4）专用条件及其附录；</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（5）通用条件；</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（6）技术要求及其附件</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rPr>
        <w:t>7</w:t>
      </w:r>
      <w:r>
        <w:rPr>
          <w:rFonts w:hint="eastAsia" w:ascii="宋体" w:hAnsi="宋体" w:eastAsia="宋体" w:cs="宋体"/>
          <w:color w:val="auto"/>
          <w:sz w:val="21"/>
          <w:szCs w:val="21"/>
        </w:rPr>
        <w:t>）</w:t>
      </w:r>
      <w:r>
        <w:rPr>
          <w:rFonts w:hint="eastAsia" w:ascii="宋体" w:hAnsi="宋体" w:eastAsia="宋体" w:cs="宋体"/>
          <w:color w:val="auto"/>
          <w:sz w:val="21"/>
          <w:szCs w:val="21"/>
          <w:lang w:val="en-US"/>
        </w:rPr>
        <w:t>委托人提供的有关资料（如有）</w:t>
      </w:r>
      <w:r>
        <w:rPr>
          <w:rFonts w:hint="eastAsia" w:ascii="宋体" w:hAnsi="宋体" w:eastAsia="宋体" w:cs="宋体"/>
          <w:color w:val="auto"/>
          <w:sz w:val="21"/>
          <w:szCs w:val="21"/>
        </w:rPr>
        <w:t>；</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rPr>
        <w:t>8</w:t>
      </w:r>
      <w:r>
        <w:rPr>
          <w:rFonts w:hint="eastAsia" w:ascii="宋体" w:hAnsi="宋体" w:eastAsia="宋体" w:cs="宋体"/>
          <w:color w:val="auto"/>
          <w:sz w:val="21"/>
          <w:szCs w:val="21"/>
        </w:rPr>
        <w:t>）</w:t>
      </w:r>
      <w:r>
        <w:rPr>
          <w:rFonts w:hint="eastAsia" w:ascii="宋体" w:hAnsi="宋体" w:eastAsia="宋体" w:cs="宋体"/>
          <w:color w:val="auto"/>
          <w:sz w:val="21"/>
          <w:szCs w:val="21"/>
          <w:lang w:val="en-US"/>
        </w:rPr>
        <w:t>其他合同文件</w:t>
      </w:r>
      <w:r>
        <w:rPr>
          <w:rFonts w:hint="eastAsia" w:ascii="宋体" w:hAnsi="宋体" w:eastAsia="宋体" w:cs="宋体"/>
          <w:color w:val="auto"/>
          <w:sz w:val="21"/>
          <w:szCs w:val="21"/>
        </w:rPr>
        <w:t>。</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双方签订的补充协议与其他文件发生矛盾或歧义时，属于同一类内容的文件，应以最新签署的为准。</w:t>
      </w:r>
      <w:bookmarkStart w:id="32" w:name="_Toc37436643"/>
      <w:bookmarkStart w:id="33" w:name="_Toc532553048"/>
      <w:bookmarkStart w:id="34" w:name="_Toc36975867"/>
      <w:bookmarkStart w:id="35" w:name="_Toc509302649"/>
      <w:bookmarkStart w:id="36" w:name="_Toc531850342"/>
      <w:bookmarkStart w:id="37" w:name="_Toc36971701"/>
      <w:bookmarkStart w:id="38" w:name="_Toc478380028"/>
      <w:bookmarkStart w:id="39" w:name="_Toc478373424"/>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2.受托人的义务</w:t>
      </w:r>
      <w:bookmarkEnd w:id="32"/>
      <w:bookmarkEnd w:id="33"/>
      <w:bookmarkEnd w:id="34"/>
      <w:bookmarkEnd w:id="35"/>
      <w:bookmarkEnd w:id="36"/>
      <w:bookmarkEnd w:id="37"/>
      <w:bookmarkEnd w:id="38"/>
      <w:bookmarkEnd w:id="39"/>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2.1全过程工程咨询的范围和工作内容在技术要求中约定。</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2.2全过程工程咨询依据</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（1）双方根据工程的行业和地域特点，在专用条件中具体约定工作依据。</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（2）委托人要求使用其他国家和地区技术标准的，应在专用条件中约定所使用技术标准的名称及提供方，并约定技术标准原文版、中译本的份数、时间及费用承担等事项。</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2.3全过程工程咨询机构和人员</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2.3.1受托人应组建满足工作需要的全过程工程咨询机构，配备必要的办公与咨询服务所需的仪器设备。全过程工程咨询机构的主要人员应具有相应的资格条件，并在专用合同条款中明确项目总负责人及重要岗位受托人员的姓名、执业资格及等级、注册执业证书编号、联系方式及授权范围等事项。</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2.3.2本合同履行过程中，全过程工程咨询项目总负责人及重要岗位受托人员应保持相对稳定，以保证全过程工程咨询工作正常进行。</w:t>
      </w:r>
    </w:p>
    <w:p>
      <w:pPr>
        <w:tabs>
          <w:tab w:val="left" w:pos="6140"/>
        </w:tabs>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2.3.3受托人可根据工程进展和工作需要调整全过程工程咨询机构人员。受托人更换全过程工程咨询项目总负责人时，应提前7天向委托人书面报告，经委托人同意后方可更换；受托人更换全过程工程咨询机构其他受托人员，应以相当资格与能力的人员替换，并通知委托人。未经</w:t>
      </w:r>
      <w:r>
        <w:rPr>
          <w:rFonts w:hint="eastAsia" w:ascii="宋体" w:hAnsi="宋体" w:eastAsia="宋体" w:cs="宋体"/>
          <w:color w:val="auto"/>
          <w:sz w:val="21"/>
          <w:szCs w:val="21"/>
          <w:lang w:val="en-US"/>
        </w:rPr>
        <w:t>委托</w:t>
      </w:r>
      <w:r>
        <w:rPr>
          <w:rFonts w:hint="eastAsia" w:ascii="宋体" w:hAnsi="宋体" w:eastAsia="宋体" w:cs="宋体"/>
          <w:color w:val="auto"/>
          <w:sz w:val="21"/>
          <w:szCs w:val="21"/>
        </w:rPr>
        <w:t>人书面同意，</w:t>
      </w:r>
      <w:r>
        <w:rPr>
          <w:rFonts w:hint="eastAsia" w:ascii="宋体" w:hAnsi="宋体" w:eastAsia="宋体" w:cs="宋体"/>
          <w:color w:val="auto"/>
          <w:sz w:val="21"/>
          <w:szCs w:val="21"/>
          <w:lang w:val="en-US"/>
        </w:rPr>
        <w:t>受托</w:t>
      </w:r>
      <w:r>
        <w:rPr>
          <w:rFonts w:hint="eastAsia" w:ascii="宋体" w:hAnsi="宋体" w:eastAsia="宋体" w:cs="宋体"/>
          <w:color w:val="auto"/>
          <w:sz w:val="21"/>
          <w:szCs w:val="21"/>
        </w:rPr>
        <w:t>人不得擅自更换项目总负责人及重要岗位受托人</w:t>
      </w:r>
      <w:r>
        <w:rPr>
          <w:rFonts w:hint="eastAsia" w:ascii="宋体" w:hAnsi="宋体" w:eastAsia="宋体" w:cs="宋体"/>
          <w:color w:val="auto"/>
          <w:sz w:val="21"/>
          <w:szCs w:val="21"/>
          <w:lang w:val="en-US"/>
        </w:rPr>
        <w:t>员</w:t>
      </w:r>
      <w:r>
        <w:rPr>
          <w:rFonts w:hint="eastAsia" w:ascii="宋体" w:hAnsi="宋体" w:eastAsia="宋体" w:cs="宋体"/>
          <w:color w:val="auto"/>
          <w:sz w:val="21"/>
          <w:szCs w:val="21"/>
        </w:rPr>
        <w:t>。</w:t>
      </w:r>
      <w:r>
        <w:rPr>
          <w:rFonts w:hint="eastAsia" w:ascii="宋体" w:hAnsi="宋体" w:eastAsia="宋体" w:cs="宋体"/>
          <w:color w:val="auto"/>
          <w:sz w:val="21"/>
          <w:szCs w:val="21"/>
          <w:lang w:val="en-US"/>
        </w:rPr>
        <w:t>委托</w:t>
      </w:r>
      <w:r>
        <w:rPr>
          <w:rFonts w:hint="eastAsia" w:ascii="宋体" w:hAnsi="宋体" w:eastAsia="宋体" w:cs="宋体"/>
          <w:color w:val="auto"/>
          <w:sz w:val="21"/>
          <w:szCs w:val="21"/>
        </w:rPr>
        <w:t>人擅自更换项目总负责人及重要岗位受托人</w:t>
      </w:r>
      <w:r>
        <w:rPr>
          <w:rFonts w:hint="eastAsia" w:ascii="宋体" w:hAnsi="宋体" w:eastAsia="宋体" w:cs="宋体"/>
          <w:color w:val="auto"/>
          <w:sz w:val="21"/>
          <w:szCs w:val="21"/>
          <w:lang w:val="en-US"/>
        </w:rPr>
        <w:t>员</w:t>
      </w:r>
      <w:r>
        <w:rPr>
          <w:rFonts w:hint="eastAsia" w:ascii="宋体" w:hAnsi="宋体" w:eastAsia="宋体" w:cs="宋体"/>
          <w:color w:val="auto"/>
          <w:sz w:val="21"/>
          <w:szCs w:val="21"/>
        </w:rPr>
        <w:t>的，应按照专用合同条款的约定承担违约责任。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2.3.4受托人应及时更换有下列情形之一的受托人员：</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（1）严重过失行为的；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（2）有违法行为不能履行职责的；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（3）涉嫌犯罪的；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（4）不能胜任岗位职责的；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（5）严重违反职业道德的；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（6）专用条件约定的其他情形。</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2.3.5委托人可要求受托人更换不能胜任本职工作的全过程工程咨询机构人员。对于委托人有理由的更换要求，受托人应在收到书面更换通知后在专用合同条款约定的期限内进行更换，并将新任命的全过程工程咨询机构人员的注册执业资格、管理经验等资料书面通知委托人。受托人无正当理由拒绝更换全过程工程咨询机构人员的，应按照专用合同条款的约定承担违约责任。</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2.4履行职责</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（1）受托人应遵循职业道德准则和行为规范，严格按照法律法规、工程建设有关标准及本合同履行职责。</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（2）受托人应当对与全过程工程咨询服务项目有关的其他参建方的关系进行协调。</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（3）受托人的其他职责在技术要求中约定。</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2.5成果提交</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受托人应按专用条件约定的种类、时间和份数向委托人提交工程咨询成果。</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2.6文件资料</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在本合同履行期内，受托人应在现场保留工作所用的图纸、报告及记录全过程工程咨询工作的相关文件。工程竣工后，应当按照档案管理规定将有关文件归档。</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2.7使用委托人的财产</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受托人无偿使用由委托人派遣的人员和提供的房屋、资料、设备。除专用条件另有约定外，委托人提供的房屋、设备属于委托人的财产，受托人应妥善使用和保管，在本合同终止时将这些房屋、设备的清单提交委托人，并按专用条件约定的时间和方式移交。</w:t>
      </w:r>
      <w:bookmarkStart w:id="40" w:name="_Toc37436644"/>
      <w:bookmarkStart w:id="41" w:name="_Toc478380029"/>
      <w:bookmarkStart w:id="42" w:name="_Toc36975868"/>
      <w:bookmarkStart w:id="43" w:name="_Toc531850343"/>
      <w:bookmarkStart w:id="44" w:name="_Toc532553049"/>
      <w:bookmarkStart w:id="45" w:name="_Toc36971702"/>
      <w:bookmarkStart w:id="46" w:name="_Toc509302650"/>
      <w:bookmarkStart w:id="47" w:name="_Toc478373425"/>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3.委托人的义务</w:t>
      </w:r>
      <w:bookmarkEnd w:id="40"/>
      <w:bookmarkEnd w:id="41"/>
      <w:bookmarkEnd w:id="42"/>
      <w:bookmarkEnd w:id="43"/>
      <w:bookmarkEnd w:id="44"/>
      <w:bookmarkEnd w:id="45"/>
      <w:bookmarkEnd w:id="46"/>
      <w:bookmarkEnd w:id="47"/>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3.1提供资料</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委托人应按照专用条件和技术要求约定，无偿向受托人提供工程有关的资料。在本合同履行过程中，委托人应及时向受托人提供最新的与工程有关的资料。</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3.2提供工作条件</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3.2.1委托人应按照专用条件和技术要求约定，派遣相应的人员，提供满足要求的房屋、设备，供受托人无偿使用。</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3.2.2委托人应协调工程建设中必要的外部关系，为受托人履行本合同提供必要的外部条件。</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3.3委托人代表</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委托人应授权一名熟悉工程情况的代表，负责与受托人联系。委托人应在双方签订本合同后7天内，将委托人代表的姓名和职责书面告知受托人。当委托人更换委托人代表时，应提前7天通知受托人。</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3.4告知</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委托人应在委托人与其他参建方签订的合同中明确受托人、全过程工程咨询项目总负责人和授予全过程工程咨询机构的权限。如有变更，应及时通知其他参建方。</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3.5审核与答复</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3.5.1委托人应在专用条件约定的时间内，对受托人以书面形式提交并要求审核或作出决定的事宜，给予书面答复。逾期未答复的，视为委托人认可。</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3.5.2委托人应及时审批受托人提交的相关文件，协调并解决在工程建设过程中由受托人提出的重大问题。</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3.6支付</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委托人应按本合同约定，向受托人支付酬金。</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3.7配合、参与和监督</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委托人应当根据建设程序的要求，参与工程建设相关的汇报、检查、验收等活动；并有权对受托人的全过程工程咨询进行必要的监督与管理。</w:t>
      </w:r>
      <w:bookmarkStart w:id="48" w:name="_Toc36971703"/>
      <w:bookmarkStart w:id="49" w:name="_Toc509302655"/>
      <w:bookmarkStart w:id="50" w:name="_Toc532553050"/>
      <w:bookmarkStart w:id="51" w:name="_Toc531850344"/>
      <w:bookmarkStart w:id="52" w:name="_Toc37436645"/>
      <w:bookmarkStart w:id="53" w:name="_Toc36975869"/>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4.文档管理</w:t>
      </w:r>
      <w:bookmarkEnd w:id="48"/>
      <w:bookmarkEnd w:id="49"/>
      <w:bookmarkEnd w:id="50"/>
      <w:bookmarkEnd w:id="51"/>
      <w:bookmarkEnd w:id="52"/>
      <w:bookmarkEnd w:id="53"/>
    </w:p>
    <w:p>
      <w:pPr>
        <w:spacing w:line="400" w:lineRule="exact"/>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4.1全过程工程咨询文件档案资料的管理应做到：注意时效、及时整理、真实可靠、内容齐全、分类有序。</w:t>
      </w:r>
    </w:p>
    <w:p>
      <w:pPr>
        <w:spacing w:line="400" w:lineRule="exact"/>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4.2在工程项目实施前，受托人应对文件档案的编码、格式、份数等作统一规定；对各类文档归档建立相应的制度。</w:t>
      </w:r>
    </w:p>
    <w:p>
      <w:pPr>
        <w:spacing w:line="400" w:lineRule="exact"/>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4.3全过程工程咨询文件档案资料的收集、整理、归档，由全过程工程咨询总负责人落实专人具体实施。归档资料的管理应符合当地建设行政主管部门和委托人的资料归档要求，由委托人于工程建设开始前书面提出要求。</w:t>
      </w:r>
    </w:p>
    <w:p>
      <w:pPr>
        <w:spacing w:line="400" w:lineRule="exact"/>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4.4在全过程工程咨询工作完成后将工程档案、财务档案及相关资料向委托人和有关部门移交。未征得委托人同意，不得泄露与本工程有关的保密资料。</w:t>
      </w:r>
    </w:p>
    <w:p>
      <w:pPr>
        <w:spacing w:line="400" w:lineRule="exact"/>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4.5委托人应当在专用条件约定的时间内免费向受托人提供与项目建设有关的技术资料、政府有关批准文件以及该工程有关的其他资料，并保证上述资料的准确性、可靠性和完整性。</w:t>
      </w:r>
    </w:p>
    <w:p>
      <w:pPr>
        <w:spacing w:line="400" w:lineRule="exact"/>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4.6委托人有权要求受托人提交按专用条件约定的各类全过程工程咨询文档，并对受托人在项目实施过程中形成文档有查阅权。</w:t>
      </w:r>
    </w:p>
    <w:p>
      <w:pPr>
        <w:keepNext/>
        <w:keepLines/>
        <w:numPr>
          <w:ilvl w:val="2"/>
          <w:numId w:val="0"/>
        </w:numPr>
        <w:spacing w:before="260" w:after="260" w:line="360" w:lineRule="exact"/>
        <w:ind w:left="630" w:leftChars="300" w:right="256" w:rightChars="122" w:firstLine="329" w:firstLineChars="157"/>
        <w:outlineLvl w:val="9"/>
        <w:rPr>
          <w:rFonts w:hint="eastAsia" w:ascii="宋体" w:hAnsi="宋体" w:eastAsia="宋体" w:cs="宋体"/>
          <w:color w:val="auto"/>
          <w:sz w:val="21"/>
          <w:szCs w:val="21"/>
        </w:rPr>
      </w:pPr>
      <w:bookmarkStart w:id="54" w:name="_Toc531850345"/>
      <w:bookmarkStart w:id="55" w:name="_Toc36975870"/>
      <w:bookmarkStart w:id="56" w:name="_Toc532553051"/>
      <w:bookmarkStart w:id="57" w:name="_Toc36971704"/>
      <w:bookmarkStart w:id="58" w:name="_Toc509302660"/>
      <w:bookmarkStart w:id="59" w:name="_Toc478380030"/>
      <w:bookmarkStart w:id="60" w:name="_Toc478373426"/>
      <w:bookmarkStart w:id="61" w:name="_Toc37436646"/>
      <w:r>
        <w:rPr>
          <w:rFonts w:hint="eastAsia" w:ascii="宋体" w:hAnsi="宋体" w:eastAsia="宋体" w:cs="宋体"/>
          <w:color w:val="auto"/>
          <w:sz w:val="21"/>
          <w:szCs w:val="21"/>
        </w:rPr>
        <w:t>5.违约责任</w:t>
      </w:r>
      <w:bookmarkEnd w:id="54"/>
      <w:bookmarkEnd w:id="55"/>
      <w:bookmarkEnd w:id="56"/>
      <w:bookmarkEnd w:id="57"/>
      <w:bookmarkEnd w:id="58"/>
      <w:bookmarkEnd w:id="59"/>
      <w:bookmarkEnd w:id="60"/>
      <w:bookmarkEnd w:id="61"/>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5.1受托人的违约责任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受托人未履行本合同义务的，应承担相应的责任。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5.1.1因受托人违反本合同约定给委托人造成损失的，受托人应当赔偿委托人损失。赔偿金额的确定方法在专用条件中约定。受托人承担部分赔偿责任的，其承担赔偿金额由双方协商确定。</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5.1.2未经委托人同意，受托人擅自更换全过程工程咨询项目总负责人，或者全过程工程咨询项目总负责人长期不在岗的；</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5.1.3受托人不履行合同义务或不按合同约定履行义务的其他情况，并给委托人造成直接经济损失的。</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5.2委托人的违约责任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委托人未履行本合同义务的，应承担相应的责任。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5.2.1委托人违反本合同约定造成受托人损失的，委托人应予以赔偿。</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5.2.2委托人向受托人的索赔不成立时，应赔偿受托人由此引起的费用。</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5.2.3委托人未能按期支付酬金超过28天，应按专用条件约定支付逾期付款利息。</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5.3除外责任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5.3.1因非受托人的原因，且受托人无过错，发生工程质量事故、安全事故、工期延误等造成的损失，受托人不承担赔偿责任。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5.3.2受托人对委托人决策（该决策非受托人提供错误咨询意见引起）不承担责任。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5.3.3因不可抗力对工程项目建设造成的影响，受托人不承担责任。因不可抗力导致本合同全部或部分不能履行时，双方各自承担其因此而造成的损失、损害。</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5.3.4受托人的其他免责条款，由双方另行约定。</w:t>
      </w:r>
      <w:bookmarkStart w:id="62" w:name="_Toc509302661"/>
      <w:bookmarkStart w:id="63" w:name="_Toc478373427"/>
      <w:bookmarkStart w:id="64" w:name="_Toc531850346"/>
      <w:bookmarkStart w:id="65" w:name="_Toc37436647"/>
      <w:bookmarkStart w:id="66" w:name="_Toc36971705"/>
      <w:bookmarkStart w:id="67" w:name="_Toc532553052"/>
      <w:bookmarkStart w:id="68" w:name="_Toc478380031"/>
      <w:bookmarkStart w:id="69" w:name="_Toc36975871"/>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6.支付</w:t>
      </w:r>
      <w:bookmarkEnd w:id="62"/>
      <w:bookmarkEnd w:id="63"/>
      <w:bookmarkEnd w:id="64"/>
      <w:bookmarkEnd w:id="65"/>
      <w:bookmarkEnd w:id="66"/>
      <w:bookmarkEnd w:id="67"/>
      <w:bookmarkEnd w:id="68"/>
      <w:bookmarkEnd w:id="69"/>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6.1支付货币</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除专用条件另有约定外，酬金均以人民币支付。涉及外币支付的，所采用的货币种类、比例和汇率在专用条件中约定。</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6.2支付申请</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受托人应在本合同约定的每次应付款时间的7天前，向委托人提交支付申请书。支付申请书应当说明当期应付款总额，并列出当期应支付的款项及其金额。</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6.3支付酬金</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支付的酬金包括正常工作酬金、附加工作酬金、合理化建议奖励金额及费用。</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6.4有争议部分的付款</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委托人对受托人提交的支付申请书有异议时，应当在收到受托人提交的支付申请书后7天内，以书面形式向受托人发出异议通知。无异议部分的款项应按期支付，</w:t>
      </w:r>
      <w:bookmarkStart w:id="70" w:name="_Hlk529843441"/>
      <w:r>
        <w:rPr>
          <w:rFonts w:hint="eastAsia" w:ascii="宋体" w:hAnsi="宋体" w:eastAsia="宋体" w:cs="宋体"/>
          <w:color w:val="auto"/>
          <w:sz w:val="21"/>
          <w:szCs w:val="21"/>
        </w:rPr>
        <w:t>有异议部分的款项按通用条件第7条和专业条件第7条约定办理。</w:t>
      </w:r>
      <w:bookmarkEnd w:id="70"/>
      <w:bookmarkStart w:id="71" w:name="_Toc37436648"/>
      <w:bookmarkStart w:id="72" w:name="_Toc532553053"/>
      <w:bookmarkStart w:id="73" w:name="_Toc478373428"/>
      <w:bookmarkStart w:id="74" w:name="_Toc36971706"/>
      <w:bookmarkStart w:id="75" w:name="_Toc478380032"/>
      <w:bookmarkStart w:id="76" w:name="_Toc36975872"/>
      <w:bookmarkStart w:id="77" w:name="_Toc509302662"/>
      <w:bookmarkStart w:id="78" w:name="_Toc531850347"/>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7.合同生效、变更、暂停、解除与终止</w:t>
      </w:r>
      <w:bookmarkEnd w:id="71"/>
      <w:bookmarkEnd w:id="72"/>
      <w:bookmarkEnd w:id="73"/>
      <w:bookmarkEnd w:id="74"/>
      <w:bookmarkEnd w:id="75"/>
      <w:bookmarkEnd w:id="76"/>
      <w:bookmarkEnd w:id="77"/>
      <w:bookmarkEnd w:id="78"/>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7.1生效</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除法律另有规定或者专用条件另有约定外，委托人和受托人的法定代表人或其授权受托人在协议书上签字并盖单位章后本合同生效。</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7.2变更</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7.2.1任何一方提出变更请求时，双方经协商一致后可进行变更。</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7.2.2除不可抗力外，因非受托人原因导致受托人履行合同期限延长、内容增加时，受托人应当将此情况与可能产生的影响及时通知委托人。增加的全过程工程咨询工作时间、工作内容应视为附加工作。附加工作酬金的确定方法在专用条件中约定。</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7.2.3合同生效后，如果实际情况发生变化使得受托人不能完成全部或部分工作时，受托人应立即通知委托人。除不可抗力外，其善后工作以及恢复服务的准备工作应为附加工作，附加工作酬金的确定方法在专用条件中约定。受托人用于恢复服务的准备时间根据实际情况双方商议确定。</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7.2.4合同签订后，遇有与工程相关的法律法规、标准颁布或修订的，双方应遵照执行。由此引起全过程工程咨询服务项目的范围、时间、酬金变化的，双方应通过协商进行相应调整。</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7.2.5因非受托人原因造成工程概算投资额或建筑安装工程费增加时，正常工作酬金应作相应调整。调整方法在专用条件中约定。</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7.2.6因工程规模、全过程工程咨询范围的变化导致受托人的正常工作量减少时，正常工作酬金应作相应调整。调整方法在专用条件中约定。</w:t>
      </w:r>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7.3暂停与解除</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除双方协商一致可以解除本合同外，当一方无正当理由未履行本合同约定的义务时，另一方可以根据本合同约定暂停履行本合同直至解除本合同。</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7.3.1在本合同有效期内，由于双方无法预见和控制的原因导致本合同全部或部分无法继续履行或继续履行已无意义，经双方协商一致，可以解除本合同或受托人的部分义务。在解除之前，受托人应作出合理安排，使开支减至最小。</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因解除本合同或解除受托人的部分义务导致受托人遭受的损失，除依法可以免除责任的情况外，应由委托人予以补偿，补偿金额由双方协商确定。</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解除本合同的协议必须采取书面形式，协议未达成之前，本合同仍然有效。</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7.3.2在本合同有效期内，因非受托人的原因导致工程全部或部分暂停，委托人应通知受托人要求暂停全部或部分工作。受托人应立即安排停止工作，并将开支减至最小。除不可抗力外，由此导致受托人遭受的损失应由委托人予以补偿。</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7.3.3当受托人无正当理由未履行本合同约定的义务时，委托人应通知受托人限期改正。若委托人在受托人接到通知后的7天内未收到受托人书面形式的合理解释，则可在7天内发出解除本合同的通知，自通知到达受托人时本合同解除。委托人应将全过程工程咨询的酬金支付至限期改正通知到达受托人之日，但受托人应承担第5.1款约定的责任。</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7.3.4受托人在专用条件6.3中约定的支付之日起28天后仍未收到委托人按本合同约定应付的款项，可向委托人发出催付通知。委托人接到通知14天后仍未支付或未提出受托人可以接受的延期支付安排，受托人可向委托人发出暂停工作的通知并可自行暂停全部或部分工作。暂停工作后14天内受托人仍未获得委托人应付酬金或委托人的合理答复，受托人可向委托人发出解除本合同的通知，自通知到达委托人时本合同解除。委托人应承担第5.2.3款约定的责任。</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7.3.5因不可抗力致使本合同部分或全部不能履行时，一方应立即通知另一方，可暂停或解除本合同。</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7.3.6本合同解除后，本合同约定的有关结算、清理、争议解决方式的条件仍然有效。</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7.4终止</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以下条件全部满足时，本合同即告终止：</w:t>
      </w:r>
    </w:p>
    <w:p>
      <w:pPr>
        <w:adjustRightInd w:val="0"/>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（1）受托人完成本合同约定的全部工作；</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（2）委托人与受托人结清并支付全部酬金。</w:t>
      </w:r>
      <w:bookmarkStart w:id="79" w:name="_Toc478380033"/>
      <w:bookmarkStart w:id="80" w:name="_Toc37436649"/>
      <w:bookmarkStart w:id="81" w:name="_Toc509302663"/>
      <w:bookmarkStart w:id="82" w:name="_Toc532553054"/>
      <w:bookmarkStart w:id="83" w:name="_Toc36975873"/>
      <w:bookmarkStart w:id="84" w:name="_Toc36971707"/>
      <w:bookmarkStart w:id="85" w:name="_Toc531850348"/>
      <w:bookmarkStart w:id="86" w:name="_Toc478373429"/>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8.争议解决</w:t>
      </w:r>
      <w:bookmarkEnd w:id="79"/>
      <w:bookmarkEnd w:id="80"/>
      <w:bookmarkEnd w:id="81"/>
      <w:bookmarkEnd w:id="82"/>
      <w:bookmarkEnd w:id="83"/>
      <w:bookmarkEnd w:id="84"/>
      <w:bookmarkEnd w:id="85"/>
      <w:bookmarkEnd w:id="86"/>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8.1协商</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双方应本着诚信原则协商解决彼此间的争议。</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8.2调解</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如果双方不能在14天内或双方商定的其他时间内解决本合同争议，可以将其提交给专用条件约定的或事后达成协议的调解人进行调解。</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8.3仲裁或诉讼</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双方均有权不经调解直接向专用条件约定的仲裁机构申请仲裁或向有管辖权的人民法院提起诉讼。</w:t>
      </w:r>
      <w:bookmarkStart w:id="87" w:name="_Toc532553055"/>
      <w:bookmarkStart w:id="88" w:name="_Toc37436650"/>
      <w:bookmarkStart w:id="89" w:name="_Toc478380034"/>
      <w:bookmarkStart w:id="90" w:name="_Toc509302664"/>
      <w:bookmarkStart w:id="91" w:name="_Toc478373430"/>
      <w:bookmarkStart w:id="92" w:name="_Toc531850349"/>
      <w:bookmarkStart w:id="93" w:name="_Toc36975874"/>
      <w:bookmarkStart w:id="94" w:name="_Toc36971708"/>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9.其他</w:t>
      </w:r>
      <w:bookmarkEnd w:id="87"/>
      <w:bookmarkEnd w:id="88"/>
      <w:bookmarkEnd w:id="89"/>
      <w:bookmarkEnd w:id="90"/>
      <w:bookmarkEnd w:id="91"/>
      <w:bookmarkEnd w:id="92"/>
      <w:bookmarkEnd w:id="93"/>
      <w:bookmarkEnd w:id="94"/>
    </w:p>
    <w:p>
      <w:pPr>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9.1外出考察费用</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由委托人提出的外出考察，要求受托人参加或负责的，相应费用由委托人支付。</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9.2检测费用</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委托人要求受托人进行的材料和设备检测所发生的费用，由委托人支付，支付时间在专用条件中约定。</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9.3咨询费用</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经委托人同意，根据工程需要由受托人组织的相关咨询论证会以及聘请相关专家等发生的费用由委托人支付，支付时间在专用条件中约定。</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9.4奖励</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受托人在服务过程中提出的合理化建议，使委托人获得经济效益的，双方在专用条件中约定奖励金额的确定方法。奖励金额在合理化建议被采纳后，与最近一期的正常工作酬金同期支付。</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9.5守法诚信</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受托人及其工作人员不得从与其他参建方处获得任何经济利益。</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9.6保密</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双方不得泄露对方申明的保密资料，亦不得泄露与其他参加方所提供的保密资料。保密事项的其他约定：</w:t>
      </w:r>
    </w:p>
    <w:p>
      <w:pPr>
        <w:snapToGrid w:val="0"/>
        <w:spacing w:line="360" w:lineRule="auto"/>
        <w:ind w:left="630" w:leftChars="300" w:right="256" w:rightChars="122" w:firstLine="329" w:firstLineChars="157"/>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除法律规定或合同另有约定外，未经委托人同意，受托人不得将委托人提供的图纸、文件以及声明需要保密的资料信息等商业秘密泄露给第三方。</w:t>
      </w:r>
    </w:p>
    <w:p>
      <w:pPr>
        <w:snapToGrid w:val="0"/>
        <w:spacing w:line="360" w:lineRule="auto"/>
        <w:ind w:left="630" w:leftChars="300" w:right="256" w:rightChars="122" w:firstLine="329" w:firstLineChars="157"/>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除法律规定或合同另有约定外，未经受托人同意，委托人不得将受托人提供的技术文件、技术成果、技术秘密及声明需要保密的资料信息等商业秘密泄露给第三方。</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9.7通知</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lang w:val="en-US"/>
        </w:rPr>
        <w:t>9.7.1</w:t>
      </w:r>
      <w:r>
        <w:rPr>
          <w:rFonts w:hint="eastAsia" w:ascii="宋体" w:hAnsi="宋体" w:eastAsia="宋体" w:cs="宋体"/>
          <w:color w:val="auto"/>
          <w:sz w:val="21"/>
          <w:szCs w:val="21"/>
        </w:rPr>
        <w:t>本合同涉及的通知均应当采用书面形式，并在送达对方时生效，收件人应书面签收。</w:t>
      </w:r>
    </w:p>
    <w:p>
      <w:pPr>
        <w:snapToGrid w:val="0"/>
        <w:spacing w:line="360" w:lineRule="auto"/>
        <w:ind w:left="630" w:leftChars="300" w:right="256" w:rightChars="122" w:firstLine="329" w:firstLineChars="157"/>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9.7.2与合同有关的通知、批准、证明、证书、指示、指令、要求、请求、同意、确定和决定等，均应采用书面形式，并应在合同约定的期限内送达接收人和送达地点。</w:t>
      </w:r>
    </w:p>
    <w:p>
      <w:pPr>
        <w:snapToGrid w:val="0"/>
        <w:spacing w:line="360" w:lineRule="auto"/>
        <w:ind w:left="630" w:leftChars="300" w:right="256" w:rightChars="122" w:firstLine="329" w:firstLineChars="157"/>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9.7.3委托人和受托人应在专用合同条款中约定各自的送达接收人、送达地点、电子邮箱。任何一方合同当事人指定的接收人或送达地点或电子邮箱发生变动的，应提前3天以书面形式通知对方，否则视为未发生变动。</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9.8知识产权</w:t>
      </w:r>
    </w:p>
    <w:p>
      <w:pPr>
        <w:tabs>
          <w:tab w:val="left" w:pos="7200"/>
        </w:tabs>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9.8.1委托人提供给受托人的图纸、委托人为实施工程自行编制或委托编制的技术规格书以及反映委托人要求的或其他类似性质的文件的著作权属于委托人，受托人可以为实现合同目的而复制、使用此类文件，但不能用于与合同无关的其他事项。未经委托人书面同意，受托人不得为了合同以外的目的而复制、使用上述文件或将之提供给任何第三方。</w:t>
      </w:r>
    </w:p>
    <w:p>
      <w:pPr>
        <w:tabs>
          <w:tab w:val="left" w:pos="7200"/>
        </w:tabs>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9.8.2受托人为实施工程所编制的文件的著作权属于受托人，委托人可因实施工程的运行、调试、维修、改造等目的而复制、使用此类文件，但不能擅自修改或用于与合同无关的其他事项。未经受托人书面同意，委托人不得为了合同以外的目的而复制、使用上述文件或将之提供给任何第三方。</w:t>
      </w:r>
    </w:p>
    <w:p>
      <w:pPr>
        <w:tabs>
          <w:tab w:val="left" w:pos="7200"/>
        </w:tabs>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9.8.3合同当事人保证在履行合同过程中不侵犯对方及第三方的知识产权。受托人在实施全过程工程咨询时，因侵犯他人的专利权或其他知识产权所引起的责任，由受托人承担；因委托人提供的工程资料导致侵权的，由委托人承担责任。</w:t>
      </w:r>
    </w:p>
    <w:p>
      <w:pPr>
        <w:tabs>
          <w:tab w:val="left" w:pos="7200"/>
        </w:tabs>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9.8.4合同当事人双方均有权在不损害对方利益和保密约定的前提下，在自己宣传用的印刷品或其他出版物上，或申报奖项时等情形下公布有关项目的文字和图片材料。</w:t>
      </w:r>
    </w:p>
    <w:p>
      <w:pPr>
        <w:tabs>
          <w:tab w:val="left" w:pos="7200"/>
        </w:tabs>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9.8.5受托人在合同签订前和签订时已确定采用的专利、专有技术的使用费应包含在签约酬金中。</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9.9联合体</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9.9.1联合体各方应共同与委托人签订合同协议书。联合体各方应为履行合同向委托人承担连带责任。</w:t>
      </w:r>
    </w:p>
    <w:p>
      <w:pPr>
        <w:snapToGrid w:val="0"/>
        <w:spacing w:line="360" w:lineRule="auto"/>
        <w:ind w:left="630" w:leftChars="300" w:right="256" w:rightChars="122" w:firstLine="329" w:firstLineChars="157"/>
        <w:rPr>
          <w:rFonts w:hint="eastAsia" w:ascii="宋体" w:hAnsi="宋体" w:eastAsia="宋体" w:cs="宋体"/>
          <w:color w:val="auto"/>
          <w:sz w:val="21"/>
          <w:szCs w:val="21"/>
        </w:rPr>
      </w:pPr>
      <w:r>
        <w:rPr>
          <w:rFonts w:hint="eastAsia" w:ascii="宋体" w:hAnsi="宋体" w:eastAsia="宋体" w:cs="宋体"/>
          <w:color w:val="auto"/>
          <w:sz w:val="21"/>
          <w:szCs w:val="21"/>
        </w:rPr>
        <w:t>9.9.2联合体协议，应当约定联合体各成员工作分工，经委托人确认后作为合同附件。在履行合同过程中，未经委托人同意，不得修改联合体协议。</w:t>
      </w:r>
    </w:p>
    <w:p>
      <w:pPr>
        <w:snapToGrid w:val="0"/>
        <w:spacing w:line="360" w:lineRule="auto"/>
        <w:ind w:left="630" w:leftChars="300" w:right="256" w:rightChars="122" w:firstLine="329" w:firstLineChars="157"/>
        <w:rPr>
          <w:rFonts w:hint="eastAsia" w:ascii="仿宋" w:hAnsi="仿宋" w:eastAsia="仿宋" w:cs="仿宋"/>
          <w:color w:val="auto"/>
          <w:sz w:val="24"/>
          <w:szCs w:val="21"/>
        </w:rPr>
      </w:pPr>
      <w:r>
        <w:rPr>
          <w:rFonts w:hint="eastAsia" w:ascii="宋体" w:hAnsi="宋体" w:eastAsia="宋体" w:cs="宋体"/>
          <w:color w:val="auto"/>
          <w:sz w:val="21"/>
          <w:szCs w:val="21"/>
        </w:rPr>
        <w:t>9.9.3联合体牵头人负责与委托人联系，并接受指示，负责组织联合体各成员全面履行合同。</w:t>
      </w:r>
    </w:p>
    <w:p>
      <w:pPr>
        <w:keepNext/>
        <w:keepLines/>
        <w:spacing w:before="340" w:after="330" w:line="600" w:lineRule="exact"/>
        <w:jc w:val="center"/>
        <w:outlineLvl w:val="9"/>
        <w:rPr>
          <w:rFonts w:hint="eastAsia" w:ascii="宋体" w:hAnsi="宋体" w:eastAsia="宋体" w:cs="宋体"/>
          <w:b/>
          <w:bCs/>
          <w:color w:val="auto"/>
          <w:kern w:val="44"/>
          <w:sz w:val="32"/>
          <w:szCs w:val="32"/>
        </w:rPr>
      </w:pPr>
      <w:bookmarkStart w:id="95" w:name="_Toc14285"/>
      <w:bookmarkStart w:id="96" w:name="_Toc45643941"/>
      <w:bookmarkStart w:id="97" w:name="_Toc36971709"/>
      <w:bookmarkStart w:id="98" w:name="_Toc37436651"/>
      <w:bookmarkStart w:id="99" w:name="_Toc36975875"/>
      <w:bookmarkStart w:id="100" w:name="_Toc531850350"/>
      <w:bookmarkStart w:id="101" w:name="_Toc532553056"/>
      <w:r>
        <w:rPr>
          <w:rFonts w:hint="eastAsia" w:ascii="宋体" w:hAnsi="宋体" w:eastAsia="宋体" w:cs="宋体"/>
          <w:b/>
          <w:bCs/>
          <w:color w:val="auto"/>
          <w:kern w:val="44"/>
          <w:sz w:val="32"/>
          <w:szCs w:val="32"/>
        </w:rPr>
        <w:t>第三部分</w:t>
      </w:r>
      <w:r>
        <w:rPr>
          <w:rFonts w:hint="eastAsia" w:ascii="宋体" w:hAnsi="宋体" w:eastAsia="宋体" w:cs="宋体"/>
          <w:b/>
          <w:bCs/>
          <w:color w:val="auto"/>
          <w:kern w:val="44"/>
          <w:sz w:val="32"/>
          <w:szCs w:val="32"/>
          <w:lang w:val="en-US" w:eastAsia="zh-CN"/>
        </w:rPr>
        <w:t xml:space="preserve"> </w:t>
      </w:r>
      <w:r>
        <w:rPr>
          <w:rFonts w:hint="eastAsia" w:ascii="宋体" w:hAnsi="宋体" w:eastAsia="宋体" w:cs="宋体"/>
          <w:b/>
          <w:bCs/>
          <w:color w:val="auto"/>
          <w:kern w:val="44"/>
          <w:sz w:val="32"/>
          <w:szCs w:val="32"/>
        </w:rPr>
        <w:t>专用条件</w:t>
      </w:r>
      <w:bookmarkEnd w:id="95"/>
      <w:bookmarkEnd w:id="96"/>
      <w:bookmarkEnd w:id="97"/>
      <w:bookmarkEnd w:id="98"/>
      <w:bookmarkEnd w:id="99"/>
      <w:bookmarkEnd w:id="100"/>
      <w:bookmarkEnd w:id="101"/>
    </w:p>
    <w:p>
      <w:pPr>
        <w:keepNext/>
        <w:keepLines/>
        <w:numPr>
          <w:ilvl w:val="2"/>
          <w:numId w:val="0"/>
        </w:numPr>
        <w:tabs>
          <w:tab w:val="left" w:pos="440"/>
        </w:tabs>
        <w:spacing w:before="260" w:after="260" w:line="360" w:lineRule="exact"/>
        <w:ind w:left="437" w:leftChars="208" w:firstLine="365" w:firstLineChars="174"/>
        <w:outlineLvl w:val="9"/>
        <w:rPr>
          <w:rFonts w:hint="eastAsia" w:asciiTheme="minorEastAsia" w:hAnsiTheme="minorEastAsia" w:eastAsiaTheme="minorEastAsia" w:cstheme="minorEastAsia"/>
          <w:color w:val="auto"/>
          <w:sz w:val="21"/>
          <w:szCs w:val="21"/>
        </w:rPr>
      </w:pPr>
      <w:bookmarkStart w:id="102" w:name="_Toc36975876"/>
      <w:bookmarkStart w:id="103" w:name="_Toc532553057"/>
      <w:bookmarkStart w:id="104" w:name="_Toc36971710"/>
      <w:bookmarkStart w:id="105" w:name="_Toc531850351"/>
      <w:bookmarkStart w:id="106" w:name="_Toc37436652"/>
      <w:bookmarkStart w:id="107" w:name="_Toc478373432"/>
      <w:bookmarkStart w:id="108" w:name="_Toc509302666"/>
      <w:bookmarkStart w:id="109" w:name="_Toc478380036"/>
      <w:r>
        <w:rPr>
          <w:rFonts w:hint="eastAsia" w:asciiTheme="minorEastAsia" w:hAnsiTheme="minorEastAsia" w:eastAsiaTheme="minorEastAsia" w:cstheme="minorEastAsia"/>
          <w:color w:val="auto"/>
          <w:sz w:val="21"/>
          <w:szCs w:val="21"/>
        </w:rPr>
        <w:t>1.定义与解释</w:t>
      </w:r>
      <w:bookmarkEnd w:id="102"/>
      <w:bookmarkEnd w:id="103"/>
      <w:bookmarkEnd w:id="104"/>
      <w:bookmarkEnd w:id="105"/>
      <w:bookmarkEnd w:id="106"/>
      <w:bookmarkEnd w:id="107"/>
      <w:bookmarkEnd w:id="108"/>
      <w:bookmarkEnd w:id="109"/>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1.2解释</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1.2.1本合同文件除使用中文外，还可用。</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1.2.2约定本合同文件的解释顺序为：</w:t>
      </w:r>
      <w:bookmarkStart w:id="110" w:name="_Toc478373433"/>
      <w:bookmarkStart w:id="111" w:name="_Toc531850352"/>
      <w:bookmarkStart w:id="112" w:name="_Toc478380037"/>
      <w:bookmarkStart w:id="113" w:name="_Toc36971711"/>
      <w:bookmarkStart w:id="114" w:name="_Toc532553058"/>
      <w:bookmarkStart w:id="115" w:name="_Toc36975877"/>
      <w:bookmarkStart w:id="116" w:name="_Toc509302667"/>
      <w:bookmarkStart w:id="117" w:name="_Toc37436653"/>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1.协议书</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2.专用条件及其附录</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3.招标文件及其附件</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4.通用条件</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5.中标通知书</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6.投标文件及其附件</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7.技术要求及其附件</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8.委托人提供的相关资料（如有）</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9.其他合同文件</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2.受托人的义务</w:t>
      </w:r>
      <w:bookmarkEnd w:id="110"/>
      <w:bookmarkEnd w:id="111"/>
      <w:bookmarkEnd w:id="112"/>
      <w:bookmarkEnd w:id="113"/>
      <w:bookmarkEnd w:id="114"/>
      <w:bookmarkEnd w:id="115"/>
      <w:bookmarkEnd w:id="116"/>
      <w:bookmarkEnd w:id="117"/>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2.2全过程工程咨询依据</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2.2.1依据包括：</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（1）全过程工程咨询依据包括：</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（2）使用其他国家和地区技术标准的名称、提供方、原文版、中译本的份数、时间及费用承担：</w:t>
      </w:r>
      <w:r>
        <w:rPr>
          <w:rFonts w:hint="eastAsia" w:asciiTheme="minorEastAsia" w:hAnsiTheme="minorEastAsia" w:eastAsiaTheme="minorEastAsia" w:cstheme="minorEastAsia"/>
          <w:color w:val="auto"/>
          <w:sz w:val="21"/>
          <w:szCs w:val="21"/>
          <w:u w:val="single"/>
        </w:rPr>
        <w:t>_________________________________________________</w:t>
      </w:r>
      <w:r>
        <w:rPr>
          <w:rFonts w:hint="eastAsia" w:asciiTheme="minorEastAsia" w:hAnsiTheme="minorEastAsia" w:eastAsiaTheme="minorEastAsia" w:cstheme="minorEastAsia"/>
          <w:color w:val="auto"/>
          <w:sz w:val="21"/>
          <w:szCs w:val="21"/>
        </w:rPr>
        <w:tab/>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2.3全过程工程咨询机构和人员</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2.3.1全过程工程咨询机构人员配备见附录1。</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2.3.4更换受托人员的其他情形：。</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2.4全过程工程咨询总负责人职责：。</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2.5提交报告</w:t>
      </w:r>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受托人应提交报告的种类、时间和份数：。</w:t>
      </w:r>
    </w:p>
    <w:p>
      <w:pPr>
        <w:keepNext/>
        <w:keepLines/>
        <w:numPr>
          <w:ilvl w:val="2"/>
          <w:numId w:val="0"/>
        </w:numPr>
        <w:tabs>
          <w:tab w:val="left" w:pos="440"/>
        </w:tabs>
        <w:spacing w:before="260" w:after="260" w:line="360" w:lineRule="exact"/>
        <w:ind w:left="437" w:leftChars="208" w:firstLine="365" w:firstLineChars="174"/>
        <w:outlineLvl w:val="9"/>
        <w:rPr>
          <w:rFonts w:hint="eastAsia" w:asciiTheme="minorEastAsia" w:hAnsiTheme="minorEastAsia" w:eastAsiaTheme="minorEastAsia" w:cstheme="minorEastAsia"/>
          <w:color w:val="auto"/>
          <w:sz w:val="21"/>
          <w:szCs w:val="21"/>
        </w:rPr>
      </w:pPr>
      <w:bookmarkStart w:id="118" w:name="_Toc509302668"/>
      <w:bookmarkStart w:id="119" w:name="_Toc478380038"/>
      <w:bookmarkStart w:id="120" w:name="_Toc532553059"/>
      <w:bookmarkStart w:id="121" w:name="_Toc36975878"/>
      <w:bookmarkStart w:id="122" w:name="_Toc36971712"/>
      <w:bookmarkStart w:id="123" w:name="_Toc531850353"/>
      <w:bookmarkStart w:id="124" w:name="_Toc478373434"/>
      <w:bookmarkStart w:id="125" w:name="_Toc37436654"/>
      <w:r>
        <w:rPr>
          <w:rFonts w:hint="eastAsia" w:asciiTheme="minorEastAsia" w:hAnsiTheme="minorEastAsia" w:eastAsiaTheme="minorEastAsia" w:cstheme="minorEastAsia"/>
          <w:color w:val="auto"/>
          <w:sz w:val="21"/>
          <w:szCs w:val="21"/>
        </w:rPr>
        <w:t>3.委托人的义务</w:t>
      </w:r>
      <w:bookmarkEnd w:id="118"/>
      <w:bookmarkEnd w:id="119"/>
      <w:bookmarkEnd w:id="120"/>
      <w:bookmarkEnd w:id="121"/>
      <w:bookmarkEnd w:id="122"/>
      <w:bookmarkEnd w:id="123"/>
      <w:bookmarkEnd w:id="124"/>
      <w:bookmarkEnd w:id="125"/>
    </w:p>
    <w:p>
      <w:pPr>
        <w:tabs>
          <w:tab w:val="left" w:pos="440"/>
        </w:tabs>
        <w:adjustRightInd w:val="0"/>
        <w:snapToGrid w:val="0"/>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3.1提供资料</w:t>
      </w:r>
    </w:p>
    <w:p>
      <w:pPr>
        <w:tabs>
          <w:tab w:val="left" w:pos="440"/>
        </w:tabs>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签订合同生效时，委托人应按照下表无偿向受托人提供工程有关的资料：</w:t>
      </w:r>
    </w:p>
    <w:p>
      <w:pPr>
        <w:tabs>
          <w:tab w:val="left" w:pos="440"/>
        </w:tabs>
        <w:spacing w:line="360" w:lineRule="auto"/>
        <w:ind w:left="437" w:leftChars="208" w:firstLine="365" w:firstLineChars="174"/>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委托人提供的资料</w:t>
      </w:r>
    </w:p>
    <w:tbl>
      <w:tblPr>
        <w:tblStyle w:val="16"/>
        <w:tblW w:w="0" w:type="auto"/>
        <w:tblInd w:w="10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名称</w:t>
            </w:r>
          </w:p>
        </w:tc>
        <w:tc>
          <w:tcPr>
            <w:tcW w:w="1491"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份数</w:t>
            </w:r>
          </w:p>
        </w:tc>
        <w:tc>
          <w:tcPr>
            <w:tcW w:w="2147"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提供时间</w:t>
            </w:r>
          </w:p>
        </w:tc>
        <w:tc>
          <w:tcPr>
            <w:tcW w:w="2082"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□工程立项文件</w:t>
            </w:r>
          </w:p>
        </w:tc>
        <w:tc>
          <w:tcPr>
            <w:tcW w:w="1491"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47"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08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c>
          <w:tcPr>
            <w:tcW w:w="1491"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47"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08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c>
          <w:tcPr>
            <w:tcW w:w="1491"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47"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08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c>
          <w:tcPr>
            <w:tcW w:w="1491"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47"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082"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bl>
    <w:p>
      <w:pPr>
        <w:adjustRightInd w:val="0"/>
        <w:snapToGrid w:val="0"/>
        <w:spacing w:line="360" w:lineRule="auto"/>
        <w:ind w:left="210" w:leftChars="100"/>
        <w:rPr>
          <w:rFonts w:hint="eastAsia" w:asciiTheme="minorEastAsia" w:hAnsiTheme="minorEastAsia" w:eastAsiaTheme="minorEastAsia" w:cstheme="minorEastAsia"/>
          <w:color w:val="auto"/>
          <w:sz w:val="21"/>
          <w:szCs w:val="21"/>
        </w:rPr>
      </w:pPr>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3.2提供工作条件</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委托人应按照下表约定，派遣相应的人员，提供房屋、设备，供受托人无偿使用。</w:t>
      </w:r>
    </w:p>
    <w:p>
      <w:pPr>
        <w:adjustRightInd w:val="0"/>
        <w:snapToGrid w:val="0"/>
        <w:spacing w:line="360" w:lineRule="auto"/>
        <w:ind w:firstLine="420" w:firstLineChars="20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委托人派遣的人员</w:t>
      </w:r>
    </w:p>
    <w:tbl>
      <w:tblPr>
        <w:tblStyle w:val="16"/>
        <w:tblW w:w="0" w:type="auto"/>
        <w:tblInd w:w="9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名称</w:t>
            </w:r>
          </w:p>
        </w:tc>
        <w:tc>
          <w:tcPr>
            <w:tcW w:w="177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数量</w:t>
            </w:r>
          </w:p>
        </w:tc>
        <w:tc>
          <w:tcPr>
            <w:tcW w:w="213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工作要求</w:t>
            </w:r>
          </w:p>
        </w:tc>
        <w:tc>
          <w:tcPr>
            <w:tcW w:w="186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177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w:t>
            </w:r>
          </w:p>
        </w:tc>
        <w:tc>
          <w:tcPr>
            <w:tcW w:w="177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w:t>
            </w:r>
          </w:p>
        </w:tc>
        <w:tc>
          <w:tcPr>
            <w:tcW w:w="177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bl>
    <w:p>
      <w:pPr>
        <w:adjustRightInd w:val="0"/>
        <w:snapToGrid w:val="0"/>
        <w:spacing w:before="120" w:beforeLines="50" w:line="360" w:lineRule="auto"/>
        <w:ind w:firstLine="420" w:firstLineChars="20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委托人提供的房屋</w:t>
      </w:r>
    </w:p>
    <w:tbl>
      <w:tblPr>
        <w:tblStyle w:val="16"/>
        <w:tblW w:w="0" w:type="auto"/>
        <w:tblInd w:w="8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名称</w:t>
            </w:r>
          </w:p>
        </w:tc>
        <w:tc>
          <w:tcPr>
            <w:tcW w:w="213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数量</w:t>
            </w:r>
          </w:p>
        </w:tc>
        <w:tc>
          <w:tcPr>
            <w:tcW w:w="213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面积</w:t>
            </w:r>
          </w:p>
        </w:tc>
        <w:tc>
          <w:tcPr>
            <w:tcW w:w="186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1.办公用房</w:t>
            </w:r>
          </w:p>
        </w:tc>
        <w:tc>
          <w:tcPr>
            <w:tcW w:w="2130" w:type="dxa"/>
            <w:noWrap w:val="0"/>
            <w:vAlign w:val="center"/>
          </w:tcPr>
          <w:p>
            <w:pPr>
              <w:snapToGrid w:val="0"/>
              <w:spacing w:line="400" w:lineRule="exact"/>
              <w:ind w:firstLine="210" w:firstLineChars="100"/>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ind w:firstLine="210" w:firstLineChars="100"/>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2.生活用房</w:t>
            </w: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pPr>
              <w:snapToGrid w:val="0"/>
              <w:spacing w:line="400" w:lineRule="exact"/>
              <w:rPr>
                <w:rFonts w:hint="eastAsia" w:asciiTheme="minorEastAsia" w:hAnsiTheme="minorEastAsia" w:eastAsiaTheme="minorEastAsia" w:cstheme="minorEastAsia"/>
                <w:dstrike/>
                <w:color w:val="auto"/>
                <w:sz w:val="21"/>
                <w:szCs w:val="21"/>
              </w:rPr>
            </w:pPr>
            <w:r>
              <w:rPr>
                <w:rFonts w:hint="eastAsia" w:asciiTheme="minorEastAsia" w:hAnsiTheme="minorEastAsia" w:eastAsiaTheme="minorEastAsia" w:cstheme="minorEastAsia"/>
                <w:color w:val="auto"/>
                <w:sz w:val="21"/>
                <w:szCs w:val="21"/>
              </w:rPr>
              <w:t>3.试验用房</w:t>
            </w: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4.样品用房</w:t>
            </w: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center"/>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用餐及其他生活条件</w:t>
            </w:r>
          </w:p>
        </w:tc>
        <w:tc>
          <w:tcPr>
            <w:tcW w:w="6120" w:type="dxa"/>
            <w:gridSpan w:val="3"/>
            <w:noWrap w:val="0"/>
            <w:vAlign w:val="center"/>
          </w:tcPr>
          <w:p>
            <w:pPr>
              <w:snapToGrid w:val="0"/>
              <w:spacing w:line="400" w:lineRule="exact"/>
              <w:rPr>
                <w:rFonts w:hint="eastAsia" w:asciiTheme="minorEastAsia" w:hAnsiTheme="minorEastAsia" w:eastAsiaTheme="minorEastAsia" w:cstheme="minorEastAsia"/>
                <w:color w:val="auto"/>
                <w:sz w:val="21"/>
                <w:szCs w:val="21"/>
              </w:rPr>
            </w:pPr>
          </w:p>
        </w:tc>
      </w:tr>
    </w:tbl>
    <w:p>
      <w:pPr>
        <w:adjustRightInd w:val="0"/>
        <w:snapToGrid w:val="0"/>
        <w:spacing w:before="120" w:beforeLines="50" w:line="360" w:lineRule="auto"/>
        <w:ind w:firstLine="420" w:firstLineChars="200"/>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委托人提供的设备</w:t>
      </w:r>
    </w:p>
    <w:tbl>
      <w:tblPr>
        <w:tblStyle w:val="16"/>
        <w:tblW w:w="0" w:type="auto"/>
        <w:tblInd w:w="7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名称</w:t>
            </w:r>
          </w:p>
        </w:tc>
        <w:tc>
          <w:tcPr>
            <w:tcW w:w="159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数量</w:t>
            </w:r>
          </w:p>
        </w:tc>
        <w:tc>
          <w:tcPr>
            <w:tcW w:w="213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型号与规格</w:t>
            </w:r>
          </w:p>
        </w:tc>
        <w:tc>
          <w:tcPr>
            <w:tcW w:w="1860" w:type="dxa"/>
            <w:noWrap w:val="0"/>
            <w:vAlign w:val="top"/>
          </w:tcPr>
          <w:p>
            <w:pPr>
              <w:adjustRightInd w:val="0"/>
              <w:snapToGrid w:val="0"/>
              <w:spacing w:line="400" w:lineRule="exact"/>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1.通讯设备</w:t>
            </w:r>
          </w:p>
        </w:tc>
        <w:tc>
          <w:tcPr>
            <w:tcW w:w="159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2.办公设备</w:t>
            </w:r>
          </w:p>
        </w:tc>
        <w:tc>
          <w:tcPr>
            <w:tcW w:w="159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3.交通工具</w:t>
            </w:r>
          </w:p>
        </w:tc>
        <w:tc>
          <w:tcPr>
            <w:tcW w:w="159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4.检测和试验设备</w:t>
            </w:r>
          </w:p>
        </w:tc>
        <w:tc>
          <w:tcPr>
            <w:tcW w:w="159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159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213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c>
          <w:tcPr>
            <w:tcW w:w="1860" w:type="dxa"/>
            <w:noWrap w:val="0"/>
            <w:vAlign w:val="top"/>
          </w:tcPr>
          <w:p>
            <w:pPr>
              <w:snapToGrid w:val="0"/>
              <w:spacing w:line="400" w:lineRule="exact"/>
              <w:rPr>
                <w:rFonts w:hint="eastAsia" w:asciiTheme="minorEastAsia" w:hAnsiTheme="minorEastAsia" w:eastAsiaTheme="minorEastAsia" w:cstheme="minorEastAsia"/>
                <w:color w:val="auto"/>
                <w:sz w:val="21"/>
                <w:szCs w:val="21"/>
              </w:rPr>
            </w:pPr>
          </w:p>
        </w:tc>
      </w:tr>
    </w:tbl>
    <w:p>
      <w:pPr>
        <w:snapToGrid w:val="0"/>
        <w:spacing w:line="360" w:lineRule="auto"/>
        <w:rPr>
          <w:rFonts w:hint="eastAsia" w:asciiTheme="minorEastAsia" w:hAnsiTheme="minorEastAsia" w:eastAsiaTheme="minorEastAsia" w:cstheme="minorEastAsia"/>
          <w:color w:val="auto"/>
          <w:sz w:val="21"/>
          <w:szCs w:val="21"/>
        </w:rPr>
      </w:pPr>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3.3委托人代表</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委托人代表为：</w:t>
      </w:r>
      <w:r>
        <w:rPr>
          <w:rFonts w:hint="eastAsia" w:asciiTheme="minorEastAsia" w:hAnsiTheme="minorEastAsia" w:eastAsia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w:t>
      </w:r>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3.4审核与答复</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委托人同意在天内，对受托人书面提交并要求做出决定的事宜给予书面答复。</w:t>
      </w:r>
    </w:p>
    <w:p>
      <w:pPr>
        <w:keepNext/>
        <w:keepLines/>
        <w:numPr>
          <w:ilvl w:val="2"/>
          <w:numId w:val="0"/>
        </w:numPr>
        <w:spacing w:before="260" w:after="260" w:line="360" w:lineRule="exact"/>
        <w:ind w:left="646" w:leftChars="212" w:hanging="201" w:hangingChars="96"/>
        <w:outlineLvl w:val="9"/>
        <w:rPr>
          <w:rFonts w:hint="eastAsia" w:asciiTheme="minorEastAsia" w:hAnsiTheme="minorEastAsia" w:eastAsiaTheme="minorEastAsia" w:cstheme="minorEastAsia"/>
          <w:color w:val="auto"/>
          <w:sz w:val="21"/>
          <w:szCs w:val="21"/>
        </w:rPr>
      </w:pPr>
      <w:bookmarkStart w:id="126" w:name="_Toc36971713"/>
      <w:bookmarkStart w:id="127" w:name="_Toc478373435"/>
      <w:bookmarkStart w:id="128" w:name="_Toc532553060"/>
      <w:bookmarkStart w:id="129" w:name="_Toc531850354"/>
      <w:bookmarkStart w:id="130" w:name="_Toc36975879"/>
      <w:bookmarkStart w:id="131" w:name="_Toc37436655"/>
      <w:bookmarkStart w:id="132" w:name="_Toc478380039"/>
      <w:bookmarkStart w:id="133" w:name="_Toc509302674"/>
      <w:r>
        <w:rPr>
          <w:rFonts w:hint="eastAsia" w:asciiTheme="minorEastAsia" w:hAnsiTheme="minorEastAsia" w:eastAsiaTheme="minorEastAsia" w:cstheme="minorEastAsia"/>
          <w:color w:val="auto"/>
          <w:sz w:val="21"/>
          <w:szCs w:val="21"/>
        </w:rPr>
        <w:t>5.违约责任</w:t>
      </w:r>
      <w:bookmarkEnd w:id="126"/>
      <w:bookmarkEnd w:id="127"/>
      <w:bookmarkEnd w:id="128"/>
      <w:bookmarkEnd w:id="129"/>
      <w:bookmarkEnd w:id="130"/>
      <w:bookmarkEnd w:id="131"/>
      <w:bookmarkEnd w:id="132"/>
      <w:bookmarkEnd w:id="133"/>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5.1受托人的违约责任</w:t>
      </w:r>
    </w:p>
    <w:p>
      <w:pPr>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5.1.1除通用条款受托人的违约责任外，受托人不履行合同义务或不按约定履行义务的其他情况包括（但不限于）：。</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受托人赔偿金额按下列方法确定：</w:t>
      </w:r>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5.2委托人的违约责任</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bookmarkStart w:id="134" w:name="_Toc509302675"/>
      <w:bookmarkStart w:id="135" w:name="_Toc36971714"/>
      <w:bookmarkStart w:id="136" w:name="_Toc36975880"/>
      <w:bookmarkStart w:id="137" w:name="_Toc532553061"/>
      <w:bookmarkStart w:id="138" w:name="_Toc478373436"/>
      <w:bookmarkStart w:id="139" w:name="_Toc37436656"/>
      <w:bookmarkStart w:id="140" w:name="_Toc531850355"/>
      <w:bookmarkStart w:id="141" w:name="_Toc478380040"/>
      <w:r>
        <w:rPr>
          <w:rFonts w:hint="eastAsia" w:asciiTheme="minorEastAsia" w:hAnsiTheme="minorEastAsia" w:eastAsiaTheme="minorEastAsia" w:cstheme="minorEastAsia"/>
          <w:color w:val="auto"/>
          <w:sz w:val="21"/>
          <w:szCs w:val="21"/>
        </w:rPr>
        <w:t>委托人逾期付款利息按下列方法确定：</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逾期付款利息＝当期应付款总额×银行同期贷款利率×拖延支付天数</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银行同期贷款利率按中国人民银行公布的同期银行贷款基准利率执行。</w:t>
      </w:r>
    </w:p>
    <w:p>
      <w:pPr>
        <w:keepNext/>
        <w:keepLines/>
        <w:numPr>
          <w:ilvl w:val="2"/>
          <w:numId w:val="0"/>
        </w:numPr>
        <w:spacing w:before="260" w:after="260" w:line="360" w:lineRule="exact"/>
        <w:ind w:left="646" w:leftChars="212" w:hanging="201" w:hangingChars="96"/>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6.支付</w:t>
      </w:r>
      <w:bookmarkEnd w:id="134"/>
      <w:bookmarkEnd w:id="135"/>
      <w:bookmarkEnd w:id="136"/>
      <w:bookmarkEnd w:id="137"/>
      <w:bookmarkEnd w:id="138"/>
      <w:bookmarkEnd w:id="139"/>
      <w:bookmarkEnd w:id="140"/>
      <w:bookmarkEnd w:id="141"/>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6.1支付货币</w:t>
      </w:r>
    </w:p>
    <w:p>
      <w:pPr>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币种为：，比例为：，汇率为：。</w:t>
      </w:r>
    </w:p>
    <w:p>
      <w:pPr>
        <w:adjustRightInd w:val="0"/>
        <w:snapToGrid w:val="0"/>
        <w:spacing w:line="360" w:lineRule="auto"/>
        <w:ind w:left="210" w:leftChars="100" w:firstLine="211" w:firstLineChars="10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6.3支付酬金</w:t>
      </w:r>
    </w:p>
    <w:p>
      <w:pPr>
        <w:snapToGrid w:val="0"/>
        <w:spacing w:line="360" w:lineRule="auto"/>
        <w:ind w:firstLine="422" w:firstLineChars="20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□正常工作酬金的支付：</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（一）分</w:t>
      </w:r>
      <w:r>
        <w:rPr>
          <w:rFonts w:hint="eastAsia" w:asciiTheme="minorEastAsia" w:hAnsiTheme="minorEastAsia" w:eastAsiaTheme="minorEastAsia" w:cstheme="minorEastAsia"/>
          <w:b/>
          <w:bCs/>
          <w:color w:val="auto"/>
          <w:sz w:val="21"/>
          <w:szCs w:val="21"/>
          <w:lang w:val="en-US" w:eastAsia="zh-CN"/>
        </w:rPr>
        <w:t>八</w:t>
      </w:r>
      <w:r>
        <w:rPr>
          <w:rFonts w:hint="eastAsia" w:asciiTheme="minorEastAsia" w:hAnsiTheme="minorEastAsia" w:eastAsiaTheme="minorEastAsia" w:cstheme="minorEastAsia"/>
          <w:b/>
          <w:bCs/>
          <w:color w:val="auto"/>
          <w:sz w:val="21"/>
          <w:szCs w:val="21"/>
        </w:rPr>
        <w:t>次支付，支付节点：</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1、开工后1个月内支付合同额的10%；</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2、开工后3个月，付至合同额的25%；</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3、开工后5个月，付至合同额的40%；</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4、开工后7个月，付至合同额的55%；</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5、开工后9个月，付至合同额的70%；</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6、工程竣工验收合格，付至合同额的80%；</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7、竣工验收备案后7天内，付至合同额的90%；</w:t>
      </w:r>
    </w:p>
    <w:p>
      <w:pPr>
        <w:snapToGrid w:val="0"/>
        <w:spacing w:line="360" w:lineRule="auto"/>
        <w:ind w:firstLine="420"/>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8、完成工程结算通过，付至合同金额的100%。</w:t>
      </w:r>
    </w:p>
    <w:p>
      <w:pPr>
        <w:snapToGrid w:val="0"/>
        <w:spacing w:line="360" w:lineRule="auto"/>
        <w:ind w:firstLine="42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注：</w:t>
      </w:r>
    </w:p>
    <w:p>
      <w:pPr>
        <w:snapToGrid w:val="0"/>
        <w:spacing w:line="360" w:lineRule="auto"/>
        <w:ind w:firstLine="42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1.委托人按上表中约定的支付次数、支付时间、支付比例和支付金额向受托人支付全过程工程咨询服务项目酬金。</w:t>
      </w:r>
    </w:p>
    <w:p>
      <w:pPr>
        <w:snapToGrid w:val="0"/>
        <w:spacing w:line="360" w:lineRule="auto"/>
        <w:ind w:firstLine="42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2.若项目工程分期进行，按实际工程投资额比例对应节点付款。</w:t>
      </w:r>
    </w:p>
    <w:p>
      <w:pPr>
        <w:keepNext/>
        <w:keepLines/>
        <w:numPr>
          <w:ilvl w:val="2"/>
          <w:numId w:val="0"/>
        </w:numPr>
        <w:spacing w:before="260" w:after="260" w:line="360" w:lineRule="exact"/>
        <w:ind w:left="646" w:leftChars="212" w:hanging="201" w:hangingChars="96"/>
        <w:outlineLvl w:val="9"/>
        <w:rPr>
          <w:rFonts w:hint="eastAsia" w:asciiTheme="minorEastAsia" w:hAnsiTheme="minorEastAsia" w:eastAsiaTheme="minorEastAsia" w:cstheme="minorEastAsia"/>
          <w:color w:val="auto"/>
          <w:sz w:val="21"/>
          <w:szCs w:val="21"/>
        </w:rPr>
      </w:pPr>
      <w:bookmarkStart w:id="142" w:name="_Toc36971715"/>
      <w:bookmarkStart w:id="143" w:name="_Toc37436657"/>
      <w:bookmarkStart w:id="144" w:name="_Toc532553062"/>
      <w:bookmarkStart w:id="145" w:name="_Toc531850356"/>
      <w:bookmarkStart w:id="146" w:name="_Toc478380041"/>
      <w:bookmarkStart w:id="147" w:name="_Toc478373437"/>
      <w:bookmarkStart w:id="148" w:name="_Toc509302676"/>
      <w:bookmarkStart w:id="149" w:name="_Toc36975881"/>
      <w:r>
        <w:rPr>
          <w:rFonts w:hint="eastAsia" w:asciiTheme="minorEastAsia" w:hAnsiTheme="minorEastAsia" w:eastAsiaTheme="minorEastAsia" w:cstheme="minorEastAsia"/>
          <w:color w:val="auto"/>
          <w:sz w:val="21"/>
          <w:szCs w:val="21"/>
        </w:rPr>
        <w:t>7.合同生效、变更、暂停、解除与终止</w:t>
      </w:r>
      <w:bookmarkEnd w:id="142"/>
      <w:bookmarkEnd w:id="143"/>
      <w:bookmarkEnd w:id="144"/>
      <w:bookmarkEnd w:id="145"/>
      <w:bookmarkEnd w:id="146"/>
      <w:bookmarkEnd w:id="147"/>
      <w:bookmarkEnd w:id="148"/>
      <w:bookmarkEnd w:id="149"/>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7.1生效</w:t>
      </w:r>
    </w:p>
    <w:p>
      <w:pPr>
        <w:adjustRightInd w:val="0"/>
        <w:snapToGrid w:val="0"/>
        <w:spacing w:line="360" w:lineRule="auto"/>
        <w:ind w:firstLine="48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本合同生效条件：。</w:t>
      </w:r>
    </w:p>
    <w:p>
      <w:pPr>
        <w:adjustRightInd w:val="0"/>
        <w:snapToGrid w:val="0"/>
        <w:spacing w:line="360" w:lineRule="auto"/>
        <w:ind w:firstLine="415" w:firstLineChars="198"/>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7.2变更</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7.2.2除不可抗力外，因非受托人原因导致本合同期限延长时，附加工作酬金按下列方法确定：</w:t>
      </w:r>
    </w:p>
    <w:p>
      <w:pPr>
        <w:snapToGrid w:val="0"/>
        <w:spacing w:line="360" w:lineRule="auto"/>
        <w:ind w:firstLine="840" w:firstLineChars="400"/>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u w:val="single"/>
        </w:rPr>
        <w:t>由双方协商确定。</w:t>
      </w:r>
    </w:p>
    <w:p>
      <w:pPr>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7.2.3除不可抗力外，实际情况发生变化使得受托人不能完成全部或部分工作时，其善后工作以及恢复服务的准备工作相应的附加工作酬金确定方法：</w:t>
      </w:r>
    </w:p>
    <w:p>
      <w:pPr>
        <w:snapToGrid w:val="0"/>
        <w:spacing w:line="360" w:lineRule="auto"/>
        <w:ind w:firstLine="840" w:firstLineChars="400"/>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u w:val="single"/>
        </w:rPr>
        <w:t>由双方协商确定。</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7.2.4正常工作酬金增加额按下列方法确定：</w:t>
      </w:r>
    </w:p>
    <w:p>
      <w:pPr>
        <w:adjustRightInd w:val="0"/>
        <w:snapToGrid w:val="0"/>
        <w:spacing w:line="360" w:lineRule="auto"/>
        <w:ind w:firstLine="840" w:firstLineChars="400"/>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u w:val="single"/>
        </w:rPr>
        <w:t>按照投资额变化比例增减。</w:t>
      </w:r>
    </w:p>
    <w:p>
      <w:pPr>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7.2.5因工程规模、全过程工程咨询范围的变化导致受托人的正常工作量变化时，根据实际建安工程投资额比例结算项目全过程工程咨询服务费（具体以后期评审结果为准）。</w:t>
      </w:r>
    </w:p>
    <w:p>
      <w:pPr>
        <w:keepNext/>
        <w:keepLines/>
        <w:numPr>
          <w:ilvl w:val="2"/>
          <w:numId w:val="0"/>
        </w:numPr>
        <w:spacing w:before="260" w:after="260" w:line="360" w:lineRule="exact"/>
        <w:ind w:left="646" w:leftChars="212" w:hanging="201" w:hangingChars="96"/>
        <w:outlineLvl w:val="9"/>
        <w:rPr>
          <w:rFonts w:hint="eastAsia" w:asciiTheme="minorEastAsia" w:hAnsiTheme="minorEastAsia" w:eastAsiaTheme="minorEastAsia" w:cstheme="minorEastAsia"/>
          <w:color w:val="auto"/>
          <w:sz w:val="21"/>
          <w:szCs w:val="21"/>
          <w:highlight w:val="none"/>
        </w:rPr>
      </w:pPr>
      <w:bookmarkStart w:id="150" w:name="_Toc478373438"/>
      <w:bookmarkStart w:id="151" w:name="_Toc478380042"/>
      <w:bookmarkStart w:id="152" w:name="_Toc531850357"/>
      <w:bookmarkStart w:id="153" w:name="_Toc36975882"/>
      <w:bookmarkStart w:id="154" w:name="_Toc36971716"/>
      <w:bookmarkStart w:id="155" w:name="_Toc509302677"/>
      <w:bookmarkStart w:id="156" w:name="_Toc532553063"/>
      <w:bookmarkStart w:id="157" w:name="_Toc37436658"/>
      <w:r>
        <w:rPr>
          <w:rFonts w:hint="eastAsia" w:asciiTheme="minorEastAsia" w:hAnsiTheme="minorEastAsia" w:eastAsiaTheme="minorEastAsia" w:cstheme="minorEastAsia"/>
          <w:color w:val="auto"/>
          <w:sz w:val="21"/>
          <w:szCs w:val="21"/>
          <w:highlight w:val="none"/>
        </w:rPr>
        <w:t>8.争议解决</w:t>
      </w:r>
      <w:bookmarkEnd w:id="150"/>
      <w:bookmarkEnd w:id="151"/>
      <w:bookmarkEnd w:id="152"/>
      <w:bookmarkEnd w:id="153"/>
      <w:bookmarkEnd w:id="154"/>
      <w:bookmarkEnd w:id="155"/>
      <w:bookmarkEnd w:id="156"/>
      <w:bookmarkEnd w:id="157"/>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8.1调解</w:t>
      </w:r>
    </w:p>
    <w:p>
      <w:pPr>
        <w:snapToGrid w:val="0"/>
        <w:spacing w:line="360" w:lineRule="auto"/>
        <w:ind w:firstLine="411" w:firstLineChars="196"/>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本合同争议进行调解时，可提交进行调解。</w:t>
      </w:r>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8.2仲裁或诉讼</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合同争议的最终解决方式为下列第</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u w:val="single"/>
          <w:lang w:val="en-US"/>
        </w:rPr>
        <w:t>2</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种方式：</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（1）提请仲裁委员会进行仲裁。</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（2）向人民法院提起诉讼。</w:t>
      </w:r>
    </w:p>
    <w:p>
      <w:pPr>
        <w:keepNext/>
        <w:keepLines/>
        <w:numPr>
          <w:ilvl w:val="2"/>
          <w:numId w:val="0"/>
        </w:numPr>
        <w:spacing w:before="260" w:after="260" w:line="360" w:lineRule="exact"/>
        <w:ind w:left="646" w:leftChars="212" w:hanging="201" w:hangingChars="96"/>
        <w:outlineLvl w:val="9"/>
        <w:rPr>
          <w:rFonts w:hint="eastAsia" w:asciiTheme="minorEastAsia" w:hAnsiTheme="minorEastAsia" w:eastAsiaTheme="minorEastAsia" w:cstheme="minorEastAsia"/>
          <w:color w:val="auto"/>
          <w:sz w:val="21"/>
          <w:szCs w:val="21"/>
        </w:rPr>
      </w:pPr>
      <w:bookmarkStart w:id="158" w:name="_Toc531850358"/>
      <w:bookmarkStart w:id="159" w:name="_Toc478380043"/>
      <w:bookmarkStart w:id="160" w:name="_Toc36975883"/>
      <w:bookmarkStart w:id="161" w:name="_Toc37436659"/>
      <w:bookmarkStart w:id="162" w:name="_Toc478373439"/>
      <w:bookmarkStart w:id="163" w:name="_Toc36971717"/>
      <w:bookmarkStart w:id="164" w:name="_Toc532553064"/>
      <w:bookmarkStart w:id="165" w:name="_Toc509302678"/>
      <w:r>
        <w:rPr>
          <w:rFonts w:hint="eastAsia" w:asciiTheme="minorEastAsia" w:hAnsiTheme="minorEastAsia" w:eastAsiaTheme="minorEastAsia" w:cstheme="minorEastAsia"/>
          <w:color w:val="auto"/>
          <w:sz w:val="21"/>
          <w:szCs w:val="21"/>
        </w:rPr>
        <w:t>9其他</w:t>
      </w:r>
      <w:bookmarkEnd w:id="158"/>
      <w:bookmarkEnd w:id="159"/>
      <w:bookmarkEnd w:id="160"/>
      <w:bookmarkEnd w:id="161"/>
      <w:bookmarkEnd w:id="162"/>
      <w:bookmarkEnd w:id="163"/>
      <w:bookmarkEnd w:id="164"/>
      <w:bookmarkEnd w:id="165"/>
    </w:p>
    <w:p>
      <w:pPr>
        <w:adjustRightInd w:val="0"/>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9.1检测费用</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委托人应在检测工作完成后天内支付检测费用。</w:t>
      </w:r>
    </w:p>
    <w:p>
      <w:pPr>
        <w:snapToGrid w:val="0"/>
        <w:spacing w:line="360" w:lineRule="auto"/>
        <w:ind w:firstLine="415" w:firstLineChars="198"/>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9.2咨询费用</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委托人应在咨询工作完成后天内支付咨询费用。</w:t>
      </w:r>
    </w:p>
    <w:p>
      <w:pPr>
        <w:snapToGrid w:val="0"/>
        <w:spacing w:line="360" w:lineRule="auto"/>
        <w:ind w:firstLine="415" w:firstLineChars="198"/>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9.3奖励</w:t>
      </w:r>
    </w:p>
    <w:p>
      <w:pPr>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合理化建议的奖励约定:。</w:t>
      </w:r>
    </w:p>
    <w:p>
      <w:pPr>
        <w:adjustRightInd w:val="0"/>
        <w:snapToGrid w:val="0"/>
        <w:spacing w:line="360" w:lineRule="auto"/>
        <w:ind w:firstLine="415" w:firstLineChars="198"/>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9.4保密</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委托人申明的保密事项和期限：。</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受托人申明的保密事项和期限：。</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第三方申明的保密事项和期限：。</w:t>
      </w:r>
    </w:p>
    <w:p>
      <w:pPr>
        <w:snapToGrid w:val="0"/>
        <w:spacing w:line="360" w:lineRule="auto"/>
        <w:ind w:left="210" w:leftChars="100" w:firstLine="210" w:firstLineChars="1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9.5知识产权</w:t>
      </w:r>
    </w:p>
    <w:p>
      <w:pPr>
        <w:snapToGrid w:val="0"/>
        <w:spacing w:line="360" w:lineRule="auto"/>
        <w:ind w:firstLine="424" w:firstLineChars="202"/>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9.5.1关于委托人提供给受托人的图纸、委托人为实施工程自行编制或委托编制的技术规格以及反映委托人关于合同要求或其他类似性质的文件的著作权的归属：</w:t>
      </w:r>
    </w:p>
    <w:p>
      <w:pPr>
        <w:snapToGrid w:val="0"/>
        <w:spacing w:line="360" w:lineRule="auto"/>
        <w:ind w:firstLine="424" w:firstLineChars="202"/>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关于委托人提供的上述文件的使用限制的要求：</w:t>
      </w:r>
    </w:p>
    <w:p>
      <w:pPr>
        <w:snapToGrid w:val="0"/>
        <w:spacing w:line="360" w:lineRule="auto"/>
        <w:ind w:firstLine="424" w:firstLineChars="202"/>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9.5.2关于受托人为实施工程所编制文件的著作权的归属：</w:t>
      </w:r>
    </w:p>
    <w:p>
      <w:pPr>
        <w:snapToGrid w:val="0"/>
        <w:spacing w:line="360" w:lineRule="auto"/>
        <w:ind w:firstLine="424" w:firstLineChars="202"/>
        <w:rPr>
          <w:rFonts w:hint="eastAsia" w:asciiTheme="minorEastAsia" w:hAnsiTheme="minorEastAsia" w:eastAsiaTheme="minorEastAsia" w:cstheme="minorEastAsia"/>
          <w:color w:val="auto"/>
          <w:sz w:val="21"/>
          <w:szCs w:val="21"/>
          <w:u w:val="single"/>
        </w:rPr>
      </w:pPr>
      <w:r>
        <w:rPr>
          <w:rFonts w:hint="eastAsia" w:asciiTheme="minorEastAsia" w:hAnsiTheme="minorEastAsia" w:eastAsiaTheme="minorEastAsia" w:cstheme="minorEastAsia"/>
          <w:color w:val="auto"/>
          <w:sz w:val="21"/>
          <w:szCs w:val="21"/>
        </w:rPr>
        <w:t>关于受托人提供的上述文件的使用限制的要求：</w:t>
      </w:r>
      <w:r>
        <w:rPr>
          <w:rFonts w:hint="eastAsia" w:asciiTheme="minorEastAsia" w:hAnsiTheme="minorEastAsia" w:eastAsiaTheme="minorEastAsia" w:cstheme="minorEastAsia"/>
          <w:color w:val="auto"/>
          <w:sz w:val="21"/>
          <w:szCs w:val="21"/>
          <w:u w:val="single"/>
        </w:rPr>
        <w:t></w:t>
      </w:r>
    </w:p>
    <w:p>
      <w:pPr>
        <w:snapToGrid w:val="0"/>
        <w:spacing w:line="360" w:lineRule="auto"/>
        <w:ind w:firstLine="424" w:firstLineChars="202"/>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9.5.3受托人在设计过程中所采用的专利、专有技术的使用费的承担方式：</w:t>
      </w:r>
    </w:p>
    <w:p>
      <w:pPr>
        <w:spacing w:line="700" w:lineRule="exact"/>
        <w:rPr>
          <w:sz w:val="24"/>
        </w:rPr>
      </w:pPr>
      <w:bookmarkStart w:id="166" w:name="_Toc478380044"/>
      <w:bookmarkStart w:id="167" w:name="_Toc531850359"/>
      <w:bookmarkStart w:id="168" w:name="_Toc532553065"/>
      <w:bookmarkStart w:id="169" w:name="_Toc478373440"/>
      <w:bookmarkStart w:id="170" w:name="_Toc509302679"/>
      <w:bookmarkStart w:id="171" w:name="_Toc36975884"/>
      <w:bookmarkStart w:id="172" w:name="_Toc37436660"/>
      <w:bookmarkStart w:id="173" w:name="_Toc36971718"/>
      <w:r>
        <w:rPr>
          <w:rFonts w:hint="eastAsia" w:asciiTheme="minorEastAsia" w:hAnsiTheme="minorEastAsia" w:eastAsiaTheme="minorEastAsia" w:cstheme="minorEastAsia"/>
          <w:color w:val="auto"/>
          <w:sz w:val="21"/>
          <w:szCs w:val="21"/>
        </w:rPr>
        <w:t>10.补充条款</w:t>
      </w:r>
      <w:bookmarkEnd w:id="166"/>
      <w:bookmarkEnd w:id="167"/>
      <w:bookmarkEnd w:id="168"/>
      <w:bookmarkEnd w:id="169"/>
      <w:bookmarkEnd w:id="170"/>
      <w:bookmarkEnd w:id="171"/>
      <w:bookmarkEnd w:id="172"/>
      <w:bookmarkEnd w:id="173"/>
      <w:r>
        <w:rPr>
          <w:rFonts w:hint="eastAsia" w:asciiTheme="minorEastAsia" w:hAnsiTheme="minorEastAsia" w:eastAsiaTheme="minorEastAsia" w:cstheme="minorEastAsia"/>
          <w:color w:val="auto"/>
          <w:sz w:val="21"/>
          <w:szCs w:val="21"/>
        </w:rPr>
        <w:t>。</w:t>
      </w:r>
    </w:p>
    <w:p>
      <w:pPr>
        <w:spacing w:line="700" w:lineRule="exact"/>
        <w:rPr>
          <w:sz w:val="24"/>
        </w:rPr>
      </w:pPr>
    </w:p>
    <w:p>
      <w:pPr>
        <w:spacing w:line="700" w:lineRule="exact"/>
        <w:rPr>
          <w:sz w:val="24"/>
        </w:rPr>
      </w:pPr>
    </w:p>
    <w:p>
      <w:pPr>
        <w:spacing w:line="700" w:lineRule="exact"/>
        <w:rPr>
          <w:sz w:val="24"/>
        </w:rPr>
      </w:pPr>
    </w:p>
    <w:p>
      <w:pPr>
        <w:spacing w:line="700" w:lineRule="exact"/>
        <w:rPr>
          <w:sz w:val="24"/>
        </w:rPr>
        <w:sectPr>
          <w:footerReference r:id="rId5" w:type="default"/>
          <w:footerReference r:id="rId6" w:type="even"/>
          <w:pgSz w:w="11904" w:h="16840"/>
          <w:pgMar w:top="1440" w:right="1080" w:bottom="1440" w:left="1080" w:header="720" w:footer="998" w:gutter="0"/>
          <w:pgNumType w:fmt="numberInDash"/>
          <w:cols w:space="720" w:num="1"/>
          <w:titlePg/>
          <w:docGrid w:linePitch="326" w:charSpace="0"/>
        </w:sectPr>
      </w:pPr>
    </w:p>
    <w:p>
      <w:pPr>
        <w:spacing w:line="700" w:lineRule="exact"/>
        <w:rPr>
          <w:sz w:val="24"/>
        </w:rPr>
        <w:sectPr>
          <w:type w:val="continuous"/>
          <w:pgSz w:w="11904" w:h="16840"/>
          <w:pgMar w:top="1440" w:right="1080" w:bottom="1440" w:left="1080" w:header="720" w:footer="998" w:gutter="0"/>
          <w:pgNumType w:fmt="numberInDash"/>
          <w:cols w:space="720" w:num="2"/>
        </w:sectPr>
      </w:pPr>
    </w:p>
    <w:p>
      <w:pPr>
        <w:spacing w:line="700" w:lineRule="exact"/>
        <w:rPr>
          <w:sz w:val="24"/>
        </w:rPr>
        <w:sectPr>
          <w:footerReference r:id="rId7" w:type="default"/>
          <w:type w:val="continuous"/>
          <w:pgSz w:w="11904" w:h="16840"/>
          <w:pgMar w:top="1440" w:right="1080" w:bottom="1440" w:left="1080" w:header="720" w:footer="850" w:gutter="0"/>
          <w:pgNumType w:fmt="numberInDash"/>
          <w:cols w:space="720" w:num="1"/>
          <w:docGrid w:linePitch="326" w:charSpace="0"/>
        </w:sectPr>
      </w:pPr>
      <w:bookmarkStart w:id="174" w:name="_Toc1565917129"/>
      <w:bookmarkStart w:id="175" w:name="_Toc18155954"/>
      <w:bookmarkStart w:id="176" w:name="_Toc292085125"/>
    </w:p>
    <w:bookmarkEnd w:id="174"/>
    <w:bookmarkEnd w:id="175"/>
    <w:bookmarkEnd w:id="176"/>
    <w:p>
      <w:pPr>
        <w:spacing w:line="700" w:lineRule="exact"/>
        <w:jc w:val="center"/>
        <w:outlineLvl w:val="0"/>
        <w:rPr>
          <w:b/>
          <w:bCs/>
          <w:sz w:val="44"/>
          <w:szCs w:val="44"/>
        </w:rPr>
      </w:pPr>
      <w:bookmarkStart w:id="177" w:name="_Toc7025"/>
      <w:bookmarkStart w:id="178" w:name="_Toc4026_WPSOffice_Level1"/>
      <w:bookmarkStart w:id="179" w:name="_Toc15548"/>
      <w:bookmarkStart w:id="180" w:name="_Toc3099"/>
      <w:r>
        <w:rPr>
          <w:rFonts w:hint="eastAsia"/>
          <w:b/>
          <w:bCs/>
          <w:sz w:val="44"/>
          <w:szCs w:val="44"/>
        </w:rPr>
        <w:t>第五章</w:t>
      </w:r>
      <w:bookmarkEnd w:id="177"/>
      <w:r>
        <w:rPr>
          <w:rFonts w:hint="eastAsia"/>
          <w:b/>
          <w:bCs/>
          <w:sz w:val="44"/>
          <w:szCs w:val="44"/>
          <w:lang w:val="en-US" w:eastAsia="zh-CN"/>
        </w:rPr>
        <w:t xml:space="preserve"> </w:t>
      </w:r>
      <w:r>
        <w:rPr>
          <w:rFonts w:hint="eastAsia"/>
          <w:b/>
          <w:bCs/>
          <w:sz w:val="44"/>
          <w:szCs w:val="44"/>
        </w:rPr>
        <w:t>委托人要求</w:t>
      </w:r>
      <w:bookmarkEnd w:id="178"/>
      <w:bookmarkEnd w:id="179"/>
      <w:bookmarkEnd w:id="180"/>
    </w:p>
    <w:p>
      <w:pPr>
        <w:spacing w:line="700" w:lineRule="exact"/>
        <w:rPr>
          <w:rFonts w:hint="default" w:eastAsia="宋体"/>
          <w:b/>
          <w:bCs/>
          <w:sz w:val="24"/>
          <w:lang w:val="en-US" w:eastAsia="zh-CN"/>
        </w:rPr>
      </w:pPr>
      <w:r>
        <w:rPr>
          <w:rFonts w:hint="eastAsia"/>
          <w:b/>
          <w:bCs/>
          <w:sz w:val="24"/>
          <w:lang w:val="en-US" w:eastAsia="zh-CN"/>
        </w:rPr>
        <w:t>一、项目基本概况</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、项目名称：洛阳氢能电机装备产业园（一地块）西区--洛阳氢能发动机项目全过程工程咨询服务。</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、项目地点：洛阳市涧西区丝路大道以东，孙白路以北，蓬莱路以南。</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、建设规模：本项目规划总用地面积约37596.98平方米，占地约合56.39亩。总建筑面积约23125</w:t>
      </w:r>
      <w:r>
        <w:rPr>
          <w:rFonts w:hint="eastAsia" w:ascii="宋体" w:hAnsi="宋体" w:eastAsia="宋体" w:cs="宋体"/>
          <w:sz w:val="21"/>
          <w:szCs w:val="21"/>
          <w:lang w:val="en-US" w:eastAsia="zh-CN"/>
        </w:rPr>
        <w:t>.00</w:t>
      </w:r>
      <w:r>
        <w:rPr>
          <w:rFonts w:hint="eastAsia" w:ascii="宋体" w:hAnsi="宋体" w:eastAsia="宋体" w:cs="宋体"/>
          <w:sz w:val="21"/>
          <w:szCs w:val="21"/>
        </w:rPr>
        <w:t>平方米，主要建筑包括生产厂房及相关配套用房、室外工程等。</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、招标范围：本次招标项目共一个标段，具体服务范围为洛阳氢能电机装备产业园（一地块）西区</w:t>
      </w:r>
      <w:r>
        <w:rPr>
          <w:rFonts w:hint="eastAsia" w:ascii="宋体" w:hAnsi="宋体" w:eastAsia="宋体" w:cs="宋体"/>
          <w:sz w:val="21"/>
          <w:szCs w:val="21"/>
          <w:lang w:val="en-US" w:eastAsia="zh-CN"/>
        </w:rPr>
        <w:t>内</w:t>
      </w:r>
      <w:r>
        <w:rPr>
          <w:rFonts w:hint="eastAsia" w:ascii="宋体" w:hAnsi="宋体" w:eastAsia="宋体" w:cs="宋体"/>
          <w:sz w:val="21"/>
          <w:szCs w:val="21"/>
        </w:rPr>
        <w:t>生产厂房及相关配套用房、室外工程的土建、水电安装、消防等的全过程工程咨询服务，具体服务内容包括：本工程的项目管理、造价咨询、工程监理</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采购管理</w:t>
      </w:r>
      <w:r>
        <w:rPr>
          <w:rFonts w:hint="eastAsia" w:ascii="宋体" w:hAnsi="宋体" w:eastAsia="宋体" w:cs="宋体"/>
          <w:sz w:val="21"/>
          <w:szCs w:val="21"/>
        </w:rPr>
        <w:t>（注：本次招标范围不包含工艺及动力设备的工作）。</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、服务期：自签订全过程咨询合同之日起至通过工程竣工验收（含缺陷责任期）</w:t>
      </w:r>
      <w:r>
        <w:rPr>
          <w:rFonts w:hint="eastAsia" w:ascii="宋体" w:hAnsi="宋体" w:eastAsia="宋体" w:cs="宋体"/>
          <w:sz w:val="21"/>
          <w:szCs w:val="21"/>
          <w:lang w:val="en-US" w:eastAsia="zh-CN"/>
        </w:rPr>
        <w:t>且项目竣工结算审核（查）完成</w:t>
      </w:r>
      <w:r>
        <w:rPr>
          <w:rFonts w:hint="eastAsia" w:ascii="宋体" w:hAnsi="宋体" w:eastAsia="宋体" w:cs="宋体"/>
          <w:sz w:val="21"/>
          <w:szCs w:val="21"/>
        </w:rPr>
        <w:t xml:space="preserve">。 </w:t>
      </w:r>
    </w:p>
    <w:p>
      <w:pPr>
        <w:spacing w:line="700" w:lineRule="exact"/>
        <w:rPr>
          <w:rFonts w:hint="eastAsia"/>
          <w:b/>
          <w:bCs/>
          <w:sz w:val="24"/>
          <w:lang w:val="en-US" w:eastAsia="zh-CN"/>
        </w:rPr>
      </w:pPr>
      <w:r>
        <w:rPr>
          <w:rFonts w:hint="eastAsia"/>
          <w:b/>
          <w:bCs/>
          <w:sz w:val="24"/>
          <w:lang w:val="en-US" w:eastAsia="zh-CN"/>
        </w:rPr>
        <w:t>二、招标范围及内容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1、包括但不限于以下内容，</w:t>
      </w:r>
      <w:r>
        <w:rPr>
          <w:rFonts w:hint="eastAsia" w:ascii="宋体" w:hAnsi="宋体" w:eastAsia="宋体" w:cs="宋体"/>
          <w:b w:val="0"/>
          <w:bCs w:val="0"/>
          <w:sz w:val="21"/>
          <w:szCs w:val="21"/>
        </w:rPr>
        <w:t>项目管理、造价咨询、工程监理</w:t>
      </w:r>
      <w:r>
        <w:rPr>
          <w:rFonts w:hint="eastAsia" w:ascii="宋体" w:hAnsi="宋体" w:cs="宋体"/>
          <w:b w:val="0"/>
          <w:bCs w:val="0"/>
          <w:sz w:val="21"/>
          <w:szCs w:val="21"/>
          <w:lang w:eastAsia="zh-CN"/>
        </w:rPr>
        <w:t>、</w:t>
      </w:r>
      <w:r>
        <w:rPr>
          <w:rFonts w:hint="eastAsia" w:ascii="宋体" w:hAnsi="宋体" w:cs="宋体"/>
          <w:b w:val="0"/>
          <w:bCs w:val="0"/>
          <w:sz w:val="21"/>
          <w:szCs w:val="21"/>
          <w:lang w:val="en-US" w:eastAsia="zh-CN"/>
        </w:rPr>
        <w:t>采购管理</w:t>
      </w:r>
      <w:r>
        <w:rPr>
          <w:rFonts w:hint="eastAsia" w:ascii="宋体" w:hAnsi="宋体" w:eastAsia="宋体" w:cs="宋体"/>
          <w:b w:val="0"/>
          <w:bCs w:val="0"/>
          <w:sz w:val="21"/>
          <w:szCs w:val="21"/>
          <w:lang w:val="en-US" w:eastAsia="zh-CN"/>
        </w:rPr>
        <w:t>等，具体详见附表。</w:t>
      </w:r>
    </w:p>
    <w:p>
      <w:pPr>
        <w:keepNext w:val="0"/>
        <w:keepLines w:val="0"/>
        <w:pageBreakBefore w:val="0"/>
        <w:widowControl w:val="0"/>
        <w:kinsoku/>
        <w:wordWrap/>
        <w:overflowPunct/>
        <w:topLinePunct w:val="0"/>
        <w:autoSpaceDE/>
        <w:autoSpaceDN/>
        <w:bidi w:val="0"/>
        <w:adjustRightInd/>
        <w:snapToGrid/>
        <w:spacing w:line="500" w:lineRule="exact"/>
        <w:ind w:firstLine="422" w:firstLineChars="200"/>
        <w:textAlignment w:val="auto"/>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2、</w:t>
      </w:r>
      <w:r>
        <w:rPr>
          <w:rFonts w:hint="eastAsia" w:ascii="宋体" w:hAnsi="宋体" w:cs="宋体"/>
          <w:b/>
          <w:bCs/>
          <w:sz w:val="21"/>
          <w:szCs w:val="21"/>
          <w:lang w:val="en-US" w:eastAsia="zh-CN"/>
        </w:rPr>
        <w:t>本地块项目在后期施工中将划分为两个标段进行，故本项目的全过程工程咨询提供的服务将对本地块内所有的施工标段进行管理及咨询工作，特此说明。</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cs="宋体"/>
          <w:b w:val="0"/>
          <w:bCs w:val="0"/>
          <w:sz w:val="21"/>
          <w:szCs w:val="21"/>
          <w:lang w:val="en-US" w:eastAsia="zh-CN"/>
        </w:rPr>
        <w:t>3、</w:t>
      </w:r>
      <w:r>
        <w:rPr>
          <w:rFonts w:hint="eastAsia" w:ascii="宋体" w:hAnsi="宋体" w:eastAsia="宋体" w:cs="宋体"/>
          <w:b w:val="0"/>
          <w:bCs w:val="0"/>
          <w:sz w:val="21"/>
          <w:szCs w:val="21"/>
          <w:lang w:val="en-US" w:eastAsia="zh-CN"/>
        </w:rPr>
        <w:t>本次招标是指工程方面的全过程咨询，动力设备预算含在造价咨询范围内，设备采购需另行招标。</w:t>
      </w:r>
    </w:p>
    <w:p>
      <w:pPr>
        <w:pStyle w:val="2"/>
        <w:rPr>
          <w:rFonts w:hint="default"/>
          <w:lang w:val="en-US" w:eastAsia="zh-CN"/>
        </w:rPr>
      </w:pPr>
    </w:p>
    <w:p>
      <w:pPr>
        <w:pStyle w:val="14"/>
        <w:rPr>
          <w:rFonts w:hint="default"/>
          <w:lang w:val="en-US" w:eastAsia="zh-CN"/>
        </w:rPr>
      </w:pPr>
    </w:p>
    <w:p>
      <w:pPr>
        <w:pStyle w:val="14"/>
        <w:rPr>
          <w:rFonts w:hint="default"/>
          <w:lang w:val="en-US" w:eastAsia="zh-CN"/>
        </w:rPr>
      </w:pPr>
    </w:p>
    <w:p>
      <w:pPr>
        <w:pStyle w:val="2"/>
      </w:pPr>
    </w:p>
    <w:p/>
    <w:p>
      <w:pPr>
        <w:pStyle w:val="2"/>
      </w:pPr>
    </w:p>
    <w:p>
      <w:pPr>
        <w:rPr>
          <w:sz w:val="24"/>
        </w:rPr>
      </w:pPr>
    </w:p>
    <w:p>
      <w:pPr>
        <w:pStyle w:val="2"/>
      </w:pPr>
    </w:p>
    <w:p>
      <w:pPr>
        <w:rPr>
          <w:sz w:val="24"/>
        </w:rPr>
      </w:pPr>
    </w:p>
    <w:p>
      <w:pPr>
        <w:pStyle w:val="2"/>
      </w:pPr>
    </w:p>
    <w:p>
      <w:pPr>
        <w:rPr>
          <w:sz w:val="24"/>
        </w:rPr>
      </w:pPr>
    </w:p>
    <w:p>
      <w:pPr>
        <w:pStyle w:val="2"/>
      </w:pPr>
    </w:p>
    <w:p>
      <w:pPr>
        <w:pStyle w:val="2"/>
        <w:rPr>
          <w:rFonts w:hint="eastAsia"/>
          <w:sz w:val="24"/>
          <w:lang w:val="en-US" w:eastAsia="zh-CN"/>
        </w:rPr>
      </w:pPr>
      <w:r>
        <w:rPr>
          <w:rFonts w:hint="eastAsia"/>
          <w:sz w:val="24"/>
          <w:lang w:val="en-US" w:eastAsia="zh-CN"/>
        </w:rPr>
        <w:t>附表：</w:t>
      </w:r>
    </w:p>
    <w:p>
      <w:pPr>
        <w:pStyle w:val="14"/>
        <w:rPr>
          <w:rFonts w:hint="eastAsia" w:eastAsia="楷体_GB2312"/>
          <w:sz w:val="24"/>
          <w:lang w:eastAsia="zh-CN"/>
        </w:rPr>
      </w:pPr>
      <w:r>
        <w:rPr>
          <w:rFonts w:hint="eastAsia" w:eastAsia="楷体_GB2312"/>
          <w:sz w:val="24"/>
          <w:lang w:eastAsia="zh-CN"/>
        </w:rPr>
        <w:drawing>
          <wp:anchor distT="0" distB="0" distL="114300" distR="114300" simplePos="0" relativeHeight="251665408" behindDoc="1" locked="0" layoutInCell="1" allowOverlap="1">
            <wp:simplePos x="0" y="0"/>
            <wp:positionH relativeFrom="column">
              <wp:posOffset>160020</wp:posOffset>
            </wp:positionH>
            <wp:positionV relativeFrom="paragraph">
              <wp:posOffset>237490</wp:posOffset>
            </wp:positionV>
            <wp:extent cx="5961380" cy="7803515"/>
            <wp:effectExtent l="0" t="0" r="0" b="0"/>
            <wp:wrapTight wrapText="bothSides">
              <wp:wrapPolygon>
                <wp:start x="0" y="0"/>
                <wp:lineTo x="0" y="21567"/>
                <wp:lineTo x="21536" y="21567"/>
                <wp:lineTo x="21536" y="0"/>
                <wp:lineTo x="0" y="0"/>
              </wp:wrapPolygon>
            </wp:wrapTight>
            <wp:docPr id="1" name="图片 1" descr="洛阳氢能电机装备产业园项目全过程咨询服务内容(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洛阳氢能电机装备产业园项目全过程咨询服务内容(1)_00"/>
                    <pic:cNvPicPr>
                      <a:picLocks noChangeAspect="1"/>
                    </pic:cNvPicPr>
                  </pic:nvPicPr>
                  <pic:blipFill>
                    <a:blip r:embed="rId14"/>
                    <a:srcRect l="3931" t="9328" r="4455" b="5873"/>
                    <a:stretch>
                      <a:fillRect/>
                    </a:stretch>
                  </pic:blipFill>
                  <pic:spPr>
                    <a:xfrm>
                      <a:off x="0" y="0"/>
                      <a:ext cx="5961380" cy="7803515"/>
                    </a:xfrm>
                    <a:prstGeom prst="rect">
                      <a:avLst/>
                    </a:prstGeom>
                  </pic:spPr>
                </pic:pic>
              </a:graphicData>
            </a:graphic>
          </wp:anchor>
        </w:drawing>
      </w:r>
    </w:p>
    <w:p>
      <w:pPr>
        <w:pStyle w:val="14"/>
        <w:rPr>
          <w:rFonts w:hint="eastAsia" w:eastAsia="楷体_GB2312"/>
          <w:sz w:val="24"/>
          <w:lang w:eastAsia="zh-CN"/>
        </w:rPr>
      </w:pPr>
      <w:r>
        <w:rPr>
          <w:rFonts w:hint="eastAsia" w:eastAsia="楷体_GB2312"/>
          <w:sz w:val="24"/>
          <w:lang w:eastAsia="zh-CN"/>
        </w:rPr>
        <w:drawing>
          <wp:anchor distT="0" distB="0" distL="114300" distR="114300" simplePos="0" relativeHeight="251666432" behindDoc="1" locked="0" layoutInCell="1" allowOverlap="1">
            <wp:simplePos x="0" y="0"/>
            <wp:positionH relativeFrom="column">
              <wp:posOffset>-73025</wp:posOffset>
            </wp:positionH>
            <wp:positionV relativeFrom="paragraph">
              <wp:posOffset>411480</wp:posOffset>
            </wp:positionV>
            <wp:extent cx="6307455" cy="6206490"/>
            <wp:effectExtent l="0" t="0" r="17145" b="3810"/>
            <wp:wrapTight wrapText="bothSides">
              <wp:wrapPolygon>
                <wp:start x="0" y="0"/>
                <wp:lineTo x="0" y="21547"/>
                <wp:lineTo x="21528" y="21547"/>
                <wp:lineTo x="21528" y="0"/>
                <wp:lineTo x="0" y="0"/>
              </wp:wrapPolygon>
            </wp:wrapTight>
            <wp:docPr id="2" name="图片 2" descr="洛阳氢能电机装备产业园项目全过程咨询服务内容(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洛阳氢能电机装备产业园项目全过程咨询服务内容(1)_01"/>
                    <pic:cNvPicPr>
                      <a:picLocks noChangeAspect="1"/>
                    </pic:cNvPicPr>
                  </pic:nvPicPr>
                  <pic:blipFill>
                    <a:blip r:embed="rId15"/>
                    <a:srcRect l="4701" t="9938" r="5533" b="27606"/>
                    <a:stretch>
                      <a:fillRect/>
                    </a:stretch>
                  </pic:blipFill>
                  <pic:spPr>
                    <a:xfrm>
                      <a:off x="0" y="0"/>
                      <a:ext cx="6307455" cy="6206490"/>
                    </a:xfrm>
                    <a:prstGeom prst="rect">
                      <a:avLst/>
                    </a:prstGeom>
                  </pic:spPr>
                </pic:pic>
              </a:graphicData>
            </a:graphic>
          </wp:anchor>
        </w:drawing>
      </w:r>
    </w:p>
    <w:p>
      <w:pPr>
        <w:pStyle w:val="14"/>
        <w:rPr>
          <w:rFonts w:hint="eastAsia" w:eastAsia="楷体_GB2312"/>
          <w:sz w:val="24"/>
          <w:lang w:eastAsia="zh-CN"/>
        </w:rPr>
      </w:pPr>
    </w:p>
    <w:p>
      <w:pPr>
        <w:pStyle w:val="14"/>
        <w:rPr>
          <w:rFonts w:hint="eastAsia" w:eastAsia="楷体_GB2312"/>
          <w:sz w:val="24"/>
          <w:lang w:eastAsia="zh-CN"/>
        </w:rPr>
      </w:pPr>
    </w:p>
    <w:p>
      <w:pPr>
        <w:pStyle w:val="14"/>
        <w:rPr>
          <w:rFonts w:hint="eastAsia" w:eastAsia="楷体_GB2312"/>
          <w:sz w:val="24"/>
          <w:lang w:eastAsia="zh-CN"/>
        </w:rPr>
      </w:pPr>
    </w:p>
    <w:p>
      <w:pPr>
        <w:pStyle w:val="14"/>
        <w:rPr>
          <w:rFonts w:hint="eastAsia" w:eastAsia="楷体_GB2312"/>
          <w:sz w:val="24"/>
          <w:lang w:eastAsia="zh-CN"/>
        </w:rPr>
      </w:pPr>
      <w:r>
        <w:rPr>
          <w:rFonts w:hint="eastAsia" w:eastAsia="宋体"/>
          <w:b/>
          <w:bCs/>
          <w:sz w:val="44"/>
          <w:szCs w:val="44"/>
          <w:lang w:eastAsia="zh-CN"/>
        </w:rPr>
        <w:drawing>
          <wp:anchor distT="0" distB="0" distL="114300" distR="114300" simplePos="0" relativeHeight="251667456" behindDoc="1" locked="0" layoutInCell="1" allowOverlap="1">
            <wp:simplePos x="0" y="0"/>
            <wp:positionH relativeFrom="column">
              <wp:posOffset>100330</wp:posOffset>
            </wp:positionH>
            <wp:positionV relativeFrom="paragraph">
              <wp:posOffset>142875</wp:posOffset>
            </wp:positionV>
            <wp:extent cx="6142990" cy="7672705"/>
            <wp:effectExtent l="0" t="0" r="10160" b="4445"/>
            <wp:wrapTight wrapText="bothSides">
              <wp:wrapPolygon>
                <wp:start x="0" y="0"/>
                <wp:lineTo x="0" y="21559"/>
                <wp:lineTo x="21502" y="21559"/>
                <wp:lineTo x="21502" y="0"/>
                <wp:lineTo x="0" y="0"/>
              </wp:wrapPolygon>
            </wp:wrapTight>
            <wp:docPr id="3" name="图片 3" descr="洛阳氢能电机装备产业园项目全过程咨询服务内容(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洛阳氢能电机装备产业园项目全过程咨询服务内容(1)_02"/>
                    <pic:cNvPicPr>
                      <a:picLocks noChangeAspect="1"/>
                    </pic:cNvPicPr>
                  </pic:nvPicPr>
                  <pic:blipFill>
                    <a:blip r:embed="rId16"/>
                    <a:srcRect l="5163" t="9865" r="7226" b="12761"/>
                    <a:stretch>
                      <a:fillRect/>
                    </a:stretch>
                  </pic:blipFill>
                  <pic:spPr>
                    <a:xfrm>
                      <a:off x="0" y="0"/>
                      <a:ext cx="6142990" cy="7672705"/>
                    </a:xfrm>
                    <a:prstGeom prst="rect">
                      <a:avLst/>
                    </a:prstGeom>
                  </pic:spPr>
                </pic:pic>
              </a:graphicData>
            </a:graphic>
          </wp:anchor>
        </w:drawing>
      </w:r>
    </w:p>
    <w:p>
      <w:pPr>
        <w:pStyle w:val="14"/>
        <w:rPr>
          <w:rFonts w:hint="eastAsia" w:eastAsia="楷体_GB2312"/>
          <w:sz w:val="24"/>
          <w:lang w:eastAsia="zh-CN"/>
        </w:rPr>
      </w:pPr>
      <w:r>
        <w:rPr>
          <w:rFonts w:hint="eastAsia" w:eastAsia="宋体"/>
          <w:b/>
          <w:bCs/>
          <w:sz w:val="44"/>
          <w:szCs w:val="44"/>
          <w:lang w:eastAsia="zh-CN"/>
        </w:rPr>
        <w:drawing>
          <wp:anchor distT="0" distB="0" distL="114300" distR="114300" simplePos="0" relativeHeight="251668480" behindDoc="1" locked="0" layoutInCell="1" allowOverlap="1">
            <wp:simplePos x="0" y="0"/>
            <wp:positionH relativeFrom="column">
              <wp:posOffset>-276225</wp:posOffset>
            </wp:positionH>
            <wp:positionV relativeFrom="paragraph">
              <wp:posOffset>274320</wp:posOffset>
            </wp:positionV>
            <wp:extent cx="6309995" cy="5944235"/>
            <wp:effectExtent l="0" t="0" r="14605" b="18415"/>
            <wp:wrapTight wrapText="bothSides">
              <wp:wrapPolygon>
                <wp:start x="0" y="0"/>
                <wp:lineTo x="0" y="21528"/>
                <wp:lineTo x="21520" y="21528"/>
                <wp:lineTo x="21520" y="0"/>
                <wp:lineTo x="0" y="0"/>
              </wp:wrapPolygon>
            </wp:wrapTight>
            <wp:docPr id="4" name="图片 4" descr="洛阳氢能电机装备产业园项目全过程咨询服务内容(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洛阳氢能电机装备产业园项目全过程咨询服务内容(1)_03"/>
                    <pic:cNvPicPr>
                      <a:picLocks noChangeAspect="1"/>
                    </pic:cNvPicPr>
                  </pic:nvPicPr>
                  <pic:blipFill>
                    <a:blip r:embed="rId17"/>
                    <a:srcRect l="5933" t="8580" r="6765" b="33263"/>
                    <a:stretch>
                      <a:fillRect/>
                    </a:stretch>
                  </pic:blipFill>
                  <pic:spPr>
                    <a:xfrm>
                      <a:off x="0" y="0"/>
                      <a:ext cx="6309995" cy="5944235"/>
                    </a:xfrm>
                    <a:prstGeom prst="rect">
                      <a:avLst/>
                    </a:prstGeom>
                  </pic:spPr>
                </pic:pic>
              </a:graphicData>
            </a:graphic>
          </wp:anchor>
        </w:drawing>
      </w:r>
    </w:p>
    <w:p>
      <w:pPr>
        <w:pStyle w:val="14"/>
        <w:rPr>
          <w:rFonts w:hint="eastAsia" w:eastAsia="楷体_GB2312"/>
          <w:sz w:val="24"/>
          <w:lang w:eastAsia="zh-CN"/>
        </w:rPr>
      </w:pPr>
    </w:p>
    <w:p>
      <w:pPr>
        <w:pStyle w:val="14"/>
        <w:rPr>
          <w:rFonts w:hint="eastAsia" w:eastAsia="楷体_GB2312"/>
          <w:sz w:val="24"/>
          <w:lang w:eastAsia="zh-CN"/>
        </w:rPr>
      </w:pPr>
    </w:p>
    <w:p>
      <w:pPr>
        <w:pStyle w:val="14"/>
        <w:rPr>
          <w:rFonts w:hint="eastAsia" w:eastAsia="楷体_GB2312"/>
          <w:sz w:val="24"/>
          <w:lang w:eastAsia="zh-CN"/>
        </w:rPr>
      </w:pPr>
    </w:p>
    <w:p>
      <w:pPr>
        <w:rPr>
          <w:rFonts w:hint="eastAsia"/>
          <w:b/>
          <w:bCs/>
          <w:sz w:val="44"/>
          <w:szCs w:val="44"/>
        </w:rPr>
      </w:pPr>
      <w:bookmarkStart w:id="181" w:name="_Toc12716"/>
      <w:bookmarkStart w:id="182" w:name="_Toc9908"/>
      <w:bookmarkStart w:id="183" w:name="_Toc7769"/>
      <w:bookmarkStart w:id="184" w:name="_Toc6457_WPSOffice_Level1"/>
      <w:bookmarkStart w:id="185" w:name="_Toc14250"/>
    </w:p>
    <w:p>
      <w:pPr>
        <w:pStyle w:val="2"/>
        <w:rPr>
          <w:rFonts w:hint="eastAsia"/>
        </w:rPr>
      </w:pPr>
    </w:p>
    <w:p>
      <w:pPr>
        <w:spacing w:line="700" w:lineRule="exact"/>
        <w:jc w:val="center"/>
        <w:outlineLvl w:val="0"/>
        <w:rPr>
          <w:sz w:val="24"/>
        </w:rPr>
      </w:pPr>
      <w:r>
        <w:rPr>
          <w:rFonts w:hint="eastAsia"/>
          <w:b/>
          <w:bCs/>
          <w:sz w:val="44"/>
          <w:szCs w:val="44"/>
        </w:rPr>
        <w:t>第六章</w:t>
      </w:r>
      <w:r>
        <w:rPr>
          <w:rFonts w:hint="eastAsia"/>
          <w:b/>
          <w:bCs/>
          <w:sz w:val="44"/>
          <w:szCs w:val="44"/>
          <w:lang w:val="zh-CN"/>
        </w:rPr>
        <w:t xml:space="preserve"> </w:t>
      </w:r>
      <w:r>
        <w:rPr>
          <w:rFonts w:hint="eastAsia"/>
          <w:b/>
          <w:bCs/>
          <w:sz w:val="44"/>
          <w:szCs w:val="44"/>
        </w:rPr>
        <w:t>投标文件格式</w:t>
      </w:r>
      <w:bookmarkEnd w:id="181"/>
      <w:bookmarkEnd w:id="182"/>
      <w:bookmarkEnd w:id="183"/>
      <w:bookmarkEnd w:id="184"/>
      <w:bookmarkEnd w:id="185"/>
    </w:p>
    <w:p>
      <w:pPr>
        <w:spacing w:line="700" w:lineRule="exact"/>
        <w:rPr>
          <w:sz w:val="24"/>
        </w:rPr>
      </w:pPr>
    </w:p>
    <w:p>
      <w:pPr>
        <w:spacing w:line="700" w:lineRule="exact"/>
        <w:ind w:firstLine="2400" w:firstLineChars="1000"/>
        <w:rPr>
          <w:sz w:val="24"/>
          <w:u w:val="single"/>
        </w:rPr>
      </w:pPr>
      <w:bookmarkStart w:id="186" w:name="_Toc10772_WPSOffice_Level1"/>
      <w:bookmarkStart w:id="187" w:name="_Toc31977_WPSOffice_Level1"/>
      <w:bookmarkStart w:id="188" w:name="_Toc24633_WPSOffice_Level1"/>
      <w:bookmarkStart w:id="189" w:name="_Toc23745_WPSOffice_Level1"/>
    </w:p>
    <w:p>
      <w:pPr>
        <w:spacing w:line="700" w:lineRule="exact"/>
        <w:ind w:firstLine="2800" w:firstLineChars="1000"/>
        <w:rPr>
          <w:sz w:val="28"/>
          <w:szCs w:val="28"/>
        </w:rPr>
      </w:pPr>
      <w:r>
        <w:rPr>
          <w:rFonts w:hint="eastAsia"/>
          <w:sz w:val="28"/>
          <w:szCs w:val="28"/>
          <w:u w:val="single"/>
        </w:rPr>
        <w:t xml:space="preserve">                          </w:t>
      </w:r>
      <w:r>
        <w:rPr>
          <w:rFonts w:hint="eastAsia"/>
          <w:sz w:val="28"/>
          <w:szCs w:val="28"/>
        </w:rPr>
        <w:t>（项目名称）</w:t>
      </w:r>
      <w:bookmarkEnd w:id="186"/>
      <w:bookmarkEnd w:id="187"/>
      <w:bookmarkEnd w:id="188"/>
      <w:bookmarkEnd w:id="189"/>
    </w:p>
    <w:p>
      <w:pPr>
        <w:spacing w:line="900" w:lineRule="exact"/>
        <w:rPr>
          <w:sz w:val="70"/>
          <w:szCs w:val="70"/>
        </w:rPr>
      </w:pPr>
    </w:p>
    <w:p>
      <w:pPr>
        <w:spacing w:line="900" w:lineRule="exact"/>
        <w:jc w:val="center"/>
        <w:rPr>
          <w:sz w:val="70"/>
          <w:szCs w:val="70"/>
        </w:rPr>
      </w:pPr>
      <w:r>
        <w:rPr>
          <w:rFonts w:hint="eastAsia"/>
          <w:sz w:val="70"/>
          <w:szCs w:val="70"/>
        </w:rPr>
        <w:t>投</w:t>
      </w:r>
      <w:r>
        <w:rPr>
          <w:rFonts w:hint="eastAsia"/>
          <w:sz w:val="70"/>
          <w:szCs w:val="70"/>
        </w:rPr>
        <w:tab/>
      </w:r>
      <w:r>
        <w:rPr>
          <w:rFonts w:hint="eastAsia"/>
          <w:sz w:val="70"/>
          <w:szCs w:val="70"/>
        </w:rPr>
        <w:t>标</w:t>
      </w:r>
      <w:r>
        <w:rPr>
          <w:rFonts w:hint="eastAsia"/>
          <w:sz w:val="70"/>
          <w:szCs w:val="70"/>
        </w:rPr>
        <w:tab/>
      </w:r>
      <w:r>
        <w:rPr>
          <w:rFonts w:hint="eastAsia"/>
          <w:sz w:val="70"/>
          <w:szCs w:val="70"/>
        </w:rPr>
        <w:t>文</w:t>
      </w:r>
      <w:r>
        <w:rPr>
          <w:rFonts w:hint="eastAsia"/>
          <w:sz w:val="70"/>
          <w:szCs w:val="70"/>
        </w:rPr>
        <w:tab/>
      </w:r>
      <w:r>
        <w:rPr>
          <w:rFonts w:hint="eastAsia"/>
          <w:sz w:val="70"/>
          <w:szCs w:val="70"/>
        </w:rPr>
        <w:t>件</w:t>
      </w:r>
    </w:p>
    <w:p>
      <w:pPr>
        <w:spacing w:line="700" w:lineRule="exact"/>
        <w:rPr>
          <w:sz w:val="24"/>
        </w:rPr>
      </w:pPr>
    </w:p>
    <w:p>
      <w:pPr>
        <w:spacing w:line="700" w:lineRule="exact"/>
        <w:jc w:val="center"/>
        <w:rPr>
          <w:sz w:val="24"/>
        </w:rPr>
      </w:pPr>
      <w:r>
        <w:rPr>
          <w:rFonts w:hint="eastAsia"/>
          <w:sz w:val="24"/>
        </w:rPr>
        <w:t>招标编号：</w:t>
      </w:r>
    </w:p>
    <w:p>
      <w:pPr>
        <w:spacing w:line="700" w:lineRule="exact"/>
        <w:rPr>
          <w:sz w:val="24"/>
        </w:rPr>
      </w:pPr>
    </w:p>
    <w:p>
      <w:pPr>
        <w:spacing w:line="700" w:lineRule="exact"/>
        <w:rPr>
          <w:sz w:val="24"/>
        </w:rPr>
      </w:pPr>
    </w:p>
    <w:p>
      <w:pPr>
        <w:spacing w:line="700" w:lineRule="exact"/>
        <w:rPr>
          <w:sz w:val="24"/>
        </w:rPr>
      </w:pPr>
    </w:p>
    <w:p>
      <w:pPr>
        <w:spacing w:line="700" w:lineRule="exact"/>
        <w:ind w:firstLine="1440" w:firstLineChars="600"/>
        <w:rPr>
          <w:sz w:val="24"/>
        </w:rPr>
      </w:pPr>
      <w:bookmarkStart w:id="190" w:name="_Toc20235_WPSOffice_Level1"/>
      <w:bookmarkStart w:id="191" w:name="_Toc11366_WPSOffice_Level1"/>
      <w:bookmarkStart w:id="192" w:name="_Toc9574_WPSOffice_Level1"/>
      <w:bookmarkStart w:id="193" w:name="_Toc12414_WPSOffice_Level1"/>
    </w:p>
    <w:p>
      <w:pPr>
        <w:pStyle w:val="2"/>
      </w:pPr>
    </w:p>
    <w:p>
      <w:pPr>
        <w:rPr>
          <w:sz w:val="24"/>
        </w:rPr>
      </w:pPr>
    </w:p>
    <w:p>
      <w:pPr>
        <w:pStyle w:val="2"/>
      </w:pPr>
    </w:p>
    <w:p>
      <w:pPr>
        <w:rPr>
          <w:sz w:val="24"/>
        </w:rPr>
      </w:pPr>
    </w:p>
    <w:p>
      <w:pPr>
        <w:pStyle w:val="2"/>
      </w:pPr>
    </w:p>
    <w:p/>
    <w:p>
      <w:pPr>
        <w:spacing w:line="700" w:lineRule="exact"/>
        <w:ind w:firstLine="2400" w:firstLineChars="1000"/>
        <w:rPr>
          <w:sz w:val="24"/>
        </w:rPr>
      </w:pPr>
      <w:r>
        <w:rPr>
          <w:rFonts w:hint="eastAsia"/>
          <w:sz w:val="24"/>
        </w:rPr>
        <w:t>投 标 人：</w:t>
      </w:r>
      <w:r>
        <w:rPr>
          <w:rFonts w:hint="eastAsia"/>
          <w:sz w:val="24"/>
          <w:u w:val="single"/>
        </w:rPr>
        <w:t xml:space="preserve">                      </w:t>
      </w:r>
      <w:r>
        <w:rPr>
          <w:rFonts w:hint="eastAsia"/>
          <w:sz w:val="24"/>
        </w:rPr>
        <w:t>（企业电子章）</w:t>
      </w:r>
      <w:bookmarkEnd w:id="190"/>
      <w:bookmarkEnd w:id="191"/>
      <w:bookmarkEnd w:id="192"/>
      <w:bookmarkEnd w:id="193"/>
    </w:p>
    <w:p>
      <w:pPr>
        <w:spacing w:line="700" w:lineRule="exact"/>
        <w:ind w:firstLine="1200" w:firstLineChars="500"/>
        <w:rPr>
          <w:sz w:val="24"/>
        </w:rPr>
      </w:pPr>
      <w:r>
        <w:rPr>
          <w:rFonts w:hint="eastAsia"/>
          <w:sz w:val="24"/>
        </w:rPr>
        <w:t>法定代表人或其委托代理人：</w:t>
      </w:r>
      <w:r>
        <w:rPr>
          <w:rFonts w:hint="eastAsia"/>
          <w:sz w:val="24"/>
          <w:u w:val="single"/>
        </w:rPr>
        <w:t xml:space="preserve">                   </w:t>
      </w:r>
      <w:r>
        <w:rPr>
          <w:rFonts w:hint="eastAsia"/>
          <w:sz w:val="24"/>
        </w:rPr>
        <w:t>（签字或个人电子章）</w:t>
      </w:r>
    </w:p>
    <w:p>
      <w:pPr>
        <w:spacing w:line="700" w:lineRule="exact"/>
        <w:ind w:firstLine="3600" w:firstLineChars="1500"/>
        <w:rPr>
          <w:sz w:val="24"/>
        </w:rPr>
      </w:pPr>
      <w:bookmarkStart w:id="194" w:name="_Toc32657_WPSOffice_Level1"/>
      <w:bookmarkStart w:id="195" w:name="_Toc7230_WPSOffice_Level1"/>
      <w:bookmarkStart w:id="196" w:name="_Toc16597_WPSOffice_Level1"/>
      <w:bookmarkStart w:id="197" w:name="_Toc8746_WPSOffice_Level1"/>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bookmarkEnd w:id="194"/>
      <w:bookmarkEnd w:id="195"/>
      <w:bookmarkEnd w:id="196"/>
      <w:bookmarkEnd w:id="197"/>
    </w:p>
    <w:p>
      <w:pPr>
        <w:spacing w:line="700" w:lineRule="exact"/>
        <w:rPr>
          <w:sz w:val="24"/>
        </w:rPr>
        <w:sectPr>
          <w:footerReference r:id="rId8" w:type="default"/>
          <w:pgSz w:w="11911" w:h="16838"/>
          <w:pgMar w:top="1440" w:right="1080" w:bottom="1440" w:left="1080" w:header="0" w:footer="1060" w:gutter="0"/>
          <w:pgNumType w:fmt="numberInDash"/>
          <w:cols w:space="720" w:num="1"/>
          <w:rtlGutter w:val="1"/>
        </w:sectPr>
      </w:pPr>
    </w:p>
    <w:p>
      <w:pPr>
        <w:spacing w:line="700" w:lineRule="exact"/>
        <w:jc w:val="center"/>
        <w:rPr>
          <w:b/>
          <w:bCs/>
          <w:sz w:val="24"/>
        </w:rPr>
      </w:pPr>
      <w:r>
        <w:rPr>
          <w:rFonts w:hint="eastAsia"/>
          <w:b/>
          <w:bCs/>
          <w:sz w:val="24"/>
        </w:rPr>
        <w:t>洛阳市工程建设项目廉洁自律承诺书</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为切实加强工程建设领域的党风廉政建设，严格遵守廉洁从业的有关规定，有效预防和制止各种违法违纪行为和腐败问题的发生，确保把工程项目建设成为廉洁工程， 促进经济社会又好又快地发展，作为</w:t>
      </w:r>
      <w:r>
        <w:rPr>
          <w:rFonts w:hint="eastAsia" w:ascii="宋体" w:hAnsi="宋体" w:eastAsia="宋体" w:cs="宋体"/>
          <w:sz w:val="24"/>
          <w:u w:val="single"/>
        </w:rPr>
        <w:tab/>
      </w:r>
      <w:r>
        <w:rPr>
          <w:rFonts w:hint="eastAsia" w:ascii="宋体" w:hAnsi="宋体" w:eastAsia="宋体" w:cs="宋体"/>
          <w:sz w:val="24"/>
          <w:u w:val="single"/>
        </w:rPr>
        <w:t>（项目名称）</w:t>
      </w:r>
      <w:r>
        <w:rPr>
          <w:rFonts w:hint="eastAsia" w:ascii="宋体" w:hAnsi="宋体" w:eastAsia="宋体" w:cs="宋体"/>
          <w:sz w:val="24"/>
          <w:u w:val="single"/>
        </w:rPr>
        <w:tab/>
      </w:r>
      <w:r>
        <w:rPr>
          <w:rFonts w:hint="eastAsia" w:ascii="宋体" w:hAnsi="宋体" w:eastAsia="宋体" w:cs="宋体"/>
          <w:sz w:val="24"/>
        </w:rPr>
        <w:t>的投标人，特向市委、市政府做出如下庄严承诺：</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一、严格遵守党纪国法和各项政策规定，将廉政建设和廉洁从业的各项要求贯彻始终，廉洁自律，加强监督，保证将工程建成廉洁工程。</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二、严格遵守职业道德，坚持公开、公证、公平的原则，依法合规参与竞争，努力推进诚信建设，决不从事任何不正当竞争和任何违法违纪行为。</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三、建立并落实党风廉政建设和廉洁从业责任制，健全行之有效的规章制度，在工程报批立项、招标投标、资金运用、物资采购、设计变更、预算决算、质量认证、工程验收和设计、施工、监理过程中不以任何形式以权谋私、以工程谋私、索贿受贿，直接或变相行贿搞商业贿赂。</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四、建立工程质量监管保证体系。严格按照国家各项相关法规和技术规范从事设计、施工、监理，确保工程设计、施工组织、质量监理全部依法合规，争创优质工程。</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五、建立安全生产监管保证体系。按照国家各项相关法律和技术规范，在工程建设中落实安全生产“三同时”要求，确保施工人员和其他相关人员生命及人身安全， 杜绝各类安全事故的发生。</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六、遵守财经法规，厉行勤俭节约，杜绝铺张浪费，严格控制开支，最大限度地压缩工程费用，节约资金。</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七、定期不定期地对工程建设中的廉政建设和廉洁从业情况进行内部监督检查，同时主动接受外部有关部门依法依纪的监督检查，及时发现和整改存在的各种问题。</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八、如在工程建设中发生违法违纪行为和腐败问题，自愿接受党纪、政纪处理直至追究法律责任。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投标人（企业电子章）：</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法定代表人（签字或个人电子章）：</w:t>
      </w:r>
    </w:p>
    <w:p>
      <w:pPr>
        <w:spacing w:line="500" w:lineRule="exact"/>
        <w:ind w:firstLine="480" w:firstLineChars="200"/>
        <w:rPr>
          <w:rFonts w:hint="eastAsia" w:ascii="宋体" w:hAnsi="宋体" w:eastAsia="宋体" w:cs="宋体"/>
          <w:sz w:val="24"/>
        </w:rPr>
        <w:sectPr>
          <w:pgSz w:w="11911" w:h="16838"/>
          <w:pgMar w:top="1440" w:right="1080" w:bottom="1440" w:left="1080" w:header="0" w:footer="1060" w:gutter="0"/>
          <w:pgNumType w:fmt="numberInDash"/>
          <w:cols w:space="720" w:num="1"/>
          <w:rtlGutter w:val="1"/>
        </w:sectPr>
      </w:pPr>
      <w:r>
        <w:rPr>
          <w:rFonts w:hint="eastAsia" w:ascii="宋体" w:hAnsi="宋体" w:eastAsia="宋体" w:cs="宋体"/>
          <w:sz w:val="24"/>
        </w:rPr>
        <w:t>日期：</w:t>
      </w:r>
    </w:p>
    <w:p>
      <w:pPr>
        <w:spacing w:line="700" w:lineRule="exact"/>
        <w:jc w:val="center"/>
        <w:rPr>
          <w:b/>
          <w:bCs/>
          <w:sz w:val="24"/>
        </w:rPr>
      </w:pPr>
      <w:r>
        <w:rPr>
          <w:rFonts w:hint="eastAsia"/>
          <w:b/>
          <w:bCs/>
          <w:sz w:val="24"/>
        </w:rPr>
        <w:t>洛阳市工程建设项目廉洁自律告知书</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为维护公平竞争的市场秩序,从源头上有效预防和制止违法违纪行为和腐败问题的发生,促进工程项目建设廉洁优质高效，现就有关事项告知如下：</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1、严格遵守工程建设项目的法律、法规及规章制度。</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2、严格遵守职业道德，坚持公开、公正、公平、诚信的原则；</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3、严格执行工程建设项目合同文件，自觉按合同办事；</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4、严格执行工程建设项目招标投标、物资采购、设计变更、质量认证、安全生产等各项规定；</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5、严禁为了获取不正当的利益而损害国家利益、社会公共利益或者他人合法权益；</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6、严禁向项目建设单位和相关职能部门及有关人员赠送礼金、有价证券、贵重物品或回扣、好处费、感谢费等，不直接或变相行贿搞商业贿赂；</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7、加强内部监督，并自觉接受有关职能部门对工程建设情况的监督检查；</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8、严格执行廉洁从业各项规定，并向市委、市政府作出廉洁自律承诺。</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违反上述告知事项造成不良影响或严重后果的，按照国家有关法律法规予以处理；涉嫌犯罪的，移送司法机关依法追究刑事责任。</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本人已认真阅读并充分理解以上条款，并代表所属单位严格遵守。</w:t>
      </w:r>
    </w:p>
    <w:p>
      <w:pPr>
        <w:spacing w:line="500" w:lineRule="exact"/>
        <w:ind w:firstLine="480" w:firstLineChars="200"/>
        <w:rPr>
          <w:rFonts w:hint="eastAsia" w:ascii="宋体" w:hAnsi="宋体" w:eastAsia="宋体" w:cs="宋体"/>
          <w:sz w:val="24"/>
        </w:rPr>
      </w:pPr>
    </w:p>
    <w:p>
      <w:pPr>
        <w:spacing w:line="500" w:lineRule="exact"/>
        <w:ind w:firstLine="480" w:firstLineChars="200"/>
        <w:rPr>
          <w:rFonts w:hint="eastAsia"/>
          <w:sz w:val="24"/>
        </w:rPr>
      </w:pPr>
    </w:p>
    <w:p>
      <w:pPr>
        <w:spacing w:line="500" w:lineRule="exact"/>
        <w:ind w:firstLine="480" w:firstLineChars="200"/>
        <w:rPr>
          <w:sz w:val="24"/>
        </w:rPr>
      </w:pPr>
      <w:r>
        <w:rPr>
          <w:rFonts w:hint="eastAsia"/>
          <w:sz w:val="24"/>
        </w:rPr>
        <w:t>投标人（企业电子章）：</w:t>
      </w:r>
    </w:p>
    <w:p>
      <w:pPr>
        <w:spacing w:line="500" w:lineRule="exact"/>
        <w:ind w:firstLine="480" w:firstLineChars="200"/>
        <w:rPr>
          <w:sz w:val="24"/>
        </w:rPr>
      </w:pPr>
      <w:r>
        <w:rPr>
          <w:rFonts w:hint="eastAsia"/>
          <w:sz w:val="24"/>
        </w:rPr>
        <w:t xml:space="preserve">法定代表人（签字或个人电子章）： </w:t>
      </w:r>
    </w:p>
    <w:p>
      <w:pPr>
        <w:spacing w:line="500" w:lineRule="exact"/>
        <w:ind w:firstLine="480" w:firstLineChars="200"/>
        <w:rPr>
          <w:sz w:val="24"/>
        </w:rPr>
        <w:sectPr>
          <w:footerReference r:id="rId9" w:type="default"/>
          <w:pgSz w:w="11911" w:h="16838"/>
          <w:pgMar w:top="1440" w:right="1080" w:bottom="1440" w:left="1080" w:header="0" w:footer="1060" w:gutter="0"/>
          <w:pgNumType w:fmt="numberInDash"/>
          <w:cols w:space="720" w:num="1"/>
          <w:rtlGutter w:val="1"/>
        </w:sectPr>
      </w:pPr>
      <w:r>
        <w:rPr>
          <w:rFonts w:hint="eastAsia"/>
          <w:sz w:val="24"/>
        </w:rPr>
        <w:t>日期：</w:t>
      </w:r>
      <w:r>
        <w:rPr>
          <w:rFonts w:hint="eastAsia"/>
          <w:sz w:val="24"/>
        </w:rPr>
        <w:tab/>
      </w:r>
    </w:p>
    <w:p>
      <w:pPr>
        <w:spacing w:line="700" w:lineRule="exact"/>
        <w:jc w:val="center"/>
        <w:rPr>
          <w:b/>
          <w:bCs/>
          <w:sz w:val="24"/>
        </w:rPr>
      </w:pPr>
      <w:r>
        <w:rPr>
          <w:rFonts w:hint="eastAsia"/>
          <w:b/>
          <w:bCs/>
          <w:sz w:val="24"/>
        </w:rPr>
        <w:t>目  录</w:t>
      </w:r>
    </w:p>
    <w:p>
      <w:pPr>
        <w:spacing w:line="700" w:lineRule="exact"/>
        <w:rPr>
          <w:sz w:val="24"/>
        </w:rPr>
      </w:pPr>
    </w:p>
    <w:p>
      <w:pPr>
        <w:spacing w:line="700" w:lineRule="exact"/>
        <w:jc w:val="left"/>
        <w:rPr>
          <w:sz w:val="24"/>
        </w:rPr>
      </w:pPr>
      <w:r>
        <w:rPr>
          <w:rFonts w:hint="eastAsia"/>
          <w:sz w:val="24"/>
        </w:rPr>
        <w:t>一、投标函及投标函附录</w:t>
      </w:r>
    </w:p>
    <w:p>
      <w:pPr>
        <w:spacing w:line="700" w:lineRule="exact"/>
        <w:jc w:val="left"/>
        <w:rPr>
          <w:sz w:val="24"/>
        </w:rPr>
      </w:pPr>
      <w:r>
        <w:rPr>
          <w:rFonts w:hint="eastAsia"/>
          <w:sz w:val="24"/>
        </w:rPr>
        <w:t>二、法定代表人身份证明及授权委托书</w:t>
      </w:r>
    </w:p>
    <w:p>
      <w:pPr>
        <w:spacing w:line="700" w:lineRule="exact"/>
        <w:jc w:val="left"/>
        <w:rPr>
          <w:sz w:val="24"/>
        </w:rPr>
      </w:pPr>
      <w:r>
        <w:rPr>
          <w:rFonts w:hint="eastAsia"/>
          <w:sz w:val="24"/>
        </w:rPr>
        <w:t>三、授权委托书</w:t>
      </w:r>
    </w:p>
    <w:p>
      <w:pPr>
        <w:spacing w:line="700" w:lineRule="exact"/>
        <w:jc w:val="left"/>
        <w:rPr>
          <w:sz w:val="24"/>
        </w:rPr>
      </w:pPr>
      <w:r>
        <w:rPr>
          <w:rFonts w:hint="eastAsia"/>
          <w:sz w:val="24"/>
          <w:lang w:val="zh-CN"/>
        </w:rPr>
        <w:t>四、</w:t>
      </w:r>
      <w:r>
        <w:rPr>
          <w:rFonts w:hint="eastAsia"/>
          <w:sz w:val="24"/>
        </w:rPr>
        <w:t>资格证明资料</w:t>
      </w:r>
    </w:p>
    <w:p>
      <w:pPr>
        <w:spacing w:line="700" w:lineRule="exact"/>
        <w:jc w:val="left"/>
        <w:rPr>
          <w:sz w:val="24"/>
        </w:rPr>
      </w:pPr>
      <w:r>
        <w:rPr>
          <w:rFonts w:hint="eastAsia"/>
          <w:sz w:val="24"/>
        </w:rPr>
        <w:t>五、项目管理机构</w:t>
      </w:r>
    </w:p>
    <w:p>
      <w:pPr>
        <w:spacing w:line="700" w:lineRule="exact"/>
        <w:jc w:val="left"/>
        <w:rPr>
          <w:sz w:val="24"/>
        </w:rPr>
      </w:pPr>
      <w:r>
        <w:rPr>
          <w:rFonts w:hint="eastAsia"/>
          <w:sz w:val="24"/>
          <w:lang w:val="en-US" w:eastAsia="zh-CN"/>
        </w:rPr>
        <w:t>六</w:t>
      </w:r>
      <w:r>
        <w:rPr>
          <w:rFonts w:hint="eastAsia"/>
          <w:sz w:val="24"/>
        </w:rPr>
        <w:t>、全过程工程咨询服务实施方案</w:t>
      </w:r>
    </w:p>
    <w:p>
      <w:pPr>
        <w:spacing w:line="700" w:lineRule="exact"/>
        <w:jc w:val="left"/>
        <w:rPr>
          <w:sz w:val="24"/>
        </w:rPr>
      </w:pPr>
      <w:r>
        <w:rPr>
          <w:rFonts w:hint="eastAsia"/>
          <w:sz w:val="24"/>
          <w:lang w:val="en-US" w:eastAsia="zh-CN"/>
        </w:rPr>
        <w:t>七</w:t>
      </w:r>
      <w:r>
        <w:rPr>
          <w:rFonts w:hint="eastAsia"/>
          <w:sz w:val="24"/>
        </w:rPr>
        <w:t>、其他材料</w:t>
      </w:r>
      <w:bookmarkStart w:id="198" w:name="_Toc18195_WPSOffice_Level1"/>
      <w:bookmarkStart w:id="199" w:name="_Toc14128_WPSOffice_Level1"/>
      <w:bookmarkStart w:id="200" w:name="_Toc7731_WPSOffice_Level1"/>
      <w:bookmarkStart w:id="201" w:name="_Toc4731_WPSOffice_Level1"/>
    </w:p>
    <w:p>
      <w:pPr>
        <w:spacing w:line="700" w:lineRule="exact"/>
        <w:jc w:val="left"/>
        <w:rPr>
          <w:b/>
          <w:bCs/>
          <w:sz w:val="24"/>
        </w:rPr>
      </w:pPr>
    </w:p>
    <w:p>
      <w:pPr>
        <w:spacing w:line="700" w:lineRule="exact"/>
        <w:jc w:val="left"/>
        <w:rPr>
          <w:b/>
          <w:bCs/>
          <w:sz w:val="24"/>
        </w:rPr>
      </w:pPr>
    </w:p>
    <w:p>
      <w:pPr>
        <w:spacing w:line="700" w:lineRule="exact"/>
        <w:jc w:val="left"/>
        <w:rPr>
          <w:b/>
          <w:bCs/>
          <w:sz w:val="24"/>
        </w:rPr>
      </w:pPr>
    </w:p>
    <w:p>
      <w:pPr>
        <w:spacing w:line="700" w:lineRule="exact"/>
        <w:jc w:val="left"/>
        <w:rPr>
          <w:b/>
          <w:bCs/>
          <w:sz w:val="24"/>
        </w:rPr>
      </w:pPr>
    </w:p>
    <w:p>
      <w:pPr>
        <w:spacing w:line="700" w:lineRule="exact"/>
        <w:jc w:val="left"/>
        <w:rPr>
          <w:b/>
          <w:bCs/>
          <w:sz w:val="24"/>
        </w:rPr>
      </w:pPr>
    </w:p>
    <w:p>
      <w:pPr>
        <w:spacing w:line="700" w:lineRule="exact"/>
        <w:jc w:val="left"/>
        <w:rPr>
          <w:b/>
          <w:bCs/>
          <w:sz w:val="24"/>
        </w:rPr>
      </w:pPr>
    </w:p>
    <w:p>
      <w:pPr>
        <w:spacing w:line="700" w:lineRule="exact"/>
        <w:jc w:val="left"/>
        <w:rPr>
          <w:b/>
          <w:bCs/>
          <w:sz w:val="24"/>
        </w:rPr>
      </w:pPr>
    </w:p>
    <w:p>
      <w:pPr>
        <w:spacing w:line="700" w:lineRule="exact"/>
        <w:jc w:val="left"/>
        <w:rPr>
          <w:b/>
          <w:bCs/>
          <w:sz w:val="24"/>
        </w:rPr>
      </w:pPr>
    </w:p>
    <w:p>
      <w:pPr>
        <w:pStyle w:val="2"/>
        <w:rPr>
          <w:b/>
          <w:bCs/>
          <w:sz w:val="24"/>
        </w:rPr>
      </w:pPr>
    </w:p>
    <w:p>
      <w:pPr>
        <w:rPr>
          <w:b/>
          <w:bCs/>
          <w:sz w:val="24"/>
        </w:rPr>
      </w:pPr>
    </w:p>
    <w:p>
      <w:pPr>
        <w:pStyle w:val="2"/>
      </w:pPr>
    </w:p>
    <w:p>
      <w:pPr>
        <w:spacing w:line="700" w:lineRule="exact"/>
        <w:jc w:val="left"/>
        <w:rPr>
          <w:b/>
          <w:bCs/>
          <w:sz w:val="24"/>
        </w:rPr>
      </w:pPr>
    </w:p>
    <w:p>
      <w:pPr>
        <w:spacing w:line="700" w:lineRule="exact"/>
        <w:jc w:val="center"/>
        <w:rPr>
          <w:b/>
          <w:bCs/>
          <w:sz w:val="28"/>
          <w:szCs w:val="28"/>
        </w:rPr>
      </w:pPr>
      <w:r>
        <w:rPr>
          <w:rFonts w:hint="eastAsia"/>
          <w:b/>
          <w:bCs/>
          <w:sz w:val="28"/>
          <w:szCs w:val="28"/>
        </w:rPr>
        <w:t>一、投标函及投标函附录</w:t>
      </w:r>
      <w:bookmarkEnd w:id="198"/>
      <w:bookmarkEnd w:id="199"/>
      <w:bookmarkEnd w:id="200"/>
      <w:bookmarkEnd w:id="201"/>
    </w:p>
    <w:p>
      <w:pPr>
        <w:spacing w:line="700" w:lineRule="exact"/>
        <w:jc w:val="center"/>
        <w:rPr>
          <w:b/>
          <w:bCs/>
          <w:sz w:val="28"/>
          <w:szCs w:val="28"/>
        </w:rPr>
      </w:pPr>
      <w:r>
        <w:rPr>
          <w:rFonts w:hint="eastAsia"/>
          <w:b/>
          <w:bCs/>
          <w:sz w:val="28"/>
          <w:szCs w:val="28"/>
        </w:rPr>
        <w:t>（一）投标函</w:t>
      </w:r>
    </w:p>
    <w:p>
      <w:pPr>
        <w:spacing w:line="500" w:lineRule="exact"/>
        <w:rPr>
          <w:sz w:val="24"/>
        </w:rPr>
      </w:pPr>
      <w:r>
        <w:rPr>
          <w:rFonts w:hint="eastAsia"/>
          <w:sz w:val="24"/>
          <w:u w:val="single"/>
        </w:rPr>
        <w:tab/>
      </w:r>
      <w:r>
        <w:rPr>
          <w:rFonts w:hint="eastAsia"/>
          <w:sz w:val="24"/>
          <w:u w:val="single"/>
          <w:lang w:val="en-US" w:eastAsia="zh-CN"/>
        </w:rPr>
        <w:t xml:space="preserve">     </w:t>
      </w:r>
      <w:r>
        <w:rPr>
          <w:rFonts w:hint="eastAsia"/>
          <w:sz w:val="24"/>
          <w:u w:val="single"/>
        </w:rPr>
        <w:t xml:space="preserve">     </w:t>
      </w:r>
      <w:r>
        <w:rPr>
          <w:rFonts w:hint="eastAsia"/>
          <w:sz w:val="24"/>
        </w:rPr>
        <w:t>（招标人名称）：</w:t>
      </w:r>
    </w:p>
    <w:p>
      <w:pPr>
        <w:spacing w:line="500" w:lineRule="exact"/>
        <w:ind w:firstLine="480" w:firstLineChars="200"/>
        <w:rPr>
          <w:sz w:val="24"/>
        </w:rPr>
      </w:pPr>
      <w:r>
        <w:rPr>
          <w:rFonts w:hint="eastAsia"/>
          <w:sz w:val="24"/>
        </w:rPr>
        <w:t>1、我方已仔细研究了</w:t>
      </w:r>
      <w:r>
        <w:rPr>
          <w:rFonts w:hint="eastAsia"/>
          <w:sz w:val="24"/>
          <w:u w:val="single"/>
        </w:rPr>
        <w:t xml:space="preserve">                    </w:t>
      </w:r>
      <w:r>
        <w:rPr>
          <w:rFonts w:hint="eastAsia"/>
          <w:sz w:val="24"/>
        </w:rPr>
        <w:t>（项目名称）招标文件的全部内容，投标报价为</w:t>
      </w:r>
      <w:r>
        <w:rPr>
          <w:rFonts w:hint="eastAsia"/>
          <w:sz w:val="24"/>
          <w:u w:val="single"/>
        </w:rPr>
        <w:t xml:space="preserve">                    </w:t>
      </w:r>
      <w:r>
        <w:rPr>
          <w:rFonts w:hint="eastAsia"/>
          <w:sz w:val="24"/>
        </w:rPr>
        <w:t>。</w:t>
      </w:r>
    </w:p>
    <w:p>
      <w:pPr>
        <w:spacing w:line="500" w:lineRule="exact"/>
        <w:ind w:firstLine="480" w:firstLineChars="200"/>
        <w:rPr>
          <w:sz w:val="24"/>
        </w:rPr>
      </w:pPr>
      <w:r>
        <w:rPr>
          <w:rFonts w:hint="eastAsia"/>
          <w:sz w:val="24"/>
        </w:rPr>
        <w:t>2、我方承诺在投标有效期内不修改、撤销投标文件。</w:t>
      </w:r>
    </w:p>
    <w:p>
      <w:pPr>
        <w:spacing w:line="500" w:lineRule="exact"/>
        <w:ind w:firstLine="480" w:firstLineChars="200"/>
        <w:rPr>
          <w:sz w:val="24"/>
        </w:rPr>
      </w:pPr>
      <w:r>
        <w:rPr>
          <w:rFonts w:hint="eastAsia"/>
          <w:sz w:val="24"/>
        </w:rPr>
        <w:t>3、我单位委派的全过程工程咨询服务项目总负责人为：</w:t>
      </w:r>
      <w:r>
        <w:rPr>
          <w:rFonts w:hint="eastAsia"/>
          <w:sz w:val="24"/>
          <w:u w:val="single"/>
        </w:rPr>
        <w:t xml:space="preserve">              </w:t>
      </w:r>
      <w:r>
        <w:rPr>
          <w:rFonts w:hint="eastAsia"/>
          <w:sz w:val="24"/>
        </w:rPr>
        <w:t>，服务期限为：</w:t>
      </w:r>
      <w:r>
        <w:rPr>
          <w:rFonts w:hint="eastAsia"/>
          <w:sz w:val="24"/>
          <w:u w:val="single"/>
        </w:rPr>
        <w:t xml:space="preserve">                     </w:t>
      </w:r>
      <w:r>
        <w:rPr>
          <w:rFonts w:hint="eastAsia"/>
          <w:sz w:val="24"/>
        </w:rPr>
        <w:t>，承诺按合同约定完成咨询服务。</w:t>
      </w:r>
    </w:p>
    <w:p>
      <w:pPr>
        <w:numPr>
          <w:ilvl w:val="0"/>
          <w:numId w:val="1"/>
        </w:numPr>
        <w:spacing w:line="500" w:lineRule="exact"/>
        <w:ind w:firstLine="480" w:firstLineChars="200"/>
        <w:rPr>
          <w:sz w:val="24"/>
        </w:rPr>
      </w:pPr>
      <w:r>
        <w:rPr>
          <w:rFonts w:hint="eastAsia"/>
          <w:sz w:val="24"/>
        </w:rPr>
        <w:t>我方投标文件的投标有效期为：</w:t>
      </w:r>
      <w:r>
        <w:rPr>
          <w:rFonts w:hint="eastAsia"/>
          <w:sz w:val="24"/>
          <w:u w:val="single"/>
        </w:rPr>
        <w:t xml:space="preserve">                               </w:t>
      </w:r>
      <w:r>
        <w:rPr>
          <w:rFonts w:hint="eastAsia"/>
          <w:sz w:val="24"/>
        </w:rPr>
        <w:t>。</w:t>
      </w:r>
    </w:p>
    <w:p>
      <w:pPr>
        <w:spacing w:line="500" w:lineRule="exact"/>
        <w:ind w:firstLine="480" w:firstLineChars="200"/>
        <w:rPr>
          <w:sz w:val="24"/>
        </w:rPr>
      </w:pPr>
      <w:r>
        <w:rPr>
          <w:rFonts w:hint="eastAsia"/>
          <w:sz w:val="24"/>
        </w:rPr>
        <w:t>5、我方在此声明，所递交的投标文件及有关资料内容完整、真实和准确，且不存在第二章“投标人须知”第1.4.3项规定的任何一种情形，否则，愿承担法律后果。</w:t>
      </w:r>
    </w:p>
    <w:p>
      <w:pPr>
        <w:spacing w:line="500" w:lineRule="exact"/>
        <w:ind w:firstLine="480" w:firstLineChars="200"/>
        <w:rPr>
          <w:sz w:val="24"/>
        </w:rPr>
      </w:pPr>
      <w:r>
        <w:rPr>
          <w:rFonts w:hint="eastAsia"/>
          <w:sz w:val="24"/>
        </w:rPr>
        <w:t>6、</w:t>
      </w:r>
      <w:r>
        <w:rPr>
          <w:rFonts w:hint="eastAsia"/>
          <w:sz w:val="24"/>
          <w:u w:val="single"/>
        </w:rPr>
        <w:t xml:space="preserve">                                 </w:t>
      </w:r>
      <w:r>
        <w:rPr>
          <w:rFonts w:hint="eastAsia"/>
          <w:sz w:val="24"/>
        </w:rPr>
        <w:t>（其他补充说明）。</w:t>
      </w:r>
    </w:p>
    <w:p>
      <w:pPr>
        <w:spacing w:line="500" w:lineRule="exact"/>
        <w:ind w:firstLine="480" w:firstLineChars="200"/>
        <w:rPr>
          <w:sz w:val="24"/>
        </w:rPr>
      </w:pPr>
    </w:p>
    <w:p>
      <w:pPr>
        <w:spacing w:line="500" w:lineRule="exact"/>
        <w:ind w:firstLine="480" w:firstLineChars="200"/>
        <w:rPr>
          <w:sz w:val="24"/>
        </w:rPr>
      </w:pPr>
    </w:p>
    <w:p>
      <w:pPr>
        <w:spacing w:line="500" w:lineRule="exact"/>
        <w:ind w:firstLine="480" w:firstLineChars="200"/>
        <w:rPr>
          <w:sz w:val="24"/>
        </w:rPr>
      </w:pPr>
      <w:r>
        <w:rPr>
          <w:rFonts w:hint="eastAsia"/>
          <w:sz w:val="24"/>
        </w:rPr>
        <w:t>投标人（企业电子章）：</w:t>
      </w:r>
      <w:r>
        <w:rPr>
          <w:rFonts w:hint="eastAsia"/>
          <w:sz w:val="24"/>
          <w:u w:val="single"/>
        </w:rPr>
        <w:t xml:space="preserve">                    </w:t>
      </w:r>
    </w:p>
    <w:p>
      <w:pPr>
        <w:spacing w:line="500" w:lineRule="exact"/>
        <w:ind w:firstLine="480" w:firstLineChars="200"/>
        <w:rPr>
          <w:sz w:val="24"/>
        </w:rPr>
      </w:pPr>
      <w:r>
        <w:rPr>
          <w:rFonts w:hint="eastAsia"/>
          <w:sz w:val="24"/>
        </w:rPr>
        <w:t>法定代表人或其委托代理人（签字或个人电子章）：</w:t>
      </w:r>
      <w:r>
        <w:rPr>
          <w:rFonts w:hint="eastAsia"/>
          <w:sz w:val="24"/>
          <w:u w:val="single"/>
        </w:rPr>
        <w:t xml:space="preserve">                    </w:t>
      </w:r>
    </w:p>
    <w:p>
      <w:pPr>
        <w:spacing w:line="500" w:lineRule="exact"/>
        <w:ind w:firstLine="480" w:firstLineChars="200"/>
        <w:rPr>
          <w:sz w:val="24"/>
        </w:rPr>
      </w:pPr>
      <w:r>
        <w:rPr>
          <w:rFonts w:hint="eastAsia"/>
          <w:sz w:val="24"/>
        </w:rPr>
        <w:t>地址：</w:t>
      </w:r>
      <w:r>
        <w:rPr>
          <w:rFonts w:hint="eastAsia"/>
          <w:sz w:val="24"/>
          <w:u w:val="single"/>
        </w:rPr>
        <w:t xml:space="preserve">                    </w:t>
      </w:r>
    </w:p>
    <w:p>
      <w:pPr>
        <w:spacing w:line="500" w:lineRule="exact"/>
        <w:ind w:firstLine="480" w:firstLineChars="200"/>
        <w:rPr>
          <w:sz w:val="24"/>
        </w:rPr>
      </w:pPr>
      <w:r>
        <w:rPr>
          <w:rFonts w:hint="eastAsia"/>
          <w:sz w:val="24"/>
        </w:rPr>
        <w:t>电话：</w:t>
      </w:r>
      <w:r>
        <w:rPr>
          <w:rFonts w:hint="eastAsia"/>
          <w:sz w:val="24"/>
          <w:u w:val="single"/>
        </w:rPr>
        <w:t xml:space="preserve">                    </w:t>
      </w:r>
    </w:p>
    <w:p>
      <w:pPr>
        <w:spacing w:line="500" w:lineRule="exact"/>
        <w:ind w:firstLine="480" w:firstLineChars="200"/>
        <w:rPr>
          <w:sz w:val="24"/>
        </w:rPr>
      </w:pPr>
      <w:r>
        <w:rPr>
          <w:rFonts w:hint="eastAsia"/>
          <w:sz w:val="24"/>
        </w:rPr>
        <w:t xml:space="preserve">                                      </w:t>
      </w:r>
      <w:r>
        <w:rPr>
          <w:rFonts w:hint="eastAsia"/>
          <w:sz w:val="24"/>
          <w:u w:val="single"/>
        </w:rPr>
        <w:t xml:space="preserve">        </w:t>
      </w:r>
      <w:r>
        <w:rPr>
          <w:rFonts w:hint="eastAsia"/>
          <w:sz w:val="24"/>
        </w:rPr>
        <w:t xml:space="preserve">年_____月_____日 </w:t>
      </w:r>
    </w:p>
    <w:p>
      <w:pPr>
        <w:rPr>
          <w:b/>
          <w:bCs/>
          <w:sz w:val="24"/>
        </w:rPr>
      </w:pPr>
      <w:r>
        <w:rPr>
          <w:rFonts w:hint="eastAsia"/>
          <w:b/>
          <w:bCs/>
          <w:sz w:val="24"/>
        </w:rPr>
        <w:br w:type="page"/>
      </w:r>
    </w:p>
    <w:p>
      <w:pPr>
        <w:spacing w:line="700" w:lineRule="exact"/>
        <w:jc w:val="center"/>
        <w:rPr>
          <w:b/>
          <w:bCs/>
          <w:sz w:val="28"/>
          <w:szCs w:val="28"/>
        </w:rPr>
      </w:pPr>
      <w:r>
        <w:rPr>
          <w:rFonts w:hint="eastAsia"/>
          <w:b/>
          <w:bCs/>
          <w:sz w:val="28"/>
          <w:szCs w:val="28"/>
        </w:rPr>
        <w:t>（二）投标函附录</w:t>
      </w:r>
    </w:p>
    <w:tbl>
      <w:tblPr>
        <w:tblStyle w:val="17"/>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2531"/>
        <w:gridCol w:w="4906"/>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13" w:type="dxa"/>
          </w:tcPr>
          <w:p>
            <w:pPr>
              <w:spacing w:line="400" w:lineRule="exact"/>
              <w:jc w:val="center"/>
              <w:rPr>
                <w:b/>
                <w:bCs/>
                <w:sz w:val="24"/>
              </w:rPr>
            </w:pPr>
            <w:r>
              <w:rPr>
                <w:rFonts w:hint="eastAsia"/>
                <w:b/>
                <w:bCs/>
                <w:sz w:val="24"/>
              </w:rPr>
              <w:t>序号</w:t>
            </w:r>
          </w:p>
        </w:tc>
        <w:tc>
          <w:tcPr>
            <w:tcW w:w="2531" w:type="dxa"/>
          </w:tcPr>
          <w:p>
            <w:pPr>
              <w:spacing w:line="400" w:lineRule="exact"/>
              <w:jc w:val="center"/>
              <w:rPr>
                <w:b/>
                <w:bCs/>
                <w:sz w:val="24"/>
              </w:rPr>
            </w:pPr>
            <w:r>
              <w:rPr>
                <w:rFonts w:hint="eastAsia"/>
                <w:b/>
                <w:bCs/>
                <w:sz w:val="24"/>
              </w:rPr>
              <w:t>条款名称</w:t>
            </w:r>
          </w:p>
        </w:tc>
        <w:tc>
          <w:tcPr>
            <w:tcW w:w="4906" w:type="dxa"/>
          </w:tcPr>
          <w:p>
            <w:pPr>
              <w:spacing w:line="400" w:lineRule="exact"/>
              <w:jc w:val="center"/>
              <w:rPr>
                <w:b/>
                <w:bCs/>
                <w:sz w:val="24"/>
              </w:rPr>
            </w:pPr>
            <w:r>
              <w:rPr>
                <w:rFonts w:hint="eastAsia"/>
                <w:b/>
                <w:bCs/>
                <w:sz w:val="24"/>
              </w:rPr>
              <w:t>约定内容</w:t>
            </w:r>
          </w:p>
        </w:tc>
        <w:tc>
          <w:tcPr>
            <w:tcW w:w="1528" w:type="dxa"/>
          </w:tcPr>
          <w:p>
            <w:pPr>
              <w:spacing w:line="400" w:lineRule="exact"/>
              <w:jc w:val="center"/>
              <w:rPr>
                <w:b/>
                <w:bCs/>
                <w:sz w:val="24"/>
              </w:rPr>
            </w:pPr>
            <w:r>
              <w:rPr>
                <w:rFonts w:hint="eastAsia"/>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813" w:type="dxa"/>
            <w:vAlign w:val="center"/>
          </w:tcPr>
          <w:p>
            <w:pPr>
              <w:spacing w:line="400" w:lineRule="exact"/>
              <w:jc w:val="center"/>
              <w:rPr>
                <w:szCs w:val="21"/>
              </w:rPr>
            </w:pPr>
            <w:r>
              <w:rPr>
                <w:rFonts w:hint="eastAsia"/>
                <w:szCs w:val="21"/>
              </w:rPr>
              <w:t>1</w:t>
            </w:r>
          </w:p>
        </w:tc>
        <w:tc>
          <w:tcPr>
            <w:tcW w:w="2531" w:type="dxa"/>
            <w:vAlign w:val="center"/>
          </w:tcPr>
          <w:p>
            <w:pPr>
              <w:spacing w:line="400" w:lineRule="exact"/>
              <w:jc w:val="center"/>
              <w:rPr>
                <w:rFonts w:ascii="宋体" w:hAnsi="宋体" w:cs="宋体"/>
                <w:szCs w:val="21"/>
              </w:rPr>
            </w:pPr>
            <w:r>
              <w:rPr>
                <w:rFonts w:hint="eastAsia" w:ascii="宋体" w:hAnsi="宋体" w:cs="宋体"/>
                <w:szCs w:val="21"/>
              </w:rPr>
              <w:t>投标总报价</w:t>
            </w:r>
          </w:p>
        </w:tc>
        <w:tc>
          <w:tcPr>
            <w:tcW w:w="4906" w:type="dxa"/>
            <w:vAlign w:val="center"/>
          </w:tcPr>
          <w:p>
            <w:pPr>
              <w:spacing w:line="400" w:lineRule="exact"/>
              <w:rPr>
                <w:szCs w:val="21"/>
              </w:rPr>
            </w:pPr>
            <w:r>
              <w:rPr>
                <w:rFonts w:hint="eastAsia"/>
                <w:szCs w:val="21"/>
              </w:rPr>
              <w:t>大写：</w:t>
            </w:r>
          </w:p>
          <w:p>
            <w:pPr>
              <w:spacing w:line="400" w:lineRule="exact"/>
              <w:rPr>
                <w:szCs w:val="21"/>
              </w:rPr>
            </w:pPr>
            <w:r>
              <w:rPr>
                <w:rFonts w:hint="eastAsia"/>
                <w:szCs w:val="21"/>
              </w:rPr>
              <w:t>小写：</w:t>
            </w:r>
          </w:p>
        </w:tc>
        <w:tc>
          <w:tcPr>
            <w:tcW w:w="1528" w:type="dxa"/>
          </w:tcPr>
          <w:p>
            <w:pPr>
              <w:spacing w:line="400" w:lineRule="exact"/>
              <w:rPr>
                <w:szCs w:val="21"/>
              </w:rPr>
            </w:pPr>
            <w:r>
              <w:rPr>
                <w:rFonts w:hint="eastAsia"/>
                <w:szCs w:val="21"/>
              </w:rPr>
              <w:t>费用包含完成约定所有工作的全部费用。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813" w:type="dxa"/>
            <w:vAlign w:val="center"/>
          </w:tcPr>
          <w:p>
            <w:pPr>
              <w:spacing w:line="400" w:lineRule="exact"/>
              <w:jc w:val="center"/>
              <w:rPr>
                <w:szCs w:val="21"/>
              </w:rPr>
            </w:pPr>
            <w:r>
              <w:rPr>
                <w:rFonts w:hint="eastAsia"/>
                <w:szCs w:val="21"/>
              </w:rPr>
              <w:t>2</w:t>
            </w:r>
          </w:p>
        </w:tc>
        <w:tc>
          <w:tcPr>
            <w:tcW w:w="2531" w:type="dxa"/>
            <w:vAlign w:val="center"/>
          </w:tcPr>
          <w:p>
            <w:pPr>
              <w:spacing w:line="400" w:lineRule="exact"/>
              <w:jc w:val="center"/>
              <w:rPr>
                <w:rFonts w:ascii="宋体" w:hAnsi="宋体" w:cs="宋体"/>
                <w:szCs w:val="21"/>
              </w:rPr>
            </w:pPr>
            <w:r>
              <w:rPr>
                <w:rFonts w:hint="eastAsia" w:ascii="宋体" w:hAnsi="宋体" w:cs="宋体"/>
                <w:szCs w:val="21"/>
              </w:rPr>
              <w:t>拟派项目总负责人</w:t>
            </w:r>
          </w:p>
        </w:tc>
        <w:tc>
          <w:tcPr>
            <w:tcW w:w="4906" w:type="dxa"/>
            <w:vAlign w:val="center"/>
          </w:tcPr>
          <w:p>
            <w:pPr>
              <w:spacing w:line="400" w:lineRule="exact"/>
              <w:rPr>
                <w:szCs w:val="21"/>
              </w:rPr>
            </w:pPr>
            <w:r>
              <w:rPr>
                <w:rFonts w:hint="eastAsia"/>
                <w:szCs w:val="21"/>
              </w:rPr>
              <w:t>姓名：</w:t>
            </w:r>
          </w:p>
          <w:p>
            <w:pPr>
              <w:spacing w:line="400" w:lineRule="exact"/>
              <w:rPr>
                <w:szCs w:val="21"/>
              </w:rPr>
            </w:pPr>
            <w:r>
              <w:rPr>
                <w:rFonts w:hint="eastAsia"/>
                <w:szCs w:val="21"/>
              </w:rPr>
              <w:t>注册专业：</w:t>
            </w:r>
          </w:p>
          <w:p>
            <w:pPr>
              <w:spacing w:line="400" w:lineRule="exact"/>
              <w:rPr>
                <w:szCs w:val="21"/>
              </w:rPr>
            </w:pPr>
            <w:r>
              <w:rPr>
                <w:rFonts w:hint="eastAsia"/>
                <w:szCs w:val="21"/>
              </w:rPr>
              <w:t>注册编号：</w:t>
            </w:r>
          </w:p>
        </w:tc>
        <w:tc>
          <w:tcPr>
            <w:tcW w:w="1528" w:type="dxa"/>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813" w:type="dxa"/>
            <w:vAlign w:val="center"/>
          </w:tcPr>
          <w:p>
            <w:pPr>
              <w:spacing w:line="400" w:lineRule="exact"/>
              <w:jc w:val="center"/>
              <w:rPr>
                <w:szCs w:val="21"/>
              </w:rPr>
            </w:pPr>
            <w:r>
              <w:rPr>
                <w:rFonts w:hint="eastAsia"/>
                <w:szCs w:val="21"/>
              </w:rPr>
              <w:t>3</w:t>
            </w:r>
          </w:p>
        </w:tc>
        <w:tc>
          <w:tcPr>
            <w:tcW w:w="2531" w:type="dxa"/>
            <w:vAlign w:val="center"/>
          </w:tcPr>
          <w:p>
            <w:pPr>
              <w:spacing w:line="400" w:lineRule="exact"/>
              <w:jc w:val="center"/>
              <w:rPr>
                <w:rFonts w:ascii="宋体" w:hAnsi="宋体" w:cs="宋体"/>
                <w:color w:val="000000"/>
                <w:szCs w:val="21"/>
              </w:rPr>
            </w:pPr>
            <w:r>
              <w:rPr>
                <w:rFonts w:hint="eastAsia" w:ascii="宋体" w:hAnsi="宋体" w:cs="宋体"/>
                <w:color w:val="000000"/>
                <w:szCs w:val="21"/>
              </w:rPr>
              <w:t>拟派项目管理团队</w:t>
            </w:r>
          </w:p>
          <w:p>
            <w:pPr>
              <w:spacing w:line="400" w:lineRule="exact"/>
              <w:jc w:val="center"/>
              <w:rPr>
                <w:rFonts w:ascii="宋体" w:hAnsi="宋体" w:cs="宋体"/>
                <w:szCs w:val="21"/>
              </w:rPr>
            </w:pPr>
            <w:r>
              <w:rPr>
                <w:rFonts w:hint="eastAsia" w:ascii="宋体" w:hAnsi="宋体" w:cs="宋体"/>
                <w:color w:val="000000"/>
                <w:szCs w:val="21"/>
              </w:rPr>
              <w:t>负责人</w:t>
            </w:r>
          </w:p>
        </w:tc>
        <w:tc>
          <w:tcPr>
            <w:tcW w:w="4906" w:type="dxa"/>
            <w:vAlign w:val="center"/>
          </w:tcPr>
          <w:p>
            <w:pPr>
              <w:spacing w:line="400" w:lineRule="exact"/>
              <w:rPr>
                <w:szCs w:val="21"/>
              </w:rPr>
            </w:pPr>
            <w:r>
              <w:rPr>
                <w:rFonts w:hint="eastAsia"/>
                <w:szCs w:val="21"/>
              </w:rPr>
              <w:t>姓名：</w:t>
            </w:r>
          </w:p>
          <w:p>
            <w:pPr>
              <w:spacing w:line="400" w:lineRule="exact"/>
              <w:rPr>
                <w:szCs w:val="21"/>
              </w:rPr>
            </w:pPr>
            <w:r>
              <w:rPr>
                <w:rFonts w:hint="eastAsia"/>
                <w:szCs w:val="21"/>
              </w:rPr>
              <w:t>注册专业：</w:t>
            </w:r>
          </w:p>
          <w:p>
            <w:pPr>
              <w:spacing w:line="400" w:lineRule="exact"/>
              <w:rPr>
                <w:szCs w:val="21"/>
              </w:rPr>
            </w:pPr>
            <w:r>
              <w:rPr>
                <w:rFonts w:hint="eastAsia"/>
                <w:szCs w:val="21"/>
              </w:rPr>
              <w:t>注册编号：</w:t>
            </w:r>
          </w:p>
        </w:tc>
        <w:tc>
          <w:tcPr>
            <w:tcW w:w="1528" w:type="dxa"/>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813" w:type="dxa"/>
            <w:vAlign w:val="center"/>
          </w:tcPr>
          <w:p>
            <w:pPr>
              <w:spacing w:line="400" w:lineRule="exact"/>
              <w:jc w:val="center"/>
              <w:rPr>
                <w:szCs w:val="21"/>
              </w:rPr>
            </w:pPr>
            <w:r>
              <w:rPr>
                <w:rFonts w:hint="eastAsia"/>
                <w:szCs w:val="21"/>
              </w:rPr>
              <w:t>4</w:t>
            </w:r>
          </w:p>
        </w:tc>
        <w:tc>
          <w:tcPr>
            <w:tcW w:w="2531" w:type="dxa"/>
            <w:vAlign w:val="center"/>
          </w:tcPr>
          <w:p>
            <w:pPr>
              <w:spacing w:line="400" w:lineRule="exact"/>
              <w:jc w:val="center"/>
              <w:rPr>
                <w:rFonts w:ascii="宋体" w:hAnsi="宋体" w:cs="宋体"/>
                <w:color w:val="000000"/>
                <w:szCs w:val="21"/>
              </w:rPr>
            </w:pPr>
            <w:r>
              <w:rPr>
                <w:rFonts w:hint="eastAsia" w:ascii="宋体" w:hAnsi="宋体" w:cs="宋体"/>
                <w:color w:val="000000"/>
                <w:szCs w:val="21"/>
              </w:rPr>
              <w:t>拟派工程监理团队</w:t>
            </w:r>
          </w:p>
          <w:p>
            <w:pPr>
              <w:spacing w:line="400" w:lineRule="exact"/>
              <w:jc w:val="center"/>
              <w:rPr>
                <w:rFonts w:ascii="宋体" w:hAnsi="宋体" w:cs="宋体"/>
                <w:szCs w:val="21"/>
              </w:rPr>
            </w:pPr>
            <w:r>
              <w:rPr>
                <w:rFonts w:hint="eastAsia" w:ascii="宋体" w:hAnsi="宋体" w:cs="宋体"/>
                <w:color w:val="000000"/>
                <w:szCs w:val="21"/>
              </w:rPr>
              <w:t>负责人</w:t>
            </w:r>
          </w:p>
        </w:tc>
        <w:tc>
          <w:tcPr>
            <w:tcW w:w="4906" w:type="dxa"/>
            <w:vAlign w:val="center"/>
          </w:tcPr>
          <w:p>
            <w:pPr>
              <w:spacing w:line="400" w:lineRule="exact"/>
              <w:rPr>
                <w:szCs w:val="21"/>
              </w:rPr>
            </w:pPr>
            <w:r>
              <w:rPr>
                <w:rFonts w:hint="eastAsia"/>
                <w:szCs w:val="21"/>
              </w:rPr>
              <w:t>姓名：</w:t>
            </w:r>
          </w:p>
          <w:p>
            <w:pPr>
              <w:spacing w:line="400" w:lineRule="exact"/>
              <w:rPr>
                <w:szCs w:val="21"/>
              </w:rPr>
            </w:pPr>
            <w:r>
              <w:rPr>
                <w:rFonts w:hint="eastAsia"/>
                <w:szCs w:val="21"/>
              </w:rPr>
              <w:t>注册专业：</w:t>
            </w:r>
          </w:p>
          <w:p>
            <w:pPr>
              <w:spacing w:line="400" w:lineRule="exact"/>
              <w:rPr>
                <w:szCs w:val="21"/>
              </w:rPr>
            </w:pPr>
            <w:r>
              <w:rPr>
                <w:rFonts w:hint="eastAsia"/>
                <w:szCs w:val="21"/>
              </w:rPr>
              <w:t>注册编号：</w:t>
            </w:r>
          </w:p>
        </w:tc>
        <w:tc>
          <w:tcPr>
            <w:tcW w:w="1528" w:type="dxa"/>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813" w:type="dxa"/>
            <w:vAlign w:val="center"/>
          </w:tcPr>
          <w:p>
            <w:pPr>
              <w:spacing w:line="400" w:lineRule="exact"/>
              <w:jc w:val="center"/>
              <w:rPr>
                <w:szCs w:val="21"/>
              </w:rPr>
            </w:pPr>
            <w:r>
              <w:rPr>
                <w:rFonts w:hint="eastAsia"/>
                <w:szCs w:val="21"/>
              </w:rPr>
              <w:t>5</w:t>
            </w:r>
          </w:p>
        </w:tc>
        <w:tc>
          <w:tcPr>
            <w:tcW w:w="2531" w:type="dxa"/>
            <w:vAlign w:val="center"/>
          </w:tcPr>
          <w:p>
            <w:pPr>
              <w:spacing w:line="400" w:lineRule="exact"/>
              <w:jc w:val="center"/>
              <w:rPr>
                <w:rFonts w:ascii="宋体" w:hAnsi="宋体" w:cs="宋体"/>
                <w:color w:val="000000"/>
                <w:szCs w:val="21"/>
              </w:rPr>
            </w:pPr>
            <w:r>
              <w:rPr>
                <w:rFonts w:hint="eastAsia" w:ascii="宋体" w:hAnsi="宋体" w:cs="宋体"/>
                <w:color w:val="000000"/>
                <w:szCs w:val="21"/>
              </w:rPr>
              <w:t>拟派造价咨询团队</w:t>
            </w:r>
          </w:p>
          <w:p>
            <w:pPr>
              <w:spacing w:line="400" w:lineRule="exact"/>
              <w:jc w:val="center"/>
              <w:rPr>
                <w:rFonts w:ascii="宋体" w:hAnsi="宋体" w:cs="宋体"/>
                <w:szCs w:val="21"/>
              </w:rPr>
            </w:pPr>
            <w:r>
              <w:rPr>
                <w:rFonts w:hint="eastAsia" w:ascii="宋体" w:hAnsi="宋体" w:cs="宋体"/>
                <w:color w:val="000000"/>
                <w:szCs w:val="21"/>
              </w:rPr>
              <w:t>负责人</w:t>
            </w:r>
          </w:p>
        </w:tc>
        <w:tc>
          <w:tcPr>
            <w:tcW w:w="4906" w:type="dxa"/>
            <w:vAlign w:val="center"/>
          </w:tcPr>
          <w:p>
            <w:pPr>
              <w:spacing w:line="400" w:lineRule="exact"/>
              <w:rPr>
                <w:szCs w:val="21"/>
              </w:rPr>
            </w:pPr>
            <w:r>
              <w:rPr>
                <w:rFonts w:hint="eastAsia"/>
                <w:szCs w:val="21"/>
              </w:rPr>
              <w:t>姓名：</w:t>
            </w:r>
          </w:p>
          <w:p>
            <w:pPr>
              <w:spacing w:line="400" w:lineRule="exact"/>
              <w:rPr>
                <w:szCs w:val="21"/>
              </w:rPr>
            </w:pPr>
            <w:r>
              <w:rPr>
                <w:rFonts w:hint="eastAsia"/>
                <w:szCs w:val="21"/>
              </w:rPr>
              <w:t>注册专业：</w:t>
            </w:r>
          </w:p>
          <w:p>
            <w:pPr>
              <w:spacing w:line="400" w:lineRule="exact"/>
              <w:rPr>
                <w:szCs w:val="21"/>
              </w:rPr>
            </w:pPr>
            <w:r>
              <w:rPr>
                <w:rFonts w:hint="eastAsia"/>
                <w:szCs w:val="21"/>
              </w:rPr>
              <w:t>注册编号：</w:t>
            </w:r>
          </w:p>
        </w:tc>
        <w:tc>
          <w:tcPr>
            <w:tcW w:w="1528" w:type="dxa"/>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13" w:type="dxa"/>
            <w:vAlign w:val="center"/>
          </w:tcPr>
          <w:p>
            <w:pPr>
              <w:spacing w:line="400" w:lineRule="exact"/>
              <w:jc w:val="center"/>
              <w:rPr>
                <w:szCs w:val="21"/>
              </w:rPr>
            </w:pPr>
            <w:r>
              <w:rPr>
                <w:rFonts w:hint="eastAsia"/>
                <w:szCs w:val="21"/>
              </w:rPr>
              <w:t>6</w:t>
            </w:r>
          </w:p>
        </w:tc>
        <w:tc>
          <w:tcPr>
            <w:tcW w:w="2531" w:type="dxa"/>
            <w:vAlign w:val="center"/>
          </w:tcPr>
          <w:p>
            <w:pPr>
              <w:spacing w:line="400" w:lineRule="exact"/>
              <w:jc w:val="center"/>
              <w:rPr>
                <w:rFonts w:ascii="宋体" w:hAnsi="宋体" w:cs="宋体"/>
                <w:color w:val="000000"/>
                <w:szCs w:val="21"/>
              </w:rPr>
            </w:pPr>
            <w:r>
              <w:rPr>
                <w:rFonts w:hint="eastAsia"/>
                <w:szCs w:val="21"/>
              </w:rPr>
              <w:t>投标范围</w:t>
            </w:r>
          </w:p>
        </w:tc>
        <w:tc>
          <w:tcPr>
            <w:tcW w:w="6434" w:type="dxa"/>
            <w:gridSpan w:val="2"/>
            <w:vAlign w:val="center"/>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13" w:type="dxa"/>
            <w:vAlign w:val="center"/>
          </w:tcPr>
          <w:p>
            <w:pPr>
              <w:spacing w:line="400" w:lineRule="exact"/>
              <w:jc w:val="center"/>
              <w:rPr>
                <w:szCs w:val="21"/>
              </w:rPr>
            </w:pPr>
            <w:r>
              <w:rPr>
                <w:rFonts w:hint="eastAsia"/>
                <w:szCs w:val="21"/>
              </w:rPr>
              <w:t>7</w:t>
            </w:r>
          </w:p>
        </w:tc>
        <w:tc>
          <w:tcPr>
            <w:tcW w:w="2531" w:type="dxa"/>
            <w:vAlign w:val="center"/>
          </w:tcPr>
          <w:p>
            <w:pPr>
              <w:spacing w:line="400" w:lineRule="exact"/>
              <w:jc w:val="center"/>
              <w:rPr>
                <w:szCs w:val="21"/>
              </w:rPr>
            </w:pPr>
            <w:r>
              <w:rPr>
                <w:rFonts w:hint="eastAsia"/>
                <w:szCs w:val="21"/>
              </w:rPr>
              <w:t>服务期限</w:t>
            </w:r>
          </w:p>
        </w:tc>
        <w:tc>
          <w:tcPr>
            <w:tcW w:w="6434" w:type="dxa"/>
            <w:gridSpan w:val="2"/>
            <w:vAlign w:val="center"/>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813" w:type="dxa"/>
            <w:vAlign w:val="center"/>
          </w:tcPr>
          <w:p>
            <w:pPr>
              <w:spacing w:line="400" w:lineRule="exact"/>
              <w:jc w:val="center"/>
              <w:rPr>
                <w:szCs w:val="21"/>
              </w:rPr>
            </w:pPr>
            <w:r>
              <w:rPr>
                <w:rFonts w:hint="eastAsia"/>
                <w:szCs w:val="21"/>
              </w:rPr>
              <w:t>8</w:t>
            </w:r>
          </w:p>
        </w:tc>
        <w:tc>
          <w:tcPr>
            <w:tcW w:w="2531" w:type="dxa"/>
            <w:vAlign w:val="center"/>
          </w:tcPr>
          <w:p>
            <w:pPr>
              <w:spacing w:line="400" w:lineRule="exact"/>
              <w:jc w:val="center"/>
              <w:rPr>
                <w:szCs w:val="21"/>
              </w:rPr>
            </w:pPr>
            <w:r>
              <w:rPr>
                <w:rFonts w:hint="eastAsia"/>
                <w:szCs w:val="21"/>
              </w:rPr>
              <w:t>建设目标</w:t>
            </w:r>
          </w:p>
        </w:tc>
        <w:tc>
          <w:tcPr>
            <w:tcW w:w="6434" w:type="dxa"/>
            <w:gridSpan w:val="2"/>
            <w:vAlign w:val="center"/>
          </w:tcPr>
          <w:p>
            <w:pPr>
              <w:spacing w:line="400" w:lineRule="exact"/>
              <w:rPr>
                <w:szCs w:val="21"/>
              </w:rPr>
            </w:pPr>
            <w:r>
              <w:rPr>
                <w:rFonts w:hint="eastAsia"/>
                <w:szCs w:val="21"/>
              </w:rPr>
              <w:t>质量目标：</w:t>
            </w:r>
          </w:p>
          <w:p>
            <w:pPr>
              <w:spacing w:line="400" w:lineRule="exact"/>
              <w:rPr>
                <w:szCs w:val="21"/>
              </w:rPr>
            </w:pPr>
            <w:r>
              <w:rPr>
                <w:rFonts w:hint="eastAsia"/>
                <w:szCs w:val="21"/>
              </w:rPr>
              <w:t>进度目标：</w:t>
            </w:r>
          </w:p>
          <w:p>
            <w:pPr>
              <w:spacing w:line="400" w:lineRule="exact"/>
              <w:rPr>
                <w:szCs w:val="21"/>
              </w:rPr>
            </w:pPr>
            <w:r>
              <w:rPr>
                <w:rFonts w:hint="eastAsia"/>
                <w:szCs w:val="21"/>
              </w:rPr>
              <w:t>安全目标：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13" w:type="dxa"/>
            <w:vAlign w:val="center"/>
          </w:tcPr>
          <w:p>
            <w:pPr>
              <w:spacing w:line="400" w:lineRule="exact"/>
              <w:jc w:val="center"/>
              <w:rPr>
                <w:szCs w:val="21"/>
              </w:rPr>
            </w:pPr>
            <w:r>
              <w:rPr>
                <w:rFonts w:hint="eastAsia"/>
                <w:szCs w:val="21"/>
              </w:rPr>
              <w:t>9</w:t>
            </w:r>
          </w:p>
        </w:tc>
        <w:tc>
          <w:tcPr>
            <w:tcW w:w="2531" w:type="dxa"/>
            <w:vAlign w:val="center"/>
          </w:tcPr>
          <w:p>
            <w:pPr>
              <w:spacing w:line="400" w:lineRule="exact"/>
              <w:jc w:val="center"/>
              <w:rPr>
                <w:szCs w:val="21"/>
              </w:rPr>
            </w:pPr>
            <w:r>
              <w:rPr>
                <w:rFonts w:hint="eastAsia"/>
                <w:szCs w:val="21"/>
              </w:rPr>
              <w:t>投标有效期</w:t>
            </w:r>
          </w:p>
        </w:tc>
        <w:tc>
          <w:tcPr>
            <w:tcW w:w="6434" w:type="dxa"/>
            <w:gridSpan w:val="2"/>
            <w:vAlign w:val="center"/>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13" w:type="dxa"/>
            <w:vAlign w:val="center"/>
          </w:tcPr>
          <w:p>
            <w:pPr>
              <w:spacing w:line="400" w:lineRule="exact"/>
              <w:jc w:val="center"/>
              <w:rPr>
                <w:szCs w:val="21"/>
              </w:rPr>
            </w:pPr>
            <w:r>
              <w:rPr>
                <w:rFonts w:hint="eastAsia"/>
                <w:szCs w:val="21"/>
              </w:rPr>
              <w:t>10</w:t>
            </w:r>
          </w:p>
        </w:tc>
        <w:tc>
          <w:tcPr>
            <w:tcW w:w="2531" w:type="dxa"/>
            <w:vAlign w:val="center"/>
          </w:tcPr>
          <w:p>
            <w:pPr>
              <w:spacing w:line="400" w:lineRule="exact"/>
              <w:jc w:val="center"/>
              <w:rPr>
                <w:szCs w:val="21"/>
              </w:rPr>
            </w:pPr>
            <w:r>
              <w:rPr>
                <w:rFonts w:hint="eastAsia"/>
                <w:szCs w:val="21"/>
              </w:rPr>
              <w:t>其他</w:t>
            </w:r>
          </w:p>
        </w:tc>
        <w:tc>
          <w:tcPr>
            <w:tcW w:w="6434" w:type="dxa"/>
            <w:gridSpan w:val="2"/>
            <w:vAlign w:val="center"/>
          </w:tcPr>
          <w:p>
            <w:pPr>
              <w:spacing w:line="400" w:lineRule="exact"/>
              <w:rPr>
                <w:szCs w:val="21"/>
              </w:rPr>
            </w:pPr>
          </w:p>
        </w:tc>
      </w:tr>
    </w:tbl>
    <w:p>
      <w:pPr>
        <w:spacing w:line="700" w:lineRule="exact"/>
        <w:rPr>
          <w:sz w:val="24"/>
        </w:rPr>
      </w:pPr>
    </w:p>
    <w:p>
      <w:pPr>
        <w:spacing w:line="500" w:lineRule="exact"/>
        <w:rPr>
          <w:sz w:val="24"/>
        </w:rPr>
      </w:pPr>
      <w:r>
        <w:rPr>
          <w:rFonts w:hint="eastAsia"/>
          <w:sz w:val="24"/>
        </w:rPr>
        <w:t>投标人（企业电子章）：</w:t>
      </w:r>
      <w:r>
        <w:rPr>
          <w:rFonts w:hint="eastAsia"/>
          <w:sz w:val="24"/>
          <w:u w:val="single"/>
        </w:rPr>
        <w:t xml:space="preserve">                    </w:t>
      </w:r>
    </w:p>
    <w:p>
      <w:pPr>
        <w:spacing w:line="500" w:lineRule="exact"/>
        <w:rPr>
          <w:sz w:val="24"/>
          <w:u w:val="single"/>
        </w:rPr>
      </w:pPr>
      <w:r>
        <w:rPr>
          <w:rFonts w:hint="eastAsia"/>
          <w:sz w:val="24"/>
        </w:rPr>
        <w:t>法定代表人或其委托代理人（签字或个人电子章）：</w:t>
      </w:r>
      <w:r>
        <w:rPr>
          <w:rFonts w:hint="eastAsia"/>
          <w:sz w:val="24"/>
          <w:u w:val="single"/>
        </w:rPr>
        <w:t xml:space="preserve">                    </w:t>
      </w:r>
    </w:p>
    <w:p>
      <w:pPr>
        <w:spacing w:line="500" w:lineRule="exact"/>
        <w:ind w:firstLine="4560" w:firstLineChars="1900"/>
        <w:rPr>
          <w:sz w:val="24"/>
        </w:rPr>
      </w:pPr>
      <w:r>
        <w:rPr>
          <w:rFonts w:hint="eastAsia"/>
          <w:sz w:val="24"/>
          <w:u w:val="single"/>
        </w:rPr>
        <w:t xml:space="preserve">       </w:t>
      </w:r>
      <w:r>
        <w:rPr>
          <w:rFonts w:hint="eastAsia"/>
          <w:sz w:val="24"/>
        </w:rPr>
        <w:t xml:space="preserve">年_____月_____日 </w:t>
      </w:r>
    </w:p>
    <w:p>
      <w:pPr>
        <w:rPr>
          <w:sz w:val="24"/>
        </w:rPr>
      </w:pPr>
      <w:bookmarkStart w:id="202" w:name="_Toc32422_WPSOffice_Level1"/>
      <w:bookmarkStart w:id="203" w:name="_Toc31790_WPSOffice_Level1"/>
      <w:bookmarkStart w:id="204" w:name="_Toc26045_WPSOffice_Level1"/>
      <w:bookmarkStart w:id="205" w:name="_Toc7789_WPSOffice_Level1"/>
      <w:r>
        <w:rPr>
          <w:rFonts w:hint="eastAsia"/>
          <w:sz w:val="24"/>
        </w:rPr>
        <w:br w:type="page"/>
      </w:r>
    </w:p>
    <w:p>
      <w:pPr>
        <w:spacing w:line="700" w:lineRule="exact"/>
        <w:jc w:val="center"/>
        <w:rPr>
          <w:b/>
          <w:bCs/>
          <w:sz w:val="28"/>
          <w:szCs w:val="28"/>
        </w:rPr>
      </w:pPr>
      <w:r>
        <w:rPr>
          <w:rFonts w:hint="eastAsia"/>
          <w:b/>
          <w:bCs/>
          <w:sz w:val="28"/>
          <w:szCs w:val="28"/>
        </w:rPr>
        <w:t>二、法定代表人身份证明及授权委托书</w:t>
      </w:r>
      <w:bookmarkEnd w:id="202"/>
      <w:bookmarkEnd w:id="203"/>
      <w:bookmarkEnd w:id="204"/>
      <w:bookmarkEnd w:id="205"/>
    </w:p>
    <w:p>
      <w:pPr>
        <w:spacing w:line="700" w:lineRule="exact"/>
        <w:rPr>
          <w:sz w:val="24"/>
        </w:rPr>
      </w:pPr>
    </w:p>
    <w:p>
      <w:pPr>
        <w:spacing w:line="500" w:lineRule="exact"/>
        <w:rPr>
          <w:sz w:val="24"/>
          <w:u w:val="single"/>
        </w:rPr>
      </w:pPr>
      <w:r>
        <w:rPr>
          <w:rFonts w:hint="eastAsia"/>
          <w:sz w:val="24"/>
        </w:rPr>
        <w:t>投标人名称：</w:t>
      </w:r>
      <w:r>
        <w:rPr>
          <w:rFonts w:hint="eastAsia"/>
          <w:sz w:val="24"/>
          <w:u w:val="single"/>
        </w:rPr>
        <w:t xml:space="preserve">                        </w:t>
      </w:r>
    </w:p>
    <w:p>
      <w:pPr>
        <w:spacing w:line="500" w:lineRule="exact"/>
        <w:rPr>
          <w:sz w:val="24"/>
        </w:rPr>
      </w:pPr>
      <w:r>
        <w:rPr>
          <w:rFonts w:hint="eastAsia"/>
          <w:sz w:val="24"/>
        </w:rPr>
        <w:t>单位性质：</w:t>
      </w:r>
      <w:r>
        <w:rPr>
          <w:rFonts w:hint="eastAsia"/>
          <w:sz w:val="24"/>
          <w:u w:val="single"/>
        </w:rPr>
        <w:t xml:space="preserve">                        </w:t>
      </w:r>
    </w:p>
    <w:p>
      <w:pPr>
        <w:spacing w:line="500" w:lineRule="exact"/>
        <w:rPr>
          <w:sz w:val="24"/>
          <w:u w:val="single"/>
        </w:rPr>
      </w:pPr>
      <w:r>
        <w:rPr>
          <w:rFonts w:hint="eastAsia"/>
          <w:sz w:val="24"/>
        </w:rPr>
        <w:t>地址：</w:t>
      </w:r>
      <w:r>
        <w:rPr>
          <w:rFonts w:hint="eastAsia"/>
          <w:sz w:val="24"/>
          <w:u w:val="single"/>
        </w:rPr>
        <w:t xml:space="preserve">                        </w:t>
      </w:r>
    </w:p>
    <w:p>
      <w:pPr>
        <w:spacing w:line="500" w:lineRule="exact"/>
        <w:rPr>
          <w:sz w:val="24"/>
        </w:rPr>
      </w:pPr>
      <w:r>
        <w:rPr>
          <w:rFonts w:hint="eastAsia"/>
          <w:sz w:val="24"/>
        </w:rPr>
        <w:t>成立时间：</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spacing w:line="500" w:lineRule="exact"/>
        <w:rPr>
          <w:sz w:val="24"/>
        </w:rPr>
      </w:pPr>
      <w:r>
        <w:rPr>
          <w:rFonts w:hint="eastAsia"/>
          <w:sz w:val="24"/>
        </w:rPr>
        <w:t>经营期限：</w:t>
      </w:r>
      <w:r>
        <w:rPr>
          <w:rFonts w:hint="eastAsia"/>
          <w:sz w:val="24"/>
          <w:u w:val="single"/>
        </w:rPr>
        <w:t xml:space="preserve">            </w:t>
      </w:r>
    </w:p>
    <w:p>
      <w:pPr>
        <w:spacing w:line="500" w:lineRule="exact"/>
        <w:rPr>
          <w:sz w:val="24"/>
          <w:u w:val="single"/>
        </w:rPr>
      </w:pPr>
      <w:r>
        <w:rPr>
          <w:rFonts w:hint="eastAsia"/>
          <w:sz w:val="24"/>
        </w:rPr>
        <w:t>姓名：</w:t>
      </w:r>
      <w:r>
        <w:rPr>
          <w:rFonts w:hint="eastAsia"/>
          <w:sz w:val="24"/>
          <w:u w:val="single"/>
        </w:rPr>
        <w:t xml:space="preserve">      </w:t>
      </w:r>
      <w:r>
        <w:rPr>
          <w:rFonts w:hint="eastAsia"/>
          <w:sz w:val="24"/>
        </w:rPr>
        <w:t>性别：</w:t>
      </w:r>
      <w:r>
        <w:rPr>
          <w:rFonts w:hint="eastAsia"/>
          <w:sz w:val="24"/>
          <w:u w:val="single"/>
        </w:rPr>
        <w:t xml:space="preserve">      </w:t>
      </w:r>
      <w:r>
        <w:rPr>
          <w:rFonts w:hint="eastAsia"/>
          <w:sz w:val="24"/>
        </w:rPr>
        <w:t>年龄：</w:t>
      </w:r>
      <w:r>
        <w:rPr>
          <w:rFonts w:hint="eastAsia"/>
          <w:sz w:val="24"/>
          <w:u w:val="single"/>
        </w:rPr>
        <w:t xml:space="preserve">      </w:t>
      </w:r>
      <w:r>
        <w:rPr>
          <w:rFonts w:hint="eastAsia"/>
          <w:sz w:val="24"/>
        </w:rPr>
        <w:t>职务：</w:t>
      </w:r>
      <w:r>
        <w:rPr>
          <w:rFonts w:hint="eastAsia"/>
          <w:sz w:val="24"/>
          <w:u w:val="single"/>
        </w:rPr>
        <w:t xml:space="preserve">      </w:t>
      </w:r>
    </w:p>
    <w:p>
      <w:pPr>
        <w:spacing w:line="500" w:lineRule="exact"/>
        <w:rPr>
          <w:sz w:val="24"/>
        </w:rPr>
      </w:pPr>
      <w:r>
        <w:rPr>
          <w:rFonts w:hint="eastAsia"/>
          <w:sz w:val="24"/>
        </w:rPr>
        <w:t xml:space="preserve">系 </w:t>
      </w:r>
      <w:r>
        <w:rPr>
          <w:rFonts w:hint="eastAsia"/>
          <w:sz w:val="24"/>
          <w:u w:val="single"/>
        </w:rPr>
        <w:t xml:space="preserve">          </w:t>
      </w:r>
      <w:r>
        <w:rPr>
          <w:rFonts w:hint="eastAsia"/>
          <w:sz w:val="24"/>
        </w:rPr>
        <w:t>（投标人名称）的法定代表人。</w:t>
      </w:r>
    </w:p>
    <w:p>
      <w:pPr>
        <w:spacing w:line="500" w:lineRule="exact"/>
        <w:rPr>
          <w:sz w:val="24"/>
        </w:rPr>
      </w:pPr>
    </w:p>
    <w:p>
      <w:pPr>
        <w:spacing w:line="500" w:lineRule="exact"/>
        <w:rPr>
          <w:sz w:val="24"/>
        </w:rPr>
      </w:pPr>
    </w:p>
    <w:p>
      <w:pPr>
        <w:spacing w:line="500" w:lineRule="exact"/>
        <w:rPr>
          <w:sz w:val="24"/>
        </w:rPr>
      </w:pPr>
      <w:r>
        <w:rPr>
          <w:rFonts w:hint="eastAsia"/>
          <w:sz w:val="24"/>
        </w:rPr>
        <w:t>特此证明。</w:t>
      </w:r>
    </w:p>
    <w:p>
      <w:pPr>
        <w:spacing w:line="500" w:lineRule="exact"/>
        <w:rPr>
          <w:sz w:val="24"/>
        </w:rPr>
      </w:pPr>
    </w:p>
    <w:p>
      <w:pPr>
        <w:spacing w:line="500" w:lineRule="exact"/>
        <w:rPr>
          <w:rFonts w:hint="eastAsia" w:eastAsia="宋体"/>
          <w:sz w:val="24"/>
          <w:lang w:eastAsia="zh-CN"/>
        </w:rPr>
      </w:pPr>
      <w:r>
        <w:rPr>
          <w:rFonts w:hint="eastAsia"/>
          <w:sz w:val="24"/>
        </w:rPr>
        <w:t>附：法人代表身份证</w:t>
      </w:r>
      <w:r>
        <w:rPr>
          <w:rFonts w:hint="eastAsia"/>
          <w:sz w:val="24"/>
          <w:lang w:val="en-US" w:eastAsia="zh-CN"/>
        </w:rPr>
        <w:t>扫描件</w:t>
      </w:r>
    </w:p>
    <w:p>
      <w:pPr>
        <w:spacing w:line="500" w:lineRule="exact"/>
        <w:rPr>
          <w:sz w:val="24"/>
        </w:rPr>
      </w:pPr>
    </w:p>
    <w:p>
      <w:pPr>
        <w:spacing w:line="500" w:lineRule="exact"/>
        <w:ind w:firstLine="3120" w:firstLineChars="1300"/>
        <w:rPr>
          <w:sz w:val="24"/>
        </w:rPr>
      </w:pPr>
      <w:r>
        <w:rPr>
          <w:rFonts w:hint="eastAsia"/>
          <w:sz w:val="24"/>
        </w:rPr>
        <w:t>投标人：</w:t>
      </w:r>
      <w:r>
        <w:rPr>
          <w:rFonts w:hint="eastAsia"/>
          <w:sz w:val="24"/>
          <w:u w:val="single"/>
        </w:rPr>
        <w:t xml:space="preserve">              </w:t>
      </w:r>
      <w:r>
        <w:rPr>
          <w:rFonts w:hint="eastAsia"/>
          <w:sz w:val="24"/>
        </w:rPr>
        <w:t>（企业电子章）</w:t>
      </w:r>
    </w:p>
    <w:p>
      <w:pPr>
        <w:spacing w:line="500" w:lineRule="exact"/>
        <w:rPr>
          <w:sz w:val="24"/>
        </w:rPr>
      </w:pPr>
    </w:p>
    <w:p>
      <w:pPr>
        <w:spacing w:line="500" w:lineRule="exact"/>
        <w:rPr>
          <w:sz w:val="24"/>
        </w:rPr>
      </w:pPr>
      <w:r>
        <w:rPr>
          <w:rFonts w:hint="eastAsia"/>
          <w:sz w:val="24"/>
        </w:rPr>
        <w:t xml:space="preserve">                                              </w:t>
      </w:r>
      <w:r>
        <w:rPr>
          <w:rFonts w:hint="eastAsia"/>
          <w:i/>
          <w:iCs/>
          <w:sz w:val="24"/>
          <w:u w:val="single"/>
        </w:rPr>
        <w:t xml:space="preserve">         </w:t>
      </w:r>
      <w:r>
        <w:rPr>
          <w:rFonts w:hint="eastAsia"/>
          <w:sz w:val="24"/>
        </w:rPr>
        <w:t>年</w:t>
      </w:r>
      <w:r>
        <w:rPr>
          <w:rFonts w:hint="eastAsia"/>
          <w:i/>
          <w:iCs/>
          <w:sz w:val="24"/>
          <w:u w:val="single"/>
        </w:rPr>
        <w:t xml:space="preserve">       </w:t>
      </w:r>
      <w:r>
        <w:rPr>
          <w:rFonts w:hint="eastAsia"/>
          <w:sz w:val="24"/>
        </w:rPr>
        <w:t>月</w:t>
      </w:r>
      <w:r>
        <w:rPr>
          <w:rFonts w:hint="eastAsia"/>
          <w:i/>
          <w:iCs/>
          <w:sz w:val="24"/>
          <w:u w:val="single"/>
        </w:rPr>
        <w:t xml:space="preserve">       </w:t>
      </w:r>
      <w:r>
        <w:rPr>
          <w:rFonts w:hint="eastAsia"/>
          <w:sz w:val="24"/>
        </w:rPr>
        <w:t>日</w:t>
      </w:r>
    </w:p>
    <w:p>
      <w:pPr>
        <w:spacing w:line="700" w:lineRule="exact"/>
        <w:rPr>
          <w:sz w:val="24"/>
        </w:rPr>
      </w:pPr>
      <w:r>
        <w:rPr>
          <w:rFonts w:hint="eastAsia"/>
          <w:sz w:val="24"/>
        </w:rPr>
        <w:br w:type="page"/>
      </w:r>
    </w:p>
    <w:p>
      <w:pPr>
        <w:spacing w:line="700" w:lineRule="exact"/>
        <w:jc w:val="center"/>
        <w:rPr>
          <w:b/>
          <w:bCs/>
          <w:sz w:val="28"/>
          <w:szCs w:val="28"/>
        </w:rPr>
      </w:pPr>
      <w:r>
        <w:rPr>
          <w:rFonts w:hint="eastAsia"/>
          <w:b/>
          <w:bCs/>
          <w:sz w:val="28"/>
          <w:szCs w:val="28"/>
        </w:rPr>
        <w:t>三、授权委托书</w:t>
      </w:r>
    </w:p>
    <w:p>
      <w:pPr>
        <w:spacing w:line="700" w:lineRule="exact"/>
        <w:rPr>
          <w:sz w:val="24"/>
        </w:rPr>
      </w:pPr>
    </w:p>
    <w:p>
      <w:pPr>
        <w:spacing w:line="500" w:lineRule="exact"/>
        <w:ind w:firstLine="480" w:firstLineChars="200"/>
        <w:rPr>
          <w:sz w:val="24"/>
        </w:rPr>
      </w:pPr>
      <w:r>
        <w:rPr>
          <w:rFonts w:hint="eastAsia"/>
          <w:sz w:val="24"/>
        </w:rPr>
        <w:t>本人</w:t>
      </w:r>
      <w:r>
        <w:rPr>
          <w:rFonts w:hint="eastAsia"/>
          <w:i/>
          <w:iCs/>
          <w:sz w:val="24"/>
          <w:u w:val="single"/>
        </w:rPr>
        <w:t xml:space="preserve">       </w:t>
      </w:r>
      <w:r>
        <w:rPr>
          <w:rFonts w:hint="eastAsia"/>
          <w:sz w:val="24"/>
        </w:rPr>
        <w:t>（姓名）系</w:t>
      </w:r>
      <w:r>
        <w:rPr>
          <w:rFonts w:hint="eastAsia"/>
          <w:sz w:val="24"/>
          <w:u w:val="single"/>
        </w:rPr>
        <w:t xml:space="preserve">                    </w:t>
      </w:r>
      <w:r>
        <w:rPr>
          <w:rFonts w:hint="eastAsia"/>
          <w:sz w:val="24"/>
          <w:u w:val="single"/>
        </w:rPr>
        <w:tab/>
      </w:r>
      <w:r>
        <w:rPr>
          <w:rFonts w:hint="eastAsia"/>
          <w:sz w:val="24"/>
          <w:u w:val="single"/>
        </w:rPr>
        <w:t xml:space="preserve"> </w:t>
      </w:r>
      <w:r>
        <w:rPr>
          <w:rFonts w:hint="eastAsia"/>
          <w:sz w:val="24"/>
        </w:rPr>
        <w:t>（投标人名称）的法定代表人，现委托</w:t>
      </w:r>
      <w:r>
        <w:rPr>
          <w:rFonts w:hint="eastAsia"/>
          <w:sz w:val="24"/>
          <w:u w:val="single"/>
        </w:rPr>
        <w:t xml:space="preserve"> </w:t>
      </w:r>
      <w:r>
        <w:rPr>
          <w:rFonts w:hint="eastAsia"/>
          <w:sz w:val="24"/>
          <w:u w:val="single"/>
        </w:rPr>
        <w:tab/>
      </w:r>
      <w:r>
        <w:rPr>
          <w:rFonts w:hint="eastAsia"/>
          <w:sz w:val="24"/>
          <w:u w:val="single"/>
        </w:rPr>
        <w:t xml:space="preserve">        </w:t>
      </w:r>
      <w:r>
        <w:rPr>
          <w:rFonts w:hint="eastAsia"/>
          <w:sz w:val="24"/>
        </w:rPr>
        <w:t>（姓名）为我方代理人。代理人根据授权，以我方名义签署、澄清、说明、补正、递交、撤回、修改</w:t>
      </w:r>
      <w:r>
        <w:rPr>
          <w:rFonts w:hint="eastAsia"/>
          <w:sz w:val="24"/>
          <w:u w:val="single"/>
        </w:rPr>
        <w:t xml:space="preserve">          </w:t>
      </w:r>
      <w:r>
        <w:rPr>
          <w:rFonts w:hint="eastAsia"/>
          <w:sz w:val="24"/>
          <w:u w:val="single"/>
        </w:rPr>
        <w:tab/>
      </w:r>
      <w:r>
        <w:rPr>
          <w:rFonts w:hint="eastAsia"/>
          <w:sz w:val="24"/>
        </w:rPr>
        <w:t>（项目名称）投标文件、签订合同和处理有关事宜，其法律后果由我方承担。</w:t>
      </w:r>
    </w:p>
    <w:p>
      <w:pPr>
        <w:spacing w:line="500" w:lineRule="exact"/>
        <w:ind w:firstLine="480" w:firstLineChars="200"/>
        <w:rPr>
          <w:sz w:val="24"/>
        </w:rPr>
      </w:pPr>
      <w:r>
        <w:rPr>
          <w:rFonts w:hint="eastAsia"/>
          <w:sz w:val="24"/>
        </w:rPr>
        <w:t>委托期限：</w:t>
      </w:r>
      <w:r>
        <w:rPr>
          <w:rFonts w:hint="eastAsia"/>
          <w:sz w:val="24"/>
          <w:u w:val="single"/>
        </w:rPr>
        <w:t xml:space="preserve">                     </w:t>
      </w:r>
      <w:r>
        <w:rPr>
          <w:rFonts w:hint="eastAsia"/>
          <w:sz w:val="24"/>
        </w:rPr>
        <w:t>。</w:t>
      </w:r>
    </w:p>
    <w:p>
      <w:pPr>
        <w:spacing w:line="500" w:lineRule="exact"/>
        <w:ind w:firstLine="480" w:firstLineChars="200"/>
        <w:rPr>
          <w:sz w:val="24"/>
        </w:rPr>
      </w:pPr>
      <w:r>
        <w:rPr>
          <w:rFonts w:hint="eastAsia"/>
          <w:sz w:val="24"/>
        </w:rPr>
        <w:t>代理人无转委托权。</w:t>
      </w:r>
    </w:p>
    <w:p>
      <w:pPr>
        <w:spacing w:line="500" w:lineRule="exact"/>
        <w:ind w:firstLine="480" w:firstLineChars="200"/>
        <w:rPr>
          <w:rFonts w:hint="eastAsia" w:eastAsia="宋体"/>
          <w:sz w:val="24"/>
          <w:lang w:val="en-US" w:eastAsia="zh-CN"/>
        </w:rPr>
      </w:pPr>
      <w:r>
        <w:rPr>
          <w:rFonts w:hint="eastAsia"/>
          <w:sz w:val="24"/>
        </w:rPr>
        <w:t>附：法定代表人身份证</w:t>
      </w:r>
      <w:r>
        <w:rPr>
          <w:rFonts w:hint="eastAsia"/>
          <w:sz w:val="24"/>
          <w:lang w:val="en-US" w:eastAsia="zh-CN"/>
        </w:rPr>
        <w:t>扫描件</w:t>
      </w:r>
      <w:r>
        <w:rPr>
          <w:rFonts w:hint="eastAsia"/>
          <w:sz w:val="24"/>
        </w:rPr>
        <w:t>及委托代理人身份证</w:t>
      </w:r>
      <w:r>
        <w:rPr>
          <w:rFonts w:hint="eastAsia"/>
          <w:sz w:val="24"/>
          <w:lang w:val="en-US" w:eastAsia="zh-CN"/>
        </w:rPr>
        <w:t>扫描件</w:t>
      </w:r>
    </w:p>
    <w:p>
      <w:pPr>
        <w:spacing w:line="500" w:lineRule="exact"/>
        <w:ind w:firstLine="480" w:firstLineChars="200"/>
        <w:rPr>
          <w:sz w:val="24"/>
        </w:rPr>
      </w:pPr>
    </w:p>
    <w:p>
      <w:pPr>
        <w:spacing w:line="500" w:lineRule="exact"/>
        <w:ind w:firstLine="480" w:firstLineChars="200"/>
        <w:rPr>
          <w:sz w:val="24"/>
        </w:rPr>
      </w:pPr>
    </w:p>
    <w:p>
      <w:pPr>
        <w:spacing w:line="500" w:lineRule="exact"/>
        <w:ind w:firstLine="480" w:firstLineChars="200"/>
        <w:rPr>
          <w:sz w:val="24"/>
        </w:rPr>
      </w:pPr>
    </w:p>
    <w:p>
      <w:pPr>
        <w:spacing w:line="500" w:lineRule="exact"/>
        <w:ind w:firstLine="480" w:firstLineChars="200"/>
        <w:rPr>
          <w:sz w:val="24"/>
        </w:rPr>
      </w:pPr>
      <w:r>
        <w:rPr>
          <w:rFonts w:hint="eastAsia"/>
          <w:sz w:val="24"/>
        </w:rPr>
        <w:t>投标人：</w:t>
      </w:r>
      <w:r>
        <w:rPr>
          <w:rFonts w:hint="eastAsia"/>
          <w:sz w:val="24"/>
          <w:u w:val="single"/>
        </w:rPr>
        <w:t xml:space="preserve">                 </w:t>
      </w:r>
      <w:r>
        <w:rPr>
          <w:rFonts w:hint="eastAsia"/>
          <w:sz w:val="24"/>
        </w:rPr>
        <w:t>（企业电子章）</w:t>
      </w:r>
    </w:p>
    <w:p>
      <w:pPr>
        <w:spacing w:line="500" w:lineRule="exact"/>
        <w:ind w:firstLine="480" w:firstLineChars="200"/>
        <w:rPr>
          <w:sz w:val="24"/>
        </w:rPr>
      </w:pPr>
      <w:r>
        <w:rPr>
          <w:rFonts w:hint="eastAsia"/>
          <w:sz w:val="24"/>
        </w:rPr>
        <w:t>法定代表人：</w:t>
      </w:r>
      <w:r>
        <w:rPr>
          <w:rFonts w:hint="eastAsia"/>
          <w:sz w:val="24"/>
          <w:u w:val="single"/>
        </w:rPr>
        <w:t xml:space="preserve">                 </w:t>
      </w:r>
      <w:r>
        <w:rPr>
          <w:rFonts w:hint="eastAsia"/>
          <w:sz w:val="24"/>
        </w:rPr>
        <w:t>（签字或个人电子章）</w:t>
      </w:r>
    </w:p>
    <w:p>
      <w:pPr>
        <w:spacing w:line="500" w:lineRule="exact"/>
        <w:ind w:firstLine="480" w:firstLineChars="200"/>
        <w:rPr>
          <w:sz w:val="24"/>
        </w:rPr>
      </w:pPr>
    </w:p>
    <w:p>
      <w:pPr>
        <w:spacing w:line="500" w:lineRule="exact"/>
        <w:ind w:firstLine="480" w:firstLineChars="200"/>
        <w:rPr>
          <w:sz w:val="24"/>
        </w:rPr>
      </w:pPr>
      <w:r>
        <w:rPr>
          <w:rFonts w:hint="eastAsia"/>
          <w:sz w:val="24"/>
        </w:rPr>
        <w:t xml:space="preserve">   </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spacing w:line="700" w:lineRule="exact"/>
        <w:rPr>
          <w:sz w:val="24"/>
        </w:rPr>
      </w:pPr>
    </w:p>
    <w:p>
      <w:pPr>
        <w:spacing w:line="700" w:lineRule="exact"/>
        <w:rPr>
          <w:sz w:val="24"/>
        </w:rPr>
      </w:pPr>
    </w:p>
    <w:p>
      <w:pPr>
        <w:spacing w:line="700" w:lineRule="exact"/>
        <w:rPr>
          <w:sz w:val="24"/>
        </w:rPr>
      </w:pPr>
    </w:p>
    <w:p>
      <w:pPr>
        <w:spacing w:line="700" w:lineRule="exact"/>
        <w:rPr>
          <w:sz w:val="24"/>
        </w:rPr>
        <w:sectPr>
          <w:pgSz w:w="11911" w:h="16838"/>
          <w:pgMar w:top="1440" w:right="1080" w:bottom="1440" w:left="1080" w:header="0" w:footer="1060" w:gutter="0"/>
          <w:pgNumType w:fmt="numberInDash"/>
          <w:cols w:space="720" w:num="1"/>
          <w:rtlGutter w:val="1"/>
        </w:sectPr>
      </w:pPr>
    </w:p>
    <w:p>
      <w:pPr>
        <w:spacing w:line="700" w:lineRule="exact"/>
        <w:jc w:val="center"/>
        <w:rPr>
          <w:b/>
          <w:bCs/>
          <w:sz w:val="28"/>
          <w:szCs w:val="28"/>
          <w:lang w:val="zh-CN"/>
        </w:rPr>
      </w:pPr>
      <w:bookmarkStart w:id="206" w:name="_Toc28206_WPSOffice_Level1"/>
      <w:bookmarkStart w:id="207" w:name="_Toc10248_WPSOffice_Level1"/>
      <w:bookmarkStart w:id="208" w:name="_Toc3591_WPSOffice_Level1"/>
      <w:bookmarkStart w:id="209" w:name="_Toc30894_WPSOffice_Level1"/>
      <w:r>
        <w:rPr>
          <w:rFonts w:hint="eastAsia"/>
          <w:b/>
          <w:bCs/>
          <w:sz w:val="28"/>
          <w:szCs w:val="28"/>
          <w:lang w:val="en-US" w:eastAsia="zh-CN"/>
        </w:rPr>
        <w:t>四</w:t>
      </w:r>
      <w:r>
        <w:rPr>
          <w:rFonts w:hint="eastAsia"/>
          <w:b/>
          <w:bCs/>
          <w:sz w:val="28"/>
          <w:szCs w:val="28"/>
          <w:lang w:val="zh-CN"/>
        </w:rPr>
        <w:t>、资格证明资料</w:t>
      </w:r>
      <w:bookmarkEnd w:id="206"/>
      <w:bookmarkEnd w:id="207"/>
      <w:bookmarkEnd w:id="208"/>
      <w:bookmarkEnd w:id="209"/>
    </w:p>
    <w:p>
      <w:pPr>
        <w:spacing w:line="700" w:lineRule="exact"/>
        <w:jc w:val="center"/>
        <w:rPr>
          <w:sz w:val="24"/>
        </w:rPr>
      </w:pPr>
      <w:r>
        <w:rPr>
          <w:rFonts w:hint="eastAsia"/>
          <w:sz w:val="24"/>
        </w:rPr>
        <w:t>（一）基本情况表</w:t>
      </w:r>
    </w:p>
    <w:tbl>
      <w:tblPr>
        <w:tblStyle w:val="16"/>
        <w:tblW w:w="9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3"/>
        <w:gridCol w:w="919"/>
        <w:gridCol w:w="1183"/>
        <w:gridCol w:w="1226"/>
        <w:gridCol w:w="1331"/>
        <w:gridCol w:w="327"/>
        <w:gridCol w:w="1193"/>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223" w:type="dxa"/>
            <w:vAlign w:val="center"/>
          </w:tcPr>
          <w:p>
            <w:pPr>
              <w:spacing w:line="500" w:lineRule="exact"/>
              <w:jc w:val="center"/>
              <w:rPr>
                <w:sz w:val="24"/>
              </w:rPr>
            </w:pPr>
            <w:r>
              <w:rPr>
                <w:rFonts w:hint="eastAsia"/>
                <w:sz w:val="24"/>
              </w:rPr>
              <w:t>投标人名称</w:t>
            </w:r>
          </w:p>
        </w:tc>
        <w:tc>
          <w:tcPr>
            <w:tcW w:w="7510" w:type="dxa"/>
            <w:gridSpan w:val="7"/>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223" w:type="dxa"/>
            <w:vAlign w:val="center"/>
          </w:tcPr>
          <w:p>
            <w:pPr>
              <w:spacing w:line="500" w:lineRule="exact"/>
              <w:jc w:val="center"/>
              <w:rPr>
                <w:sz w:val="24"/>
              </w:rPr>
            </w:pPr>
            <w:r>
              <w:rPr>
                <w:rFonts w:hint="eastAsia"/>
                <w:sz w:val="24"/>
              </w:rPr>
              <w:t>注册地址</w:t>
            </w:r>
          </w:p>
        </w:tc>
        <w:tc>
          <w:tcPr>
            <w:tcW w:w="3328" w:type="dxa"/>
            <w:gridSpan w:val="3"/>
            <w:vAlign w:val="center"/>
          </w:tcPr>
          <w:p>
            <w:pPr>
              <w:spacing w:line="500" w:lineRule="exact"/>
              <w:jc w:val="center"/>
              <w:rPr>
                <w:sz w:val="24"/>
              </w:rPr>
            </w:pPr>
          </w:p>
        </w:tc>
        <w:tc>
          <w:tcPr>
            <w:tcW w:w="1331" w:type="dxa"/>
            <w:vAlign w:val="center"/>
          </w:tcPr>
          <w:p>
            <w:pPr>
              <w:spacing w:line="500" w:lineRule="exact"/>
              <w:jc w:val="center"/>
              <w:rPr>
                <w:sz w:val="24"/>
              </w:rPr>
            </w:pPr>
            <w:r>
              <w:rPr>
                <w:rFonts w:hint="eastAsia"/>
                <w:sz w:val="24"/>
              </w:rPr>
              <w:t>邮政编码</w:t>
            </w:r>
          </w:p>
        </w:tc>
        <w:tc>
          <w:tcPr>
            <w:tcW w:w="2851" w:type="dxa"/>
            <w:gridSpan w:val="3"/>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223" w:type="dxa"/>
            <w:vMerge w:val="restart"/>
            <w:vAlign w:val="center"/>
          </w:tcPr>
          <w:p>
            <w:pPr>
              <w:spacing w:line="500" w:lineRule="exact"/>
              <w:jc w:val="center"/>
              <w:rPr>
                <w:sz w:val="24"/>
              </w:rPr>
            </w:pPr>
            <w:r>
              <w:rPr>
                <w:rFonts w:hint="eastAsia"/>
                <w:sz w:val="24"/>
              </w:rPr>
              <w:t>联系方式</w:t>
            </w:r>
          </w:p>
        </w:tc>
        <w:tc>
          <w:tcPr>
            <w:tcW w:w="919" w:type="dxa"/>
            <w:vAlign w:val="center"/>
          </w:tcPr>
          <w:p>
            <w:pPr>
              <w:spacing w:line="500" w:lineRule="exact"/>
              <w:jc w:val="center"/>
              <w:rPr>
                <w:sz w:val="24"/>
              </w:rPr>
            </w:pPr>
            <w:r>
              <w:rPr>
                <w:rFonts w:hint="eastAsia"/>
                <w:sz w:val="24"/>
              </w:rPr>
              <w:t>联系人</w:t>
            </w:r>
          </w:p>
        </w:tc>
        <w:tc>
          <w:tcPr>
            <w:tcW w:w="2409" w:type="dxa"/>
            <w:gridSpan w:val="2"/>
            <w:vAlign w:val="center"/>
          </w:tcPr>
          <w:p>
            <w:pPr>
              <w:spacing w:line="500" w:lineRule="exact"/>
              <w:jc w:val="center"/>
              <w:rPr>
                <w:sz w:val="24"/>
              </w:rPr>
            </w:pPr>
          </w:p>
        </w:tc>
        <w:tc>
          <w:tcPr>
            <w:tcW w:w="1331" w:type="dxa"/>
            <w:vAlign w:val="center"/>
          </w:tcPr>
          <w:p>
            <w:pPr>
              <w:spacing w:line="500" w:lineRule="exact"/>
              <w:jc w:val="center"/>
              <w:rPr>
                <w:sz w:val="24"/>
              </w:rPr>
            </w:pPr>
            <w:r>
              <w:rPr>
                <w:rFonts w:hint="eastAsia"/>
                <w:sz w:val="24"/>
              </w:rPr>
              <w:t>电话</w:t>
            </w:r>
          </w:p>
        </w:tc>
        <w:tc>
          <w:tcPr>
            <w:tcW w:w="2851" w:type="dxa"/>
            <w:gridSpan w:val="3"/>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 w:hRule="atLeast"/>
          <w:jc w:val="center"/>
        </w:trPr>
        <w:tc>
          <w:tcPr>
            <w:tcW w:w="2223" w:type="dxa"/>
            <w:vMerge w:val="continue"/>
            <w:vAlign w:val="center"/>
          </w:tcPr>
          <w:p>
            <w:pPr>
              <w:spacing w:line="500" w:lineRule="exact"/>
              <w:jc w:val="center"/>
              <w:rPr>
                <w:sz w:val="24"/>
              </w:rPr>
            </w:pPr>
          </w:p>
        </w:tc>
        <w:tc>
          <w:tcPr>
            <w:tcW w:w="919" w:type="dxa"/>
            <w:vAlign w:val="center"/>
          </w:tcPr>
          <w:p>
            <w:pPr>
              <w:spacing w:line="500" w:lineRule="exact"/>
              <w:jc w:val="center"/>
              <w:rPr>
                <w:sz w:val="24"/>
              </w:rPr>
            </w:pPr>
            <w:r>
              <w:rPr>
                <w:rFonts w:hint="eastAsia"/>
                <w:sz w:val="24"/>
              </w:rPr>
              <w:t>传真</w:t>
            </w:r>
          </w:p>
        </w:tc>
        <w:tc>
          <w:tcPr>
            <w:tcW w:w="2409" w:type="dxa"/>
            <w:gridSpan w:val="2"/>
            <w:vAlign w:val="center"/>
          </w:tcPr>
          <w:p>
            <w:pPr>
              <w:spacing w:line="500" w:lineRule="exact"/>
              <w:jc w:val="center"/>
              <w:rPr>
                <w:sz w:val="24"/>
              </w:rPr>
            </w:pPr>
          </w:p>
        </w:tc>
        <w:tc>
          <w:tcPr>
            <w:tcW w:w="1331" w:type="dxa"/>
            <w:vAlign w:val="center"/>
          </w:tcPr>
          <w:p>
            <w:pPr>
              <w:spacing w:line="500" w:lineRule="exact"/>
              <w:jc w:val="center"/>
              <w:rPr>
                <w:sz w:val="24"/>
              </w:rPr>
            </w:pPr>
            <w:r>
              <w:rPr>
                <w:rFonts w:hint="eastAsia"/>
                <w:sz w:val="24"/>
              </w:rPr>
              <w:t>网址</w:t>
            </w:r>
          </w:p>
        </w:tc>
        <w:tc>
          <w:tcPr>
            <w:tcW w:w="2851" w:type="dxa"/>
            <w:gridSpan w:val="3"/>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223" w:type="dxa"/>
            <w:vAlign w:val="center"/>
          </w:tcPr>
          <w:p>
            <w:pPr>
              <w:spacing w:line="500" w:lineRule="exact"/>
              <w:jc w:val="center"/>
              <w:rPr>
                <w:sz w:val="24"/>
              </w:rPr>
            </w:pPr>
            <w:r>
              <w:rPr>
                <w:rFonts w:hint="eastAsia"/>
                <w:sz w:val="24"/>
              </w:rPr>
              <w:t>法定代表人</w:t>
            </w:r>
          </w:p>
        </w:tc>
        <w:tc>
          <w:tcPr>
            <w:tcW w:w="919" w:type="dxa"/>
            <w:vAlign w:val="center"/>
          </w:tcPr>
          <w:p>
            <w:pPr>
              <w:spacing w:line="500" w:lineRule="exact"/>
              <w:jc w:val="center"/>
              <w:rPr>
                <w:sz w:val="24"/>
              </w:rPr>
            </w:pPr>
            <w:r>
              <w:rPr>
                <w:rFonts w:hint="eastAsia"/>
                <w:sz w:val="24"/>
              </w:rPr>
              <w:t>姓名</w:t>
            </w:r>
          </w:p>
        </w:tc>
        <w:tc>
          <w:tcPr>
            <w:tcW w:w="1183" w:type="dxa"/>
            <w:vAlign w:val="center"/>
          </w:tcPr>
          <w:p>
            <w:pPr>
              <w:spacing w:line="500" w:lineRule="exact"/>
              <w:jc w:val="center"/>
              <w:rPr>
                <w:sz w:val="24"/>
              </w:rPr>
            </w:pPr>
          </w:p>
        </w:tc>
        <w:tc>
          <w:tcPr>
            <w:tcW w:w="1226" w:type="dxa"/>
            <w:vAlign w:val="center"/>
          </w:tcPr>
          <w:p>
            <w:pPr>
              <w:spacing w:line="500" w:lineRule="exact"/>
              <w:jc w:val="center"/>
              <w:rPr>
                <w:sz w:val="24"/>
              </w:rPr>
            </w:pPr>
            <w:r>
              <w:rPr>
                <w:rFonts w:hint="eastAsia"/>
                <w:sz w:val="24"/>
              </w:rPr>
              <w:t>技术职称</w:t>
            </w:r>
          </w:p>
        </w:tc>
        <w:tc>
          <w:tcPr>
            <w:tcW w:w="1331" w:type="dxa"/>
            <w:vAlign w:val="center"/>
          </w:tcPr>
          <w:p>
            <w:pPr>
              <w:spacing w:line="500" w:lineRule="exact"/>
              <w:jc w:val="center"/>
              <w:rPr>
                <w:sz w:val="24"/>
              </w:rPr>
            </w:pPr>
          </w:p>
        </w:tc>
        <w:tc>
          <w:tcPr>
            <w:tcW w:w="1520" w:type="dxa"/>
            <w:gridSpan w:val="2"/>
            <w:vAlign w:val="center"/>
          </w:tcPr>
          <w:p>
            <w:pPr>
              <w:spacing w:line="500" w:lineRule="exact"/>
              <w:jc w:val="center"/>
              <w:rPr>
                <w:sz w:val="24"/>
              </w:rPr>
            </w:pPr>
            <w:r>
              <w:rPr>
                <w:rFonts w:hint="eastAsia"/>
                <w:sz w:val="24"/>
              </w:rPr>
              <w:t>电话</w:t>
            </w:r>
          </w:p>
        </w:tc>
        <w:tc>
          <w:tcPr>
            <w:tcW w:w="1331"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223" w:type="dxa"/>
            <w:vAlign w:val="center"/>
          </w:tcPr>
          <w:p>
            <w:pPr>
              <w:spacing w:line="500" w:lineRule="exact"/>
              <w:jc w:val="center"/>
              <w:rPr>
                <w:sz w:val="24"/>
              </w:rPr>
            </w:pPr>
            <w:r>
              <w:rPr>
                <w:rFonts w:hint="eastAsia"/>
                <w:sz w:val="24"/>
              </w:rPr>
              <w:t>技术负责人</w:t>
            </w:r>
          </w:p>
        </w:tc>
        <w:tc>
          <w:tcPr>
            <w:tcW w:w="919" w:type="dxa"/>
            <w:vAlign w:val="center"/>
          </w:tcPr>
          <w:p>
            <w:pPr>
              <w:spacing w:line="500" w:lineRule="exact"/>
              <w:jc w:val="center"/>
              <w:rPr>
                <w:sz w:val="24"/>
              </w:rPr>
            </w:pPr>
            <w:r>
              <w:rPr>
                <w:rFonts w:hint="eastAsia"/>
                <w:sz w:val="24"/>
              </w:rPr>
              <w:t>姓名</w:t>
            </w:r>
          </w:p>
        </w:tc>
        <w:tc>
          <w:tcPr>
            <w:tcW w:w="1183" w:type="dxa"/>
            <w:vAlign w:val="center"/>
          </w:tcPr>
          <w:p>
            <w:pPr>
              <w:spacing w:line="500" w:lineRule="exact"/>
              <w:jc w:val="center"/>
              <w:rPr>
                <w:sz w:val="24"/>
              </w:rPr>
            </w:pPr>
          </w:p>
        </w:tc>
        <w:tc>
          <w:tcPr>
            <w:tcW w:w="1226" w:type="dxa"/>
            <w:vAlign w:val="center"/>
          </w:tcPr>
          <w:p>
            <w:pPr>
              <w:spacing w:line="500" w:lineRule="exact"/>
              <w:jc w:val="center"/>
              <w:rPr>
                <w:sz w:val="24"/>
              </w:rPr>
            </w:pPr>
            <w:r>
              <w:rPr>
                <w:rFonts w:hint="eastAsia"/>
                <w:sz w:val="24"/>
              </w:rPr>
              <w:t>技术职称</w:t>
            </w:r>
          </w:p>
        </w:tc>
        <w:tc>
          <w:tcPr>
            <w:tcW w:w="1331" w:type="dxa"/>
            <w:vAlign w:val="center"/>
          </w:tcPr>
          <w:p>
            <w:pPr>
              <w:spacing w:line="500" w:lineRule="exact"/>
              <w:jc w:val="center"/>
              <w:rPr>
                <w:sz w:val="24"/>
              </w:rPr>
            </w:pPr>
          </w:p>
        </w:tc>
        <w:tc>
          <w:tcPr>
            <w:tcW w:w="1520" w:type="dxa"/>
            <w:gridSpan w:val="2"/>
            <w:vAlign w:val="center"/>
          </w:tcPr>
          <w:p>
            <w:pPr>
              <w:spacing w:line="500" w:lineRule="exact"/>
              <w:jc w:val="center"/>
              <w:rPr>
                <w:sz w:val="24"/>
              </w:rPr>
            </w:pPr>
            <w:r>
              <w:rPr>
                <w:rFonts w:hint="eastAsia"/>
                <w:sz w:val="24"/>
              </w:rPr>
              <w:t>电话</w:t>
            </w:r>
          </w:p>
        </w:tc>
        <w:tc>
          <w:tcPr>
            <w:tcW w:w="1331"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223" w:type="dxa"/>
            <w:vAlign w:val="center"/>
          </w:tcPr>
          <w:p>
            <w:pPr>
              <w:spacing w:line="500" w:lineRule="exact"/>
              <w:jc w:val="center"/>
              <w:rPr>
                <w:sz w:val="24"/>
              </w:rPr>
            </w:pPr>
            <w:r>
              <w:rPr>
                <w:rFonts w:hint="eastAsia"/>
                <w:sz w:val="24"/>
              </w:rPr>
              <w:t>统一社会信用代码</w:t>
            </w:r>
          </w:p>
        </w:tc>
        <w:tc>
          <w:tcPr>
            <w:tcW w:w="3328" w:type="dxa"/>
            <w:gridSpan w:val="3"/>
            <w:vAlign w:val="center"/>
          </w:tcPr>
          <w:p>
            <w:pPr>
              <w:spacing w:line="500" w:lineRule="exact"/>
              <w:jc w:val="center"/>
              <w:rPr>
                <w:sz w:val="24"/>
              </w:rPr>
            </w:pPr>
          </w:p>
        </w:tc>
        <w:tc>
          <w:tcPr>
            <w:tcW w:w="4182" w:type="dxa"/>
            <w:gridSpan w:val="4"/>
            <w:vAlign w:val="center"/>
          </w:tcPr>
          <w:p>
            <w:pPr>
              <w:spacing w:line="500" w:lineRule="exact"/>
              <w:jc w:val="center"/>
              <w:rPr>
                <w:sz w:val="24"/>
              </w:rPr>
            </w:pPr>
            <w:r>
              <w:rPr>
                <w:rFonts w:hint="eastAsia"/>
                <w:sz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223" w:type="dxa"/>
            <w:vAlign w:val="center"/>
          </w:tcPr>
          <w:p>
            <w:pPr>
              <w:spacing w:line="500" w:lineRule="exact"/>
              <w:jc w:val="center"/>
              <w:rPr>
                <w:sz w:val="24"/>
              </w:rPr>
            </w:pPr>
            <w:r>
              <w:rPr>
                <w:rFonts w:hint="eastAsia"/>
                <w:sz w:val="24"/>
              </w:rPr>
              <w:t>注册资本</w:t>
            </w:r>
          </w:p>
        </w:tc>
        <w:tc>
          <w:tcPr>
            <w:tcW w:w="2102" w:type="dxa"/>
            <w:gridSpan w:val="2"/>
            <w:vAlign w:val="center"/>
          </w:tcPr>
          <w:p>
            <w:pPr>
              <w:spacing w:line="500" w:lineRule="exact"/>
              <w:jc w:val="center"/>
              <w:rPr>
                <w:sz w:val="24"/>
              </w:rPr>
            </w:pPr>
          </w:p>
        </w:tc>
        <w:tc>
          <w:tcPr>
            <w:tcW w:w="1226" w:type="dxa"/>
            <w:vMerge w:val="restart"/>
            <w:vAlign w:val="center"/>
          </w:tcPr>
          <w:p>
            <w:pPr>
              <w:spacing w:line="500" w:lineRule="exact"/>
              <w:jc w:val="center"/>
              <w:rPr>
                <w:sz w:val="24"/>
              </w:rPr>
            </w:pPr>
            <w:r>
              <w:rPr>
                <w:rFonts w:hint="eastAsia"/>
                <w:sz w:val="24"/>
              </w:rPr>
              <w:t>其中</w:t>
            </w:r>
          </w:p>
        </w:tc>
        <w:tc>
          <w:tcPr>
            <w:tcW w:w="1658" w:type="dxa"/>
            <w:gridSpan w:val="2"/>
            <w:vAlign w:val="center"/>
          </w:tcPr>
          <w:p>
            <w:pPr>
              <w:spacing w:line="500" w:lineRule="exact"/>
              <w:jc w:val="center"/>
              <w:rPr>
                <w:sz w:val="24"/>
              </w:rPr>
            </w:pPr>
            <w:r>
              <w:rPr>
                <w:rFonts w:hint="eastAsia"/>
                <w:sz w:val="24"/>
              </w:rPr>
              <w:t>高级职称人员</w:t>
            </w:r>
          </w:p>
        </w:tc>
        <w:tc>
          <w:tcPr>
            <w:tcW w:w="2524" w:type="dxa"/>
            <w:gridSpan w:val="2"/>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223" w:type="dxa"/>
            <w:vAlign w:val="center"/>
          </w:tcPr>
          <w:p>
            <w:pPr>
              <w:spacing w:line="500" w:lineRule="exact"/>
              <w:jc w:val="center"/>
              <w:rPr>
                <w:sz w:val="24"/>
              </w:rPr>
            </w:pPr>
            <w:r>
              <w:rPr>
                <w:rFonts w:hint="eastAsia"/>
                <w:sz w:val="24"/>
              </w:rPr>
              <w:t>成立日期</w:t>
            </w:r>
          </w:p>
        </w:tc>
        <w:tc>
          <w:tcPr>
            <w:tcW w:w="2102" w:type="dxa"/>
            <w:gridSpan w:val="2"/>
            <w:vAlign w:val="center"/>
          </w:tcPr>
          <w:p>
            <w:pPr>
              <w:spacing w:line="500" w:lineRule="exact"/>
              <w:jc w:val="center"/>
              <w:rPr>
                <w:sz w:val="24"/>
              </w:rPr>
            </w:pPr>
          </w:p>
        </w:tc>
        <w:tc>
          <w:tcPr>
            <w:tcW w:w="1226" w:type="dxa"/>
            <w:vMerge w:val="continue"/>
            <w:vAlign w:val="center"/>
          </w:tcPr>
          <w:p>
            <w:pPr>
              <w:spacing w:line="500" w:lineRule="exact"/>
              <w:jc w:val="center"/>
              <w:rPr>
                <w:sz w:val="24"/>
              </w:rPr>
            </w:pPr>
          </w:p>
        </w:tc>
        <w:tc>
          <w:tcPr>
            <w:tcW w:w="1658" w:type="dxa"/>
            <w:gridSpan w:val="2"/>
            <w:vAlign w:val="center"/>
          </w:tcPr>
          <w:p>
            <w:pPr>
              <w:spacing w:line="500" w:lineRule="exact"/>
              <w:jc w:val="center"/>
              <w:rPr>
                <w:sz w:val="24"/>
              </w:rPr>
            </w:pPr>
            <w:r>
              <w:rPr>
                <w:rFonts w:hint="eastAsia"/>
                <w:sz w:val="24"/>
              </w:rPr>
              <w:t>中级职称人员</w:t>
            </w:r>
          </w:p>
        </w:tc>
        <w:tc>
          <w:tcPr>
            <w:tcW w:w="2524" w:type="dxa"/>
            <w:gridSpan w:val="2"/>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223" w:type="dxa"/>
            <w:vAlign w:val="center"/>
          </w:tcPr>
          <w:p>
            <w:pPr>
              <w:spacing w:line="500" w:lineRule="exact"/>
              <w:jc w:val="center"/>
              <w:rPr>
                <w:sz w:val="24"/>
              </w:rPr>
            </w:pPr>
            <w:r>
              <w:rPr>
                <w:rFonts w:hint="eastAsia"/>
                <w:sz w:val="24"/>
              </w:rPr>
              <w:t>基本存款账户开户银行</w:t>
            </w:r>
          </w:p>
        </w:tc>
        <w:tc>
          <w:tcPr>
            <w:tcW w:w="2102" w:type="dxa"/>
            <w:gridSpan w:val="2"/>
            <w:vAlign w:val="center"/>
          </w:tcPr>
          <w:p>
            <w:pPr>
              <w:spacing w:line="500" w:lineRule="exact"/>
              <w:jc w:val="center"/>
              <w:rPr>
                <w:sz w:val="24"/>
              </w:rPr>
            </w:pPr>
          </w:p>
        </w:tc>
        <w:tc>
          <w:tcPr>
            <w:tcW w:w="1226" w:type="dxa"/>
            <w:vMerge w:val="continue"/>
            <w:vAlign w:val="center"/>
          </w:tcPr>
          <w:p>
            <w:pPr>
              <w:spacing w:line="500" w:lineRule="exact"/>
              <w:jc w:val="center"/>
              <w:rPr>
                <w:sz w:val="24"/>
              </w:rPr>
            </w:pPr>
          </w:p>
        </w:tc>
        <w:tc>
          <w:tcPr>
            <w:tcW w:w="1658" w:type="dxa"/>
            <w:gridSpan w:val="2"/>
            <w:vAlign w:val="center"/>
          </w:tcPr>
          <w:p>
            <w:pPr>
              <w:spacing w:line="500" w:lineRule="exact"/>
              <w:jc w:val="center"/>
              <w:rPr>
                <w:sz w:val="24"/>
              </w:rPr>
            </w:pPr>
            <w:r>
              <w:rPr>
                <w:rFonts w:hint="eastAsia"/>
                <w:sz w:val="24"/>
              </w:rPr>
              <w:t>技术人员数量</w:t>
            </w:r>
          </w:p>
        </w:tc>
        <w:tc>
          <w:tcPr>
            <w:tcW w:w="2524" w:type="dxa"/>
            <w:gridSpan w:val="2"/>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223" w:type="dxa"/>
            <w:vAlign w:val="center"/>
          </w:tcPr>
          <w:p>
            <w:pPr>
              <w:spacing w:line="500" w:lineRule="exact"/>
              <w:jc w:val="center"/>
              <w:rPr>
                <w:sz w:val="24"/>
              </w:rPr>
            </w:pPr>
            <w:r>
              <w:rPr>
                <w:rFonts w:hint="eastAsia"/>
                <w:sz w:val="24"/>
              </w:rPr>
              <w:t>基本存款账户银行账号</w:t>
            </w:r>
          </w:p>
        </w:tc>
        <w:tc>
          <w:tcPr>
            <w:tcW w:w="2102" w:type="dxa"/>
            <w:gridSpan w:val="2"/>
            <w:vAlign w:val="center"/>
          </w:tcPr>
          <w:p>
            <w:pPr>
              <w:spacing w:line="500" w:lineRule="exact"/>
              <w:jc w:val="center"/>
              <w:rPr>
                <w:sz w:val="24"/>
              </w:rPr>
            </w:pPr>
          </w:p>
        </w:tc>
        <w:tc>
          <w:tcPr>
            <w:tcW w:w="1226" w:type="dxa"/>
            <w:vMerge w:val="continue"/>
            <w:vAlign w:val="center"/>
          </w:tcPr>
          <w:p>
            <w:pPr>
              <w:spacing w:line="500" w:lineRule="exact"/>
              <w:jc w:val="center"/>
              <w:rPr>
                <w:sz w:val="24"/>
              </w:rPr>
            </w:pPr>
          </w:p>
        </w:tc>
        <w:tc>
          <w:tcPr>
            <w:tcW w:w="1658" w:type="dxa"/>
            <w:gridSpan w:val="2"/>
            <w:vAlign w:val="center"/>
          </w:tcPr>
          <w:p>
            <w:pPr>
              <w:spacing w:line="500" w:lineRule="exact"/>
              <w:jc w:val="center"/>
              <w:rPr>
                <w:sz w:val="24"/>
              </w:rPr>
            </w:pPr>
            <w:r>
              <w:rPr>
                <w:rFonts w:hint="eastAsia"/>
                <w:sz w:val="24"/>
              </w:rPr>
              <w:t>各类注册人员</w:t>
            </w:r>
          </w:p>
        </w:tc>
        <w:tc>
          <w:tcPr>
            <w:tcW w:w="2524" w:type="dxa"/>
            <w:gridSpan w:val="2"/>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jc w:val="center"/>
        </w:trPr>
        <w:tc>
          <w:tcPr>
            <w:tcW w:w="2223" w:type="dxa"/>
            <w:vAlign w:val="center"/>
          </w:tcPr>
          <w:p>
            <w:pPr>
              <w:spacing w:line="500" w:lineRule="exact"/>
              <w:jc w:val="center"/>
              <w:rPr>
                <w:sz w:val="24"/>
              </w:rPr>
            </w:pPr>
            <w:r>
              <w:rPr>
                <w:rFonts w:hint="eastAsia"/>
                <w:sz w:val="24"/>
              </w:rPr>
              <w:t>经营范围</w:t>
            </w:r>
          </w:p>
        </w:tc>
        <w:tc>
          <w:tcPr>
            <w:tcW w:w="7510" w:type="dxa"/>
            <w:gridSpan w:val="7"/>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223" w:type="dxa"/>
            <w:vAlign w:val="center"/>
          </w:tcPr>
          <w:p>
            <w:pPr>
              <w:spacing w:line="500" w:lineRule="exact"/>
              <w:jc w:val="center"/>
              <w:rPr>
                <w:sz w:val="24"/>
              </w:rPr>
            </w:pPr>
            <w:r>
              <w:rPr>
                <w:rFonts w:hint="eastAsia"/>
                <w:sz w:val="24"/>
              </w:rPr>
              <w:t>投标人关联企业情况（包括但不限于与投标人单位负责人为同一人或者存在控股管理关系的不同单位）</w:t>
            </w:r>
          </w:p>
        </w:tc>
        <w:tc>
          <w:tcPr>
            <w:tcW w:w="7510" w:type="dxa"/>
            <w:gridSpan w:val="7"/>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2223" w:type="dxa"/>
            <w:vAlign w:val="center"/>
          </w:tcPr>
          <w:p>
            <w:pPr>
              <w:spacing w:line="500" w:lineRule="exact"/>
              <w:jc w:val="center"/>
              <w:rPr>
                <w:sz w:val="24"/>
              </w:rPr>
            </w:pPr>
            <w:r>
              <w:rPr>
                <w:rFonts w:hint="eastAsia"/>
                <w:sz w:val="24"/>
              </w:rPr>
              <w:t>备注</w:t>
            </w:r>
          </w:p>
        </w:tc>
        <w:tc>
          <w:tcPr>
            <w:tcW w:w="7510" w:type="dxa"/>
            <w:gridSpan w:val="7"/>
            <w:vAlign w:val="center"/>
          </w:tcPr>
          <w:p>
            <w:pPr>
              <w:spacing w:line="500" w:lineRule="exact"/>
              <w:jc w:val="center"/>
              <w:rPr>
                <w:sz w:val="24"/>
              </w:rPr>
            </w:pPr>
          </w:p>
        </w:tc>
      </w:tr>
    </w:tbl>
    <w:p>
      <w:pPr>
        <w:spacing w:line="700" w:lineRule="exact"/>
        <w:jc w:val="both"/>
        <w:rPr>
          <w:sz w:val="24"/>
        </w:rPr>
      </w:pPr>
      <w:r>
        <w:rPr>
          <w:rFonts w:hint="eastAsia" w:asciiTheme="minorEastAsia" w:hAnsiTheme="minorEastAsia" w:eastAsiaTheme="minorEastAsia" w:cstheme="minorEastAsia"/>
          <w:spacing w:val="-1"/>
          <w:kern w:val="0"/>
          <w:szCs w:val="21"/>
          <w:lang w:val="en-US" w:eastAsia="zh-CN" w:bidi="zh-CN"/>
        </w:rPr>
        <w:t>注：后附资格审查要求资料。</w:t>
      </w:r>
      <w:r>
        <w:rPr>
          <w:rFonts w:hint="eastAsia"/>
          <w:sz w:val="24"/>
        </w:rPr>
        <w:br w:type="page"/>
      </w:r>
      <w:r>
        <w:rPr>
          <w:rFonts w:hint="eastAsia"/>
          <w:sz w:val="24"/>
        </w:rPr>
        <w:t>（二）近年完成的类似业绩情况表</w:t>
      </w:r>
    </w:p>
    <w:tbl>
      <w:tblPr>
        <w:tblStyle w:val="17"/>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7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项目名称</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项目所在地</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委托人名称</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委托人地址</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委托人电话</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服务期限</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服务内容</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项目负责人</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2524" w:type="dxa"/>
            <w:vAlign w:val="center"/>
          </w:tcPr>
          <w:p>
            <w:pPr>
              <w:spacing w:line="500" w:lineRule="exact"/>
              <w:jc w:val="center"/>
              <w:rPr>
                <w:sz w:val="24"/>
              </w:rPr>
            </w:pPr>
            <w:r>
              <w:rPr>
                <w:rFonts w:hint="eastAsia"/>
                <w:sz w:val="24"/>
              </w:rPr>
              <w:t>服务描述</w:t>
            </w:r>
          </w:p>
        </w:tc>
        <w:tc>
          <w:tcPr>
            <w:tcW w:w="7335" w:type="dxa"/>
            <w:vAlign w:val="center"/>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524" w:type="dxa"/>
            <w:vAlign w:val="center"/>
          </w:tcPr>
          <w:p>
            <w:pPr>
              <w:spacing w:line="500" w:lineRule="exact"/>
              <w:jc w:val="center"/>
              <w:rPr>
                <w:sz w:val="24"/>
              </w:rPr>
            </w:pPr>
            <w:r>
              <w:rPr>
                <w:rFonts w:hint="eastAsia"/>
                <w:sz w:val="24"/>
              </w:rPr>
              <w:t>备注</w:t>
            </w:r>
          </w:p>
        </w:tc>
        <w:tc>
          <w:tcPr>
            <w:tcW w:w="7335" w:type="dxa"/>
            <w:vAlign w:val="center"/>
          </w:tcPr>
          <w:p>
            <w:pPr>
              <w:spacing w:line="500" w:lineRule="exact"/>
              <w:jc w:val="center"/>
              <w:rPr>
                <w:sz w:val="24"/>
              </w:rPr>
            </w:pPr>
          </w:p>
        </w:tc>
      </w:tr>
    </w:tbl>
    <w:p>
      <w:pPr>
        <w:spacing w:line="700" w:lineRule="exact"/>
        <w:jc w:val="both"/>
        <w:rPr>
          <w:rFonts w:hint="eastAsia" w:asciiTheme="minorEastAsia" w:hAnsiTheme="minorEastAsia" w:eastAsiaTheme="minorEastAsia" w:cstheme="minorEastAsia"/>
          <w:spacing w:val="-1"/>
          <w:kern w:val="0"/>
          <w:szCs w:val="21"/>
          <w:lang w:val="en-US" w:eastAsia="zh-CN" w:bidi="zh-CN"/>
        </w:rPr>
      </w:pPr>
      <w:r>
        <w:rPr>
          <w:rFonts w:hint="eastAsia" w:asciiTheme="minorEastAsia" w:hAnsiTheme="minorEastAsia" w:eastAsiaTheme="minorEastAsia" w:cstheme="minorEastAsia"/>
          <w:spacing w:val="-1"/>
          <w:kern w:val="0"/>
          <w:szCs w:val="21"/>
          <w:lang w:val="en-US" w:eastAsia="zh-CN" w:bidi="zh-CN"/>
        </w:rPr>
        <w:t>注：后附相关证明材料</w:t>
      </w:r>
    </w:p>
    <w:p>
      <w:pPr>
        <w:spacing w:line="700" w:lineRule="exact"/>
        <w:rPr>
          <w:sz w:val="24"/>
        </w:rPr>
      </w:pPr>
    </w:p>
    <w:p>
      <w:pPr>
        <w:spacing w:line="700" w:lineRule="exact"/>
        <w:rPr>
          <w:sz w:val="24"/>
        </w:rPr>
        <w:sectPr>
          <w:headerReference r:id="rId10" w:type="default"/>
          <w:footerReference r:id="rId11" w:type="default"/>
          <w:pgSz w:w="11911" w:h="16838"/>
          <w:pgMar w:top="1440" w:right="1080" w:bottom="1440" w:left="1080" w:header="0" w:footer="1060" w:gutter="0"/>
          <w:pgNumType w:fmt="numberInDash"/>
          <w:cols w:space="720" w:num="1"/>
          <w:rtlGutter w:val="1"/>
          <w:docGrid w:linePitch="312" w:charSpace="0"/>
        </w:sectPr>
      </w:pPr>
    </w:p>
    <w:p>
      <w:pPr>
        <w:spacing w:line="700" w:lineRule="exact"/>
        <w:jc w:val="center"/>
        <w:rPr>
          <w:b/>
          <w:bCs/>
          <w:sz w:val="28"/>
          <w:szCs w:val="28"/>
          <w:lang w:val="zh-CN"/>
        </w:rPr>
      </w:pPr>
      <w:bookmarkStart w:id="210" w:name="_Toc26510"/>
      <w:r>
        <w:rPr>
          <w:rFonts w:hint="eastAsia"/>
          <w:b/>
          <w:bCs/>
          <w:sz w:val="28"/>
          <w:szCs w:val="28"/>
          <w:lang w:val="en-US" w:eastAsia="zh-CN"/>
        </w:rPr>
        <w:t>五</w:t>
      </w:r>
      <w:r>
        <w:rPr>
          <w:rFonts w:hint="eastAsia"/>
          <w:b/>
          <w:bCs/>
          <w:sz w:val="28"/>
          <w:szCs w:val="28"/>
          <w:lang w:val="zh-CN"/>
        </w:rPr>
        <w:t>、项目管理机构</w:t>
      </w:r>
      <w:bookmarkEnd w:id="210"/>
    </w:p>
    <w:p>
      <w:pPr>
        <w:spacing w:before="102"/>
        <w:ind w:right="511"/>
        <w:jc w:val="center"/>
        <w:rPr>
          <w:rFonts w:asciiTheme="minorEastAsia" w:hAnsiTheme="minorEastAsia" w:eastAsiaTheme="minorEastAsia" w:cstheme="minorEastAsia"/>
          <w:b/>
          <w:bCs/>
          <w:sz w:val="28"/>
        </w:rPr>
      </w:pPr>
      <w:r>
        <w:rPr>
          <w:rFonts w:hint="eastAsia" w:asciiTheme="minorEastAsia" w:hAnsiTheme="minorEastAsia" w:eastAsiaTheme="minorEastAsia" w:cstheme="minorEastAsia"/>
          <w:b/>
          <w:bCs/>
          <w:sz w:val="28"/>
        </w:rPr>
        <w:t>（一）项目管理机构人员一览表</w:t>
      </w:r>
    </w:p>
    <w:p>
      <w:pPr>
        <w:pStyle w:val="2"/>
        <w:spacing w:before="15"/>
        <w:rPr>
          <w:rFonts w:asciiTheme="minorEastAsia" w:hAnsiTheme="minorEastAsia" w:eastAsiaTheme="minorEastAsia" w:cstheme="minorEastAsia"/>
          <w:sz w:val="20"/>
        </w:rPr>
      </w:pPr>
    </w:p>
    <w:tbl>
      <w:tblPr>
        <w:tblStyle w:val="16"/>
        <w:tblW w:w="0" w:type="auto"/>
        <w:tblInd w:w="2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7"/>
        <w:gridCol w:w="859"/>
        <w:gridCol w:w="821"/>
        <w:gridCol w:w="828"/>
        <w:gridCol w:w="772"/>
        <w:gridCol w:w="1113"/>
        <w:gridCol w:w="1165"/>
        <w:gridCol w:w="1310"/>
        <w:gridCol w:w="15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667" w:type="dxa"/>
          </w:tcPr>
          <w:p>
            <w:pPr>
              <w:pStyle w:val="27"/>
              <w:spacing w:before="2" w:after="120"/>
              <w:rPr>
                <w:rFonts w:asciiTheme="minorEastAsia" w:hAnsiTheme="minorEastAsia" w:eastAsiaTheme="minorEastAsia" w:cstheme="minorEastAsia"/>
                <w:b/>
                <w:bCs/>
                <w:sz w:val="11"/>
              </w:rPr>
            </w:pPr>
          </w:p>
          <w:p>
            <w:pPr>
              <w:pStyle w:val="27"/>
              <w:spacing w:after="120"/>
              <w:ind w:left="122"/>
              <w:rPr>
                <w:rFonts w:asciiTheme="minorEastAsia" w:hAnsiTheme="minorEastAsia" w:eastAsiaTheme="minorEastAsia" w:cstheme="minorEastAsia"/>
                <w:b/>
                <w:bCs/>
              </w:rPr>
            </w:pPr>
            <w:r>
              <w:rPr>
                <w:rFonts w:hint="eastAsia" w:asciiTheme="minorEastAsia" w:hAnsiTheme="minorEastAsia" w:eastAsiaTheme="minorEastAsia" w:cstheme="minorEastAsia"/>
                <w:b/>
                <w:bCs/>
              </w:rPr>
              <w:t>序号</w:t>
            </w:r>
          </w:p>
        </w:tc>
        <w:tc>
          <w:tcPr>
            <w:tcW w:w="859" w:type="dxa"/>
          </w:tcPr>
          <w:p>
            <w:pPr>
              <w:pStyle w:val="27"/>
              <w:spacing w:before="2" w:after="120"/>
              <w:rPr>
                <w:rFonts w:asciiTheme="minorEastAsia" w:hAnsiTheme="minorEastAsia" w:eastAsiaTheme="minorEastAsia" w:cstheme="minorEastAsia"/>
                <w:b/>
                <w:bCs/>
                <w:sz w:val="11"/>
              </w:rPr>
            </w:pPr>
          </w:p>
          <w:p>
            <w:pPr>
              <w:pStyle w:val="27"/>
              <w:spacing w:after="120"/>
              <w:ind w:left="215"/>
              <w:rPr>
                <w:rFonts w:asciiTheme="minorEastAsia" w:hAnsiTheme="minorEastAsia" w:eastAsiaTheme="minorEastAsia" w:cstheme="minorEastAsia"/>
                <w:b/>
                <w:bCs/>
              </w:rPr>
            </w:pPr>
            <w:r>
              <w:rPr>
                <w:rFonts w:hint="eastAsia" w:asciiTheme="minorEastAsia" w:hAnsiTheme="minorEastAsia" w:eastAsiaTheme="minorEastAsia" w:cstheme="minorEastAsia"/>
                <w:b/>
                <w:bCs/>
              </w:rPr>
              <w:t>姓名</w:t>
            </w:r>
          </w:p>
        </w:tc>
        <w:tc>
          <w:tcPr>
            <w:tcW w:w="821" w:type="dxa"/>
            <w:tcBorders>
              <w:right w:val="single" w:color="000000" w:sz="6" w:space="0"/>
            </w:tcBorders>
          </w:tcPr>
          <w:p>
            <w:pPr>
              <w:pStyle w:val="27"/>
              <w:spacing w:before="2" w:after="120"/>
              <w:rPr>
                <w:rFonts w:asciiTheme="minorEastAsia" w:hAnsiTheme="minorEastAsia" w:eastAsiaTheme="minorEastAsia" w:cstheme="minorEastAsia"/>
                <w:b/>
                <w:bCs/>
                <w:sz w:val="11"/>
              </w:rPr>
            </w:pPr>
          </w:p>
          <w:p>
            <w:pPr>
              <w:pStyle w:val="27"/>
              <w:spacing w:after="120"/>
              <w:ind w:left="196"/>
              <w:rPr>
                <w:rFonts w:asciiTheme="minorEastAsia" w:hAnsiTheme="minorEastAsia" w:eastAsiaTheme="minorEastAsia" w:cstheme="minorEastAsia"/>
                <w:b/>
                <w:bCs/>
              </w:rPr>
            </w:pPr>
            <w:r>
              <w:rPr>
                <w:rFonts w:hint="eastAsia" w:asciiTheme="minorEastAsia" w:hAnsiTheme="minorEastAsia" w:eastAsiaTheme="minorEastAsia" w:cstheme="minorEastAsia"/>
                <w:b/>
                <w:bCs/>
              </w:rPr>
              <w:t>性别</w:t>
            </w:r>
          </w:p>
        </w:tc>
        <w:tc>
          <w:tcPr>
            <w:tcW w:w="828" w:type="dxa"/>
            <w:tcBorders>
              <w:left w:val="single" w:color="000000" w:sz="6" w:space="0"/>
            </w:tcBorders>
          </w:tcPr>
          <w:p>
            <w:pPr>
              <w:pStyle w:val="27"/>
              <w:spacing w:before="2" w:after="120"/>
              <w:rPr>
                <w:rFonts w:asciiTheme="minorEastAsia" w:hAnsiTheme="minorEastAsia" w:eastAsiaTheme="minorEastAsia" w:cstheme="minorEastAsia"/>
                <w:b/>
                <w:bCs/>
                <w:sz w:val="11"/>
              </w:rPr>
            </w:pPr>
          </w:p>
          <w:p>
            <w:pPr>
              <w:pStyle w:val="27"/>
              <w:spacing w:after="120"/>
              <w:ind w:left="197"/>
              <w:rPr>
                <w:rFonts w:asciiTheme="minorEastAsia" w:hAnsiTheme="minorEastAsia" w:eastAsiaTheme="minorEastAsia" w:cstheme="minorEastAsia"/>
                <w:b/>
                <w:bCs/>
              </w:rPr>
            </w:pPr>
            <w:r>
              <w:rPr>
                <w:rFonts w:hint="eastAsia" w:asciiTheme="minorEastAsia" w:hAnsiTheme="minorEastAsia" w:eastAsiaTheme="minorEastAsia" w:cstheme="minorEastAsia"/>
                <w:b/>
                <w:bCs/>
              </w:rPr>
              <w:t>年龄</w:t>
            </w:r>
          </w:p>
        </w:tc>
        <w:tc>
          <w:tcPr>
            <w:tcW w:w="772" w:type="dxa"/>
          </w:tcPr>
          <w:p>
            <w:pPr>
              <w:pStyle w:val="27"/>
              <w:spacing w:before="2" w:after="120"/>
              <w:rPr>
                <w:rFonts w:asciiTheme="minorEastAsia" w:hAnsiTheme="minorEastAsia" w:eastAsiaTheme="minorEastAsia" w:cstheme="minorEastAsia"/>
                <w:b/>
                <w:bCs/>
                <w:sz w:val="11"/>
              </w:rPr>
            </w:pPr>
          </w:p>
          <w:p>
            <w:pPr>
              <w:pStyle w:val="27"/>
              <w:spacing w:after="120"/>
              <w:ind w:left="173"/>
              <w:rPr>
                <w:rFonts w:asciiTheme="minorEastAsia" w:hAnsiTheme="minorEastAsia" w:eastAsiaTheme="minorEastAsia" w:cstheme="minorEastAsia"/>
                <w:b/>
                <w:bCs/>
              </w:rPr>
            </w:pPr>
            <w:r>
              <w:rPr>
                <w:rFonts w:hint="eastAsia" w:asciiTheme="minorEastAsia" w:hAnsiTheme="minorEastAsia" w:eastAsiaTheme="minorEastAsia" w:cstheme="minorEastAsia"/>
                <w:b/>
                <w:bCs/>
              </w:rPr>
              <w:t>学历</w:t>
            </w:r>
          </w:p>
        </w:tc>
        <w:tc>
          <w:tcPr>
            <w:tcW w:w="1113" w:type="dxa"/>
          </w:tcPr>
          <w:p>
            <w:pPr>
              <w:pStyle w:val="27"/>
              <w:spacing w:before="2" w:after="120"/>
              <w:rPr>
                <w:rFonts w:asciiTheme="minorEastAsia" w:hAnsiTheme="minorEastAsia" w:eastAsiaTheme="minorEastAsia" w:cstheme="minorEastAsia"/>
                <w:b/>
                <w:bCs/>
                <w:sz w:val="11"/>
              </w:rPr>
            </w:pPr>
          </w:p>
          <w:p>
            <w:pPr>
              <w:pStyle w:val="27"/>
              <w:spacing w:after="120"/>
              <w:ind w:left="346"/>
              <w:rPr>
                <w:rFonts w:asciiTheme="minorEastAsia" w:hAnsiTheme="minorEastAsia" w:eastAsiaTheme="minorEastAsia" w:cstheme="minorEastAsia"/>
                <w:b/>
                <w:bCs/>
              </w:rPr>
            </w:pPr>
            <w:r>
              <w:rPr>
                <w:rFonts w:hint="eastAsia" w:asciiTheme="minorEastAsia" w:hAnsiTheme="minorEastAsia" w:eastAsiaTheme="minorEastAsia" w:cstheme="minorEastAsia"/>
                <w:b/>
                <w:bCs/>
              </w:rPr>
              <w:t>专业</w:t>
            </w:r>
          </w:p>
        </w:tc>
        <w:tc>
          <w:tcPr>
            <w:tcW w:w="1165" w:type="dxa"/>
          </w:tcPr>
          <w:p>
            <w:pPr>
              <w:pStyle w:val="27"/>
              <w:spacing w:before="2" w:after="120"/>
              <w:rPr>
                <w:rFonts w:asciiTheme="minorEastAsia" w:hAnsiTheme="minorEastAsia" w:eastAsiaTheme="minorEastAsia" w:cstheme="minorEastAsia"/>
                <w:b/>
                <w:bCs/>
                <w:sz w:val="11"/>
              </w:rPr>
            </w:pPr>
          </w:p>
          <w:p>
            <w:pPr>
              <w:pStyle w:val="27"/>
              <w:spacing w:after="120"/>
              <w:ind w:left="163"/>
              <w:rPr>
                <w:rFonts w:asciiTheme="minorEastAsia" w:hAnsiTheme="minorEastAsia" w:eastAsiaTheme="minorEastAsia" w:cstheme="minorEastAsia"/>
                <w:b/>
                <w:bCs/>
              </w:rPr>
            </w:pPr>
            <w:r>
              <w:rPr>
                <w:rFonts w:hint="eastAsia" w:asciiTheme="minorEastAsia" w:hAnsiTheme="minorEastAsia" w:eastAsiaTheme="minorEastAsia" w:cstheme="minorEastAsia"/>
                <w:b/>
                <w:bCs/>
              </w:rPr>
              <w:t>技术职称</w:t>
            </w:r>
          </w:p>
        </w:tc>
        <w:tc>
          <w:tcPr>
            <w:tcW w:w="1310" w:type="dxa"/>
          </w:tcPr>
          <w:p>
            <w:pPr>
              <w:pStyle w:val="27"/>
              <w:spacing w:before="2" w:after="120"/>
              <w:rPr>
                <w:rFonts w:asciiTheme="minorEastAsia" w:hAnsiTheme="minorEastAsia" w:eastAsiaTheme="minorEastAsia" w:cstheme="minorEastAsia"/>
                <w:b/>
                <w:bCs/>
                <w:sz w:val="11"/>
              </w:rPr>
            </w:pPr>
          </w:p>
          <w:p>
            <w:pPr>
              <w:pStyle w:val="27"/>
              <w:spacing w:after="120"/>
              <w:ind w:left="236"/>
              <w:rPr>
                <w:rFonts w:asciiTheme="minorEastAsia" w:hAnsiTheme="minorEastAsia" w:eastAsiaTheme="minorEastAsia" w:cstheme="minorEastAsia"/>
                <w:b/>
                <w:bCs/>
              </w:rPr>
            </w:pPr>
            <w:r>
              <w:rPr>
                <w:rFonts w:hint="eastAsia" w:asciiTheme="minorEastAsia" w:hAnsiTheme="minorEastAsia" w:eastAsiaTheme="minorEastAsia" w:cstheme="minorEastAsia"/>
                <w:b/>
                <w:bCs/>
              </w:rPr>
              <w:t>执业资格</w:t>
            </w:r>
          </w:p>
        </w:tc>
        <w:tc>
          <w:tcPr>
            <w:tcW w:w="1581" w:type="dxa"/>
          </w:tcPr>
          <w:p>
            <w:pPr>
              <w:pStyle w:val="27"/>
              <w:spacing w:before="151" w:after="120" w:line="168" w:lineRule="auto"/>
              <w:ind w:left="580" w:right="141" w:hanging="420"/>
              <w:jc w:val="center"/>
              <w:rPr>
                <w:rFonts w:asciiTheme="minorEastAsia" w:hAnsiTheme="minorEastAsia" w:eastAsiaTheme="minorEastAsia" w:cstheme="minorEastAsia"/>
                <w:b/>
                <w:bCs/>
              </w:rPr>
            </w:pPr>
            <w:r>
              <w:rPr>
                <w:rFonts w:hint="eastAsia" w:asciiTheme="minorEastAsia" w:hAnsiTheme="minorEastAsia" w:eastAsiaTheme="minorEastAsia" w:cstheme="minorEastAsia"/>
                <w:b/>
                <w:bCs/>
              </w:rPr>
              <w:t>在本项目拟任</w:t>
            </w:r>
          </w:p>
          <w:p>
            <w:pPr>
              <w:pStyle w:val="27"/>
              <w:spacing w:before="151" w:after="120" w:line="168" w:lineRule="auto"/>
              <w:ind w:left="580" w:right="141" w:hanging="420"/>
              <w:jc w:val="center"/>
              <w:rPr>
                <w:rFonts w:asciiTheme="minorEastAsia" w:hAnsiTheme="minorEastAsia" w:eastAsiaTheme="minorEastAsia" w:cstheme="minorEastAsia"/>
                <w:b/>
                <w:bCs/>
              </w:rPr>
            </w:pPr>
            <w:r>
              <w:rPr>
                <w:rFonts w:hint="eastAsia" w:asciiTheme="minorEastAsia" w:hAnsiTheme="minorEastAsia" w:eastAsiaTheme="minorEastAsia" w:cstheme="minorEastAsia"/>
                <w:b/>
                <w:bCs/>
              </w:rPr>
              <w:t>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667" w:type="dxa"/>
            <w:tcBorders>
              <w:bottom w:val="single" w:color="000000" w:sz="6" w:space="0"/>
            </w:tcBorders>
          </w:tcPr>
          <w:p>
            <w:pPr>
              <w:pStyle w:val="27"/>
              <w:spacing w:after="120"/>
              <w:rPr>
                <w:rFonts w:asciiTheme="minorEastAsia" w:hAnsiTheme="minorEastAsia" w:eastAsiaTheme="minorEastAsia" w:cstheme="minorEastAsia"/>
              </w:rPr>
            </w:pPr>
          </w:p>
        </w:tc>
        <w:tc>
          <w:tcPr>
            <w:tcW w:w="859" w:type="dxa"/>
            <w:tcBorders>
              <w:bottom w:val="single" w:color="000000" w:sz="6" w:space="0"/>
            </w:tcBorders>
          </w:tcPr>
          <w:p>
            <w:pPr>
              <w:pStyle w:val="27"/>
              <w:spacing w:after="120"/>
              <w:rPr>
                <w:rFonts w:asciiTheme="minorEastAsia" w:hAnsiTheme="minorEastAsia" w:eastAsiaTheme="minorEastAsia" w:cstheme="minorEastAsia"/>
              </w:rPr>
            </w:pPr>
          </w:p>
        </w:tc>
        <w:tc>
          <w:tcPr>
            <w:tcW w:w="821" w:type="dxa"/>
            <w:tcBorders>
              <w:bottom w:val="single" w:color="000000" w:sz="6" w:space="0"/>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bottom w:val="single" w:color="000000" w:sz="6" w:space="0"/>
            </w:tcBorders>
          </w:tcPr>
          <w:p>
            <w:pPr>
              <w:pStyle w:val="27"/>
              <w:spacing w:after="120"/>
              <w:rPr>
                <w:rFonts w:asciiTheme="minorEastAsia" w:hAnsiTheme="minorEastAsia" w:eastAsiaTheme="minorEastAsia" w:cstheme="minorEastAsia"/>
              </w:rPr>
            </w:pPr>
          </w:p>
        </w:tc>
        <w:tc>
          <w:tcPr>
            <w:tcW w:w="772" w:type="dxa"/>
            <w:tcBorders>
              <w:bottom w:val="single" w:color="000000" w:sz="6" w:space="0"/>
            </w:tcBorders>
          </w:tcPr>
          <w:p>
            <w:pPr>
              <w:pStyle w:val="27"/>
              <w:spacing w:after="120"/>
              <w:rPr>
                <w:rFonts w:asciiTheme="minorEastAsia" w:hAnsiTheme="minorEastAsia" w:eastAsiaTheme="minorEastAsia" w:cstheme="minorEastAsia"/>
              </w:rPr>
            </w:pPr>
          </w:p>
        </w:tc>
        <w:tc>
          <w:tcPr>
            <w:tcW w:w="1113" w:type="dxa"/>
            <w:tcBorders>
              <w:bottom w:val="single" w:color="000000" w:sz="6" w:space="0"/>
            </w:tcBorders>
          </w:tcPr>
          <w:p>
            <w:pPr>
              <w:pStyle w:val="27"/>
              <w:spacing w:after="120"/>
              <w:rPr>
                <w:rFonts w:asciiTheme="minorEastAsia" w:hAnsiTheme="minorEastAsia" w:eastAsiaTheme="minorEastAsia" w:cstheme="minorEastAsia"/>
              </w:rPr>
            </w:pPr>
          </w:p>
        </w:tc>
        <w:tc>
          <w:tcPr>
            <w:tcW w:w="1165" w:type="dxa"/>
            <w:tcBorders>
              <w:bottom w:val="single" w:color="000000" w:sz="6" w:space="0"/>
            </w:tcBorders>
          </w:tcPr>
          <w:p>
            <w:pPr>
              <w:pStyle w:val="27"/>
              <w:spacing w:after="120"/>
              <w:rPr>
                <w:rFonts w:asciiTheme="minorEastAsia" w:hAnsiTheme="minorEastAsia" w:eastAsiaTheme="minorEastAsia" w:cstheme="minorEastAsia"/>
              </w:rPr>
            </w:pPr>
          </w:p>
        </w:tc>
        <w:tc>
          <w:tcPr>
            <w:tcW w:w="1310" w:type="dxa"/>
            <w:tcBorders>
              <w:bottom w:val="single" w:color="000000" w:sz="6" w:space="0"/>
            </w:tcBorders>
          </w:tcPr>
          <w:p>
            <w:pPr>
              <w:pStyle w:val="27"/>
              <w:spacing w:after="120"/>
              <w:rPr>
                <w:rFonts w:asciiTheme="minorEastAsia" w:hAnsiTheme="minorEastAsia" w:eastAsiaTheme="minorEastAsia" w:cstheme="minorEastAsia"/>
              </w:rPr>
            </w:pPr>
          </w:p>
        </w:tc>
        <w:tc>
          <w:tcPr>
            <w:tcW w:w="1581" w:type="dxa"/>
            <w:tcBorders>
              <w:bottom w:val="single" w:color="000000" w:sz="6" w:space="0"/>
            </w:tcBorders>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67" w:type="dxa"/>
            <w:tcBorders>
              <w:top w:val="single" w:color="000000" w:sz="6" w:space="0"/>
            </w:tcBorders>
          </w:tcPr>
          <w:p>
            <w:pPr>
              <w:pStyle w:val="27"/>
              <w:spacing w:after="120"/>
              <w:rPr>
                <w:rFonts w:asciiTheme="minorEastAsia" w:hAnsiTheme="minorEastAsia" w:eastAsiaTheme="minorEastAsia" w:cstheme="minorEastAsia"/>
              </w:rPr>
            </w:pPr>
          </w:p>
        </w:tc>
        <w:tc>
          <w:tcPr>
            <w:tcW w:w="859" w:type="dxa"/>
            <w:tcBorders>
              <w:top w:val="single" w:color="000000" w:sz="6" w:space="0"/>
            </w:tcBorders>
          </w:tcPr>
          <w:p>
            <w:pPr>
              <w:pStyle w:val="27"/>
              <w:spacing w:after="120"/>
              <w:rPr>
                <w:rFonts w:asciiTheme="minorEastAsia" w:hAnsiTheme="minorEastAsia" w:eastAsiaTheme="minorEastAsia" w:cstheme="minorEastAsia"/>
              </w:rPr>
            </w:pPr>
          </w:p>
        </w:tc>
        <w:tc>
          <w:tcPr>
            <w:tcW w:w="821" w:type="dxa"/>
            <w:tcBorders>
              <w:top w:val="single" w:color="000000" w:sz="6" w:space="0"/>
              <w:right w:val="single" w:color="000000" w:sz="6" w:space="0"/>
            </w:tcBorders>
          </w:tcPr>
          <w:p>
            <w:pPr>
              <w:pStyle w:val="27"/>
              <w:spacing w:after="120"/>
              <w:rPr>
                <w:rFonts w:asciiTheme="minorEastAsia" w:hAnsiTheme="minorEastAsia" w:eastAsiaTheme="minorEastAsia" w:cstheme="minorEastAsia"/>
              </w:rPr>
            </w:pPr>
          </w:p>
        </w:tc>
        <w:tc>
          <w:tcPr>
            <w:tcW w:w="828" w:type="dxa"/>
            <w:tcBorders>
              <w:top w:val="single" w:color="000000" w:sz="6" w:space="0"/>
              <w:left w:val="single" w:color="000000" w:sz="6" w:space="0"/>
            </w:tcBorders>
          </w:tcPr>
          <w:p>
            <w:pPr>
              <w:pStyle w:val="27"/>
              <w:spacing w:after="120"/>
              <w:rPr>
                <w:rFonts w:asciiTheme="minorEastAsia" w:hAnsiTheme="minorEastAsia" w:eastAsiaTheme="minorEastAsia" w:cstheme="minorEastAsia"/>
              </w:rPr>
            </w:pPr>
          </w:p>
        </w:tc>
        <w:tc>
          <w:tcPr>
            <w:tcW w:w="772" w:type="dxa"/>
            <w:tcBorders>
              <w:top w:val="single" w:color="000000" w:sz="6" w:space="0"/>
            </w:tcBorders>
          </w:tcPr>
          <w:p>
            <w:pPr>
              <w:pStyle w:val="27"/>
              <w:spacing w:after="120"/>
              <w:rPr>
                <w:rFonts w:asciiTheme="minorEastAsia" w:hAnsiTheme="minorEastAsia" w:eastAsiaTheme="minorEastAsia" w:cstheme="minorEastAsia"/>
              </w:rPr>
            </w:pPr>
          </w:p>
        </w:tc>
        <w:tc>
          <w:tcPr>
            <w:tcW w:w="1113" w:type="dxa"/>
            <w:tcBorders>
              <w:top w:val="single" w:color="000000" w:sz="6" w:space="0"/>
            </w:tcBorders>
          </w:tcPr>
          <w:p>
            <w:pPr>
              <w:pStyle w:val="27"/>
              <w:spacing w:after="120"/>
              <w:rPr>
                <w:rFonts w:asciiTheme="minorEastAsia" w:hAnsiTheme="minorEastAsia" w:eastAsiaTheme="minorEastAsia" w:cstheme="minorEastAsia"/>
              </w:rPr>
            </w:pPr>
          </w:p>
        </w:tc>
        <w:tc>
          <w:tcPr>
            <w:tcW w:w="1165" w:type="dxa"/>
            <w:tcBorders>
              <w:top w:val="single" w:color="000000" w:sz="6" w:space="0"/>
            </w:tcBorders>
          </w:tcPr>
          <w:p>
            <w:pPr>
              <w:pStyle w:val="27"/>
              <w:spacing w:after="120"/>
              <w:rPr>
                <w:rFonts w:asciiTheme="minorEastAsia" w:hAnsiTheme="minorEastAsia" w:eastAsiaTheme="minorEastAsia" w:cstheme="minorEastAsia"/>
              </w:rPr>
            </w:pPr>
          </w:p>
        </w:tc>
        <w:tc>
          <w:tcPr>
            <w:tcW w:w="1310" w:type="dxa"/>
            <w:tcBorders>
              <w:top w:val="single" w:color="000000" w:sz="6" w:space="0"/>
            </w:tcBorders>
          </w:tcPr>
          <w:p>
            <w:pPr>
              <w:pStyle w:val="27"/>
              <w:spacing w:after="120"/>
              <w:rPr>
                <w:rFonts w:asciiTheme="minorEastAsia" w:hAnsiTheme="minorEastAsia" w:eastAsiaTheme="minorEastAsia" w:cstheme="minorEastAsia"/>
              </w:rPr>
            </w:pPr>
          </w:p>
        </w:tc>
        <w:tc>
          <w:tcPr>
            <w:tcW w:w="1581" w:type="dxa"/>
            <w:tcBorders>
              <w:top w:val="single" w:color="000000" w:sz="6" w:space="0"/>
            </w:tcBorders>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667" w:type="dxa"/>
          </w:tcPr>
          <w:p>
            <w:pPr>
              <w:pStyle w:val="27"/>
              <w:spacing w:after="120"/>
              <w:rPr>
                <w:rFonts w:asciiTheme="minorEastAsia" w:hAnsiTheme="minorEastAsia" w:eastAsiaTheme="minorEastAsia" w:cstheme="minorEastAsia"/>
              </w:rPr>
            </w:pPr>
          </w:p>
        </w:tc>
        <w:tc>
          <w:tcPr>
            <w:tcW w:w="859" w:type="dxa"/>
          </w:tcPr>
          <w:p>
            <w:pPr>
              <w:pStyle w:val="27"/>
              <w:spacing w:after="120"/>
              <w:rPr>
                <w:rFonts w:asciiTheme="minorEastAsia" w:hAnsiTheme="minorEastAsia" w:eastAsiaTheme="minorEastAsia" w:cstheme="minorEastAsia"/>
              </w:rPr>
            </w:pPr>
          </w:p>
        </w:tc>
        <w:tc>
          <w:tcPr>
            <w:tcW w:w="821" w:type="dxa"/>
            <w:tcBorders>
              <w:right w:val="single" w:color="000000" w:sz="6" w:space="0"/>
            </w:tcBorders>
          </w:tcPr>
          <w:p>
            <w:pPr>
              <w:pStyle w:val="27"/>
              <w:spacing w:after="120"/>
              <w:rPr>
                <w:rFonts w:asciiTheme="minorEastAsia" w:hAnsiTheme="minorEastAsia" w:eastAsiaTheme="minorEastAsia" w:cstheme="minorEastAsia"/>
              </w:rPr>
            </w:pPr>
          </w:p>
        </w:tc>
        <w:tc>
          <w:tcPr>
            <w:tcW w:w="828" w:type="dxa"/>
            <w:tcBorders>
              <w:left w:val="single" w:color="000000" w:sz="6" w:space="0"/>
            </w:tcBorders>
          </w:tcPr>
          <w:p>
            <w:pPr>
              <w:pStyle w:val="27"/>
              <w:spacing w:after="120"/>
              <w:rPr>
                <w:rFonts w:asciiTheme="minorEastAsia" w:hAnsiTheme="minorEastAsia" w:eastAsiaTheme="minorEastAsia" w:cstheme="minorEastAsia"/>
              </w:rPr>
            </w:pPr>
          </w:p>
        </w:tc>
        <w:tc>
          <w:tcPr>
            <w:tcW w:w="772" w:type="dxa"/>
          </w:tcPr>
          <w:p>
            <w:pPr>
              <w:pStyle w:val="27"/>
              <w:spacing w:after="120"/>
              <w:rPr>
                <w:rFonts w:asciiTheme="minorEastAsia" w:hAnsiTheme="minorEastAsia" w:eastAsiaTheme="minorEastAsia" w:cstheme="minorEastAsia"/>
              </w:rPr>
            </w:pPr>
          </w:p>
        </w:tc>
        <w:tc>
          <w:tcPr>
            <w:tcW w:w="1113" w:type="dxa"/>
          </w:tcPr>
          <w:p>
            <w:pPr>
              <w:pStyle w:val="27"/>
              <w:spacing w:after="120"/>
              <w:rPr>
                <w:rFonts w:asciiTheme="minorEastAsia" w:hAnsiTheme="minorEastAsia" w:eastAsiaTheme="minorEastAsia" w:cstheme="minorEastAsia"/>
              </w:rPr>
            </w:pPr>
          </w:p>
        </w:tc>
        <w:tc>
          <w:tcPr>
            <w:tcW w:w="1165" w:type="dxa"/>
          </w:tcPr>
          <w:p>
            <w:pPr>
              <w:pStyle w:val="27"/>
              <w:spacing w:after="120"/>
              <w:rPr>
                <w:rFonts w:asciiTheme="minorEastAsia" w:hAnsiTheme="minorEastAsia" w:eastAsiaTheme="minorEastAsia" w:cstheme="minorEastAsia"/>
              </w:rPr>
            </w:pPr>
          </w:p>
        </w:tc>
        <w:tc>
          <w:tcPr>
            <w:tcW w:w="1310" w:type="dxa"/>
          </w:tcPr>
          <w:p>
            <w:pPr>
              <w:pStyle w:val="27"/>
              <w:spacing w:after="120"/>
              <w:rPr>
                <w:rFonts w:asciiTheme="minorEastAsia" w:hAnsiTheme="minorEastAsia" w:eastAsiaTheme="minorEastAsia" w:cstheme="minorEastAsia"/>
              </w:rPr>
            </w:pPr>
          </w:p>
        </w:tc>
        <w:tc>
          <w:tcPr>
            <w:tcW w:w="1581" w:type="dxa"/>
          </w:tcPr>
          <w:p>
            <w:pPr>
              <w:pStyle w:val="27"/>
              <w:spacing w:after="120"/>
              <w:rPr>
                <w:rFonts w:asciiTheme="minorEastAsia" w:hAnsiTheme="minorEastAsia" w:eastAsiaTheme="minorEastAsia" w:cstheme="minorEastAsia"/>
              </w:rPr>
            </w:pPr>
          </w:p>
        </w:tc>
      </w:tr>
    </w:tbl>
    <w:p>
      <w:pPr>
        <w:spacing w:line="700" w:lineRule="exact"/>
        <w:jc w:val="center"/>
        <w:rPr>
          <w:rFonts w:asciiTheme="minorEastAsia" w:hAnsiTheme="minorEastAsia" w:eastAsiaTheme="minorEastAsia" w:cstheme="minorEastAsia"/>
          <w:sz w:val="24"/>
        </w:rPr>
        <w:sectPr>
          <w:pgSz w:w="11911" w:h="16838"/>
          <w:pgMar w:top="1440" w:right="1080" w:bottom="1440" w:left="1080" w:header="0" w:footer="1060" w:gutter="0"/>
          <w:pgNumType w:fmt="numberInDash"/>
          <w:cols w:space="720" w:num="1"/>
          <w:rtlGutter w:val="1"/>
          <w:docGrid w:linePitch="312" w:charSpace="0"/>
        </w:sectPr>
      </w:pPr>
    </w:p>
    <w:p>
      <w:pPr>
        <w:autoSpaceDE w:val="0"/>
        <w:autoSpaceDN w:val="0"/>
        <w:spacing w:before="61"/>
        <w:ind w:left="324"/>
        <w:jc w:val="center"/>
        <w:rPr>
          <w:rFonts w:asciiTheme="minorEastAsia" w:hAnsiTheme="minorEastAsia" w:eastAsiaTheme="minorEastAsia" w:cstheme="minorEastAsia"/>
          <w:b/>
          <w:bCs/>
          <w:kern w:val="0"/>
          <w:sz w:val="28"/>
          <w:szCs w:val="22"/>
          <w:lang w:val="zh-CN" w:bidi="zh-CN"/>
        </w:rPr>
      </w:pPr>
      <w:bookmarkStart w:id="211" w:name="_Toc16913"/>
      <w:bookmarkStart w:id="212" w:name="_Toc486439994"/>
      <w:bookmarkStart w:id="213" w:name="_Toc486440138"/>
      <w:bookmarkStart w:id="214" w:name="_Toc486439846"/>
      <w:bookmarkStart w:id="215" w:name="_Toc6126"/>
      <w:r>
        <w:rPr>
          <w:rFonts w:hint="eastAsia" w:asciiTheme="minorEastAsia" w:hAnsiTheme="minorEastAsia" w:eastAsiaTheme="minorEastAsia" w:cstheme="minorEastAsia"/>
          <w:b/>
          <w:bCs/>
          <w:kern w:val="0"/>
          <w:sz w:val="28"/>
          <w:szCs w:val="22"/>
          <w:lang w:val="zh-CN" w:bidi="zh-CN"/>
        </w:rPr>
        <w:t>（二）主要人员简历表</w:t>
      </w:r>
    </w:p>
    <w:p>
      <w:pPr>
        <w:autoSpaceDE w:val="0"/>
        <w:autoSpaceDN w:val="0"/>
        <w:spacing w:before="11"/>
        <w:jc w:val="left"/>
        <w:rPr>
          <w:rFonts w:asciiTheme="minorEastAsia" w:hAnsiTheme="minorEastAsia" w:eastAsiaTheme="minorEastAsia" w:cstheme="minorEastAsia"/>
          <w:kern w:val="0"/>
          <w:sz w:val="3"/>
          <w:szCs w:val="21"/>
          <w:lang w:val="zh-CN" w:bidi="zh-CN"/>
        </w:rPr>
      </w:pPr>
    </w:p>
    <w:tbl>
      <w:tblPr>
        <w:tblStyle w:val="16"/>
        <w:tblW w:w="0" w:type="auto"/>
        <w:tblInd w:w="3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02"/>
        <w:gridCol w:w="851"/>
        <w:gridCol w:w="440"/>
        <w:gridCol w:w="884"/>
        <w:gridCol w:w="829"/>
        <w:gridCol w:w="1583"/>
        <w:gridCol w:w="459"/>
        <w:gridCol w:w="232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8" w:hRule="atLeast"/>
        </w:trPr>
        <w:tc>
          <w:tcPr>
            <w:tcW w:w="1702" w:type="dxa"/>
          </w:tcPr>
          <w:p>
            <w:pPr>
              <w:tabs>
                <w:tab w:val="left" w:pos="438"/>
              </w:tabs>
              <w:autoSpaceDE w:val="0"/>
              <w:autoSpaceDN w:val="0"/>
              <w:spacing w:before="82"/>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姓</w:t>
            </w:r>
            <w:r>
              <w:rPr>
                <w:rFonts w:hint="eastAsia" w:asciiTheme="minorEastAsia" w:hAnsiTheme="minorEastAsia" w:eastAsiaTheme="minorEastAsia" w:cstheme="minorEastAsia"/>
                <w:kern w:val="0"/>
                <w:szCs w:val="22"/>
                <w:lang w:val="zh-CN" w:bidi="zh-CN"/>
              </w:rPr>
              <w:tab/>
            </w:r>
            <w:r>
              <w:rPr>
                <w:rFonts w:hint="eastAsia" w:asciiTheme="minorEastAsia" w:hAnsiTheme="minorEastAsia" w:eastAsiaTheme="minorEastAsia" w:cstheme="minorEastAsia"/>
                <w:kern w:val="0"/>
                <w:szCs w:val="22"/>
                <w:lang w:val="zh-CN" w:bidi="zh-CN"/>
              </w:rPr>
              <w:t>名</w:t>
            </w:r>
          </w:p>
        </w:tc>
        <w:tc>
          <w:tcPr>
            <w:tcW w:w="1291" w:type="dxa"/>
            <w:gridSpan w:val="2"/>
          </w:tcPr>
          <w:p>
            <w:pPr>
              <w:autoSpaceDE w:val="0"/>
              <w:autoSpaceDN w:val="0"/>
              <w:jc w:val="left"/>
              <w:rPr>
                <w:rFonts w:asciiTheme="minorEastAsia" w:hAnsiTheme="minorEastAsia" w:eastAsiaTheme="minorEastAsia" w:cstheme="minorEastAsia"/>
                <w:kern w:val="0"/>
                <w:sz w:val="20"/>
                <w:szCs w:val="22"/>
                <w:lang w:val="zh-CN" w:bidi="zh-CN"/>
              </w:rPr>
            </w:pPr>
          </w:p>
        </w:tc>
        <w:tc>
          <w:tcPr>
            <w:tcW w:w="884" w:type="dxa"/>
          </w:tcPr>
          <w:p>
            <w:pPr>
              <w:autoSpaceDE w:val="0"/>
              <w:autoSpaceDN w:val="0"/>
              <w:spacing w:before="82"/>
              <w:ind w:left="225"/>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性别</w:t>
            </w:r>
          </w:p>
        </w:tc>
        <w:tc>
          <w:tcPr>
            <w:tcW w:w="829"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042" w:type="dxa"/>
            <w:gridSpan w:val="2"/>
          </w:tcPr>
          <w:p>
            <w:pPr>
              <w:autoSpaceDE w:val="0"/>
              <w:autoSpaceDN w:val="0"/>
              <w:spacing w:before="82"/>
              <w:ind w:left="593"/>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出生日期</w:t>
            </w:r>
          </w:p>
        </w:tc>
        <w:tc>
          <w:tcPr>
            <w:tcW w:w="2327" w:type="dxa"/>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atLeast"/>
        </w:trPr>
        <w:tc>
          <w:tcPr>
            <w:tcW w:w="1702" w:type="dxa"/>
          </w:tcPr>
          <w:p>
            <w:pPr>
              <w:autoSpaceDE w:val="0"/>
              <w:autoSpaceDN w:val="0"/>
              <w:spacing w:before="80"/>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毕业院校专业</w:t>
            </w:r>
          </w:p>
        </w:tc>
        <w:tc>
          <w:tcPr>
            <w:tcW w:w="3004" w:type="dxa"/>
            <w:gridSpan w:val="4"/>
          </w:tcPr>
          <w:p>
            <w:pPr>
              <w:autoSpaceDE w:val="0"/>
              <w:autoSpaceDN w:val="0"/>
              <w:jc w:val="left"/>
              <w:rPr>
                <w:rFonts w:asciiTheme="minorEastAsia" w:hAnsiTheme="minorEastAsia" w:eastAsiaTheme="minorEastAsia" w:cstheme="minorEastAsia"/>
                <w:kern w:val="0"/>
                <w:sz w:val="20"/>
                <w:szCs w:val="22"/>
                <w:lang w:val="zh-CN" w:bidi="zh-CN"/>
              </w:rPr>
            </w:pPr>
          </w:p>
        </w:tc>
        <w:tc>
          <w:tcPr>
            <w:tcW w:w="2042" w:type="dxa"/>
            <w:gridSpan w:val="2"/>
          </w:tcPr>
          <w:p>
            <w:pPr>
              <w:autoSpaceDE w:val="0"/>
              <w:autoSpaceDN w:val="0"/>
              <w:spacing w:before="80"/>
              <w:ind w:left="593"/>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毕业时间</w:t>
            </w:r>
          </w:p>
        </w:tc>
        <w:tc>
          <w:tcPr>
            <w:tcW w:w="2327" w:type="dxa"/>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1702" w:type="dxa"/>
          </w:tcPr>
          <w:p>
            <w:pPr>
              <w:autoSpaceDE w:val="0"/>
              <w:autoSpaceDN w:val="0"/>
              <w:spacing w:before="82"/>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参加工作时间</w:t>
            </w:r>
          </w:p>
        </w:tc>
        <w:tc>
          <w:tcPr>
            <w:tcW w:w="3004" w:type="dxa"/>
            <w:gridSpan w:val="4"/>
          </w:tcPr>
          <w:p>
            <w:pPr>
              <w:autoSpaceDE w:val="0"/>
              <w:autoSpaceDN w:val="0"/>
              <w:jc w:val="left"/>
              <w:rPr>
                <w:rFonts w:asciiTheme="minorEastAsia" w:hAnsiTheme="minorEastAsia" w:eastAsiaTheme="minorEastAsia" w:cstheme="minorEastAsia"/>
                <w:kern w:val="0"/>
                <w:sz w:val="20"/>
                <w:szCs w:val="22"/>
                <w:lang w:val="zh-CN" w:bidi="zh-CN"/>
              </w:rPr>
            </w:pPr>
          </w:p>
        </w:tc>
        <w:tc>
          <w:tcPr>
            <w:tcW w:w="2042" w:type="dxa"/>
            <w:gridSpan w:val="2"/>
          </w:tcPr>
          <w:p>
            <w:pPr>
              <w:autoSpaceDE w:val="0"/>
              <w:autoSpaceDN w:val="0"/>
              <w:spacing w:before="82"/>
              <w:ind w:left="276"/>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从事本专业年限</w:t>
            </w:r>
          </w:p>
        </w:tc>
        <w:tc>
          <w:tcPr>
            <w:tcW w:w="2327" w:type="dxa"/>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8" w:hRule="atLeast"/>
        </w:trPr>
        <w:tc>
          <w:tcPr>
            <w:tcW w:w="1702" w:type="dxa"/>
          </w:tcPr>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执业注册资格职</w:t>
            </w:r>
          </w:p>
          <w:p>
            <w:pPr>
              <w:autoSpaceDE w:val="0"/>
              <w:autoSpaceDN w:val="0"/>
              <w:spacing w:line="273"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称</w:t>
            </w:r>
          </w:p>
        </w:tc>
        <w:tc>
          <w:tcPr>
            <w:tcW w:w="3004" w:type="dxa"/>
            <w:gridSpan w:val="4"/>
          </w:tcPr>
          <w:p>
            <w:pPr>
              <w:autoSpaceDE w:val="0"/>
              <w:autoSpaceDN w:val="0"/>
              <w:jc w:val="left"/>
              <w:rPr>
                <w:rFonts w:asciiTheme="minorEastAsia" w:hAnsiTheme="minorEastAsia" w:eastAsiaTheme="minorEastAsia" w:cstheme="minorEastAsia"/>
                <w:kern w:val="0"/>
                <w:sz w:val="20"/>
                <w:szCs w:val="22"/>
                <w:lang w:val="zh-CN" w:bidi="zh-CN"/>
              </w:rPr>
            </w:pPr>
          </w:p>
        </w:tc>
        <w:tc>
          <w:tcPr>
            <w:tcW w:w="2042" w:type="dxa"/>
            <w:gridSpan w:val="2"/>
          </w:tcPr>
          <w:p>
            <w:pPr>
              <w:autoSpaceDE w:val="0"/>
              <w:autoSpaceDN w:val="0"/>
              <w:spacing w:line="275" w:lineRule="exact"/>
              <w:ind w:left="488"/>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是否本单位</w:t>
            </w:r>
          </w:p>
          <w:p>
            <w:pPr>
              <w:autoSpaceDE w:val="0"/>
              <w:autoSpaceDN w:val="0"/>
              <w:spacing w:line="273" w:lineRule="exact"/>
              <w:ind w:left="593"/>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长期雇员</w:t>
            </w:r>
          </w:p>
        </w:tc>
        <w:tc>
          <w:tcPr>
            <w:tcW w:w="2327" w:type="dxa"/>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atLeast"/>
        </w:trPr>
        <w:tc>
          <w:tcPr>
            <w:tcW w:w="1702" w:type="dxa"/>
          </w:tcPr>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在本项目拟任</w:t>
            </w: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职务</w:t>
            </w:r>
          </w:p>
        </w:tc>
        <w:tc>
          <w:tcPr>
            <w:tcW w:w="7373" w:type="dxa"/>
            <w:gridSpan w:val="7"/>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8" w:hRule="atLeast"/>
        </w:trPr>
        <w:tc>
          <w:tcPr>
            <w:tcW w:w="1702" w:type="dxa"/>
            <w:vMerge w:val="restart"/>
          </w:tcPr>
          <w:p>
            <w:pPr>
              <w:autoSpaceDE w:val="0"/>
              <w:autoSpaceDN w:val="0"/>
              <w:jc w:val="left"/>
              <w:rPr>
                <w:rFonts w:asciiTheme="minorEastAsia" w:hAnsiTheme="minorEastAsia" w:eastAsiaTheme="minorEastAsia" w:cstheme="minorEastAsia"/>
                <w:kern w:val="0"/>
                <w:sz w:val="20"/>
                <w:szCs w:val="22"/>
                <w:lang w:val="zh-CN" w:bidi="zh-CN"/>
              </w:rPr>
            </w:pPr>
          </w:p>
          <w:p>
            <w:pPr>
              <w:autoSpaceDE w:val="0"/>
              <w:autoSpaceDN w:val="0"/>
              <w:jc w:val="left"/>
              <w:rPr>
                <w:rFonts w:asciiTheme="minorEastAsia" w:hAnsiTheme="minorEastAsia" w:eastAsiaTheme="minorEastAsia" w:cstheme="minorEastAsia"/>
                <w:kern w:val="0"/>
                <w:sz w:val="20"/>
                <w:szCs w:val="22"/>
                <w:lang w:val="zh-CN" w:bidi="zh-CN"/>
              </w:rPr>
            </w:pP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本</w:t>
            </w: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人</w:t>
            </w: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主</w:t>
            </w: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要</w:t>
            </w: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成</w:t>
            </w:r>
          </w:p>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果</w:t>
            </w:r>
          </w:p>
        </w:tc>
        <w:tc>
          <w:tcPr>
            <w:tcW w:w="851"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153" w:type="dxa"/>
            <w:gridSpan w:val="3"/>
          </w:tcPr>
          <w:p>
            <w:pPr>
              <w:autoSpaceDE w:val="0"/>
              <w:autoSpaceDN w:val="0"/>
              <w:spacing w:before="83"/>
              <w:ind w:left="123"/>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工程项目名称及规模</w:t>
            </w:r>
          </w:p>
        </w:tc>
        <w:tc>
          <w:tcPr>
            <w:tcW w:w="1583" w:type="dxa"/>
          </w:tcPr>
          <w:p>
            <w:pPr>
              <w:autoSpaceDE w:val="0"/>
              <w:autoSpaceDN w:val="0"/>
              <w:spacing w:before="83"/>
              <w:ind w:left="363"/>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完成年月</w:t>
            </w:r>
          </w:p>
        </w:tc>
        <w:tc>
          <w:tcPr>
            <w:tcW w:w="2786" w:type="dxa"/>
            <w:gridSpan w:val="2"/>
          </w:tcPr>
          <w:p>
            <w:pPr>
              <w:autoSpaceDE w:val="0"/>
              <w:autoSpaceDN w:val="0"/>
              <w:spacing w:before="83"/>
              <w:ind w:left="539"/>
              <w:jc w:val="left"/>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在该项目中任何职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atLeast"/>
        </w:trPr>
        <w:tc>
          <w:tcPr>
            <w:tcW w:w="1702" w:type="dxa"/>
            <w:vMerge w:val="continue"/>
            <w:tcBorders>
              <w:top w:val="nil"/>
            </w:tcBorders>
          </w:tcPr>
          <w:p>
            <w:pPr>
              <w:autoSpaceDE w:val="0"/>
              <w:autoSpaceDN w:val="0"/>
              <w:jc w:val="left"/>
              <w:rPr>
                <w:rFonts w:asciiTheme="minorEastAsia" w:hAnsiTheme="minorEastAsia" w:eastAsiaTheme="minorEastAsia" w:cstheme="minorEastAsia"/>
                <w:kern w:val="0"/>
                <w:sz w:val="2"/>
                <w:szCs w:val="2"/>
                <w:lang w:val="zh-CN" w:bidi="zh-CN"/>
              </w:rPr>
            </w:pPr>
          </w:p>
        </w:tc>
        <w:tc>
          <w:tcPr>
            <w:tcW w:w="851"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153" w:type="dxa"/>
            <w:gridSpan w:val="3"/>
          </w:tcPr>
          <w:p>
            <w:pPr>
              <w:autoSpaceDE w:val="0"/>
              <w:autoSpaceDN w:val="0"/>
              <w:jc w:val="left"/>
              <w:rPr>
                <w:rFonts w:asciiTheme="minorEastAsia" w:hAnsiTheme="minorEastAsia" w:eastAsiaTheme="minorEastAsia" w:cstheme="minorEastAsia"/>
                <w:kern w:val="0"/>
                <w:sz w:val="20"/>
                <w:szCs w:val="22"/>
                <w:lang w:val="zh-CN" w:bidi="zh-CN"/>
              </w:rPr>
            </w:pPr>
          </w:p>
        </w:tc>
        <w:tc>
          <w:tcPr>
            <w:tcW w:w="1583"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786" w:type="dxa"/>
            <w:gridSpan w:val="2"/>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1702" w:type="dxa"/>
            <w:vMerge w:val="continue"/>
            <w:tcBorders>
              <w:top w:val="nil"/>
            </w:tcBorders>
          </w:tcPr>
          <w:p>
            <w:pPr>
              <w:autoSpaceDE w:val="0"/>
              <w:autoSpaceDN w:val="0"/>
              <w:jc w:val="left"/>
              <w:rPr>
                <w:rFonts w:asciiTheme="minorEastAsia" w:hAnsiTheme="minorEastAsia" w:eastAsiaTheme="minorEastAsia" w:cstheme="minorEastAsia"/>
                <w:kern w:val="0"/>
                <w:sz w:val="2"/>
                <w:szCs w:val="2"/>
                <w:lang w:val="zh-CN" w:bidi="zh-CN"/>
              </w:rPr>
            </w:pPr>
          </w:p>
        </w:tc>
        <w:tc>
          <w:tcPr>
            <w:tcW w:w="851"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153" w:type="dxa"/>
            <w:gridSpan w:val="3"/>
          </w:tcPr>
          <w:p>
            <w:pPr>
              <w:autoSpaceDE w:val="0"/>
              <w:autoSpaceDN w:val="0"/>
              <w:jc w:val="left"/>
              <w:rPr>
                <w:rFonts w:asciiTheme="minorEastAsia" w:hAnsiTheme="minorEastAsia" w:eastAsiaTheme="minorEastAsia" w:cstheme="minorEastAsia"/>
                <w:kern w:val="0"/>
                <w:sz w:val="20"/>
                <w:szCs w:val="22"/>
                <w:lang w:val="zh-CN" w:bidi="zh-CN"/>
              </w:rPr>
            </w:pPr>
          </w:p>
        </w:tc>
        <w:tc>
          <w:tcPr>
            <w:tcW w:w="1583"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786" w:type="dxa"/>
            <w:gridSpan w:val="2"/>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atLeast"/>
        </w:trPr>
        <w:tc>
          <w:tcPr>
            <w:tcW w:w="1702" w:type="dxa"/>
            <w:vMerge w:val="continue"/>
            <w:tcBorders>
              <w:top w:val="nil"/>
            </w:tcBorders>
          </w:tcPr>
          <w:p>
            <w:pPr>
              <w:autoSpaceDE w:val="0"/>
              <w:autoSpaceDN w:val="0"/>
              <w:jc w:val="left"/>
              <w:rPr>
                <w:rFonts w:asciiTheme="minorEastAsia" w:hAnsiTheme="minorEastAsia" w:eastAsiaTheme="minorEastAsia" w:cstheme="minorEastAsia"/>
                <w:kern w:val="0"/>
                <w:sz w:val="2"/>
                <w:szCs w:val="2"/>
                <w:lang w:val="zh-CN" w:bidi="zh-CN"/>
              </w:rPr>
            </w:pPr>
          </w:p>
        </w:tc>
        <w:tc>
          <w:tcPr>
            <w:tcW w:w="851"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153" w:type="dxa"/>
            <w:gridSpan w:val="3"/>
          </w:tcPr>
          <w:p>
            <w:pPr>
              <w:autoSpaceDE w:val="0"/>
              <w:autoSpaceDN w:val="0"/>
              <w:jc w:val="left"/>
              <w:rPr>
                <w:rFonts w:asciiTheme="minorEastAsia" w:hAnsiTheme="minorEastAsia" w:eastAsiaTheme="minorEastAsia" w:cstheme="minorEastAsia"/>
                <w:kern w:val="0"/>
                <w:sz w:val="20"/>
                <w:szCs w:val="22"/>
                <w:lang w:val="zh-CN" w:bidi="zh-CN"/>
              </w:rPr>
            </w:pPr>
          </w:p>
        </w:tc>
        <w:tc>
          <w:tcPr>
            <w:tcW w:w="1583"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786" w:type="dxa"/>
            <w:gridSpan w:val="2"/>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8" w:hRule="atLeast"/>
        </w:trPr>
        <w:tc>
          <w:tcPr>
            <w:tcW w:w="1702" w:type="dxa"/>
            <w:vMerge w:val="continue"/>
            <w:tcBorders>
              <w:top w:val="nil"/>
            </w:tcBorders>
          </w:tcPr>
          <w:p>
            <w:pPr>
              <w:autoSpaceDE w:val="0"/>
              <w:autoSpaceDN w:val="0"/>
              <w:jc w:val="left"/>
              <w:rPr>
                <w:rFonts w:asciiTheme="minorEastAsia" w:hAnsiTheme="minorEastAsia" w:eastAsiaTheme="minorEastAsia" w:cstheme="minorEastAsia"/>
                <w:kern w:val="0"/>
                <w:sz w:val="2"/>
                <w:szCs w:val="2"/>
                <w:lang w:val="zh-CN" w:bidi="zh-CN"/>
              </w:rPr>
            </w:pPr>
          </w:p>
        </w:tc>
        <w:tc>
          <w:tcPr>
            <w:tcW w:w="851"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153" w:type="dxa"/>
            <w:gridSpan w:val="3"/>
          </w:tcPr>
          <w:p>
            <w:pPr>
              <w:autoSpaceDE w:val="0"/>
              <w:autoSpaceDN w:val="0"/>
              <w:jc w:val="left"/>
              <w:rPr>
                <w:rFonts w:asciiTheme="minorEastAsia" w:hAnsiTheme="minorEastAsia" w:eastAsiaTheme="minorEastAsia" w:cstheme="minorEastAsia"/>
                <w:kern w:val="0"/>
                <w:sz w:val="20"/>
                <w:szCs w:val="22"/>
                <w:lang w:val="zh-CN" w:bidi="zh-CN"/>
              </w:rPr>
            </w:pPr>
          </w:p>
        </w:tc>
        <w:tc>
          <w:tcPr>
            <w:tcW w:w="1583"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786" w:type="dxa"/>
            <w:gridSpan w:val="2"/>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1702" w:type="dxa"/>
            <w:vMerge w:val="continue"/>
            <w:tcBorders>
              <w:top w:val="nil"/>
            </w:tcBorders>
          </w:tcPr>
          <w:p>
            <w:pPr>
              <w:autoSpaceDE w:val="0"/>
              <w:autoSpaceDN w:val="0"/>
              <w:jc w:val="left"/>
              <w:rPr>
                <w:rFonts w:asciiTheme="minorEastAsia" w:hAnsiTheme="minorEastAsia" w:eastAsiaTheme="minorEastAsia" w:cstheme="minorEastAsia"/>
                <w:kern w:val="0"/>
                <w:sz w:val="2"/>
                <w:szCs w:val="2"/>
                <w:lang w:val="zh-CN" w:bidi="zh-CN"/>
              </w:rPr>
            </w:pPr>
          </w:p>
        </w:tc>
        <w:tc>
          <w:tcPr>
            <w:tcW w:w="851"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153" w:type="dxa"/>
            <w:gridSpan w:val="3"/>
          </w:tcPr>
          <w:p>
            <w:pPr>
              <w:autoSpaceDE w:val="0"/>
              <w:autoSpaceDN w:val="0"/>
              <w:jc w:val="left"/>
              <w:rPr>
                <w:rFonts w:asciiTheme="minorEastAsia" w:hAnsiTheme="minorEastAsia" w:eastAsiaTheme="minorEastAsia" w:cstheme="minorEastAsia"/>
                <w:kern w:val="0"/>
                <w:sz w:val="20"/>
                <w:szCs w:val="22"/>
                <w:lang w:val="zh-CN" w:bidi="zh-CN"/>
              </w:rPr>
            </w:pPr>
          </w:p>
        </w:tc>
        <w:tc>
          <w:tcPr>
            <w:tcW w:w="1583" w:type="dxa"/>
          </w:tcPr>
          <w:p>
            <w:pPr>
              <w:autoSpaceDE w:val="0"/>
              <w:autoSpaceDN w:val="0"/>
              <w:jc w:val="left"/>
              <w:rPr>
                <w:rFonts w:asciiTheme="minorEastAsia" w:hAnsiTheme="minorEastAsia" w:eastAsiaTheme="minorEastAsia" w:cstheme="minorEastAsia"/>
                <w:kern w:val="0"/>
                <w:sz w:val="20"/>
                <w:szCs w:val="22"/>
                <w:lang w:val="zh-CN" w:bidi="zh-CN"/>
              </w:rPr>
            </w:pPr>
          </w:p>
        </w:tc>
        <w:tc>
          <w:tcPr>
            <w:tcW w:w="2786" w:type="dxa"/>
            <w:gridSpan w:val="2"/>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5" w:hRule="atLeast"/>
        </w:trPr>
        <w:tc>
          <w:tcPr>
            <w:tcW w:w="1702" w:type="dxa"/>
          </w:tcPr>
          <w:p>
            <w:pPr>
              <w:autoSpaceDE w:val="0"/>
              <w:autoSpaceDN w:val="0"/>
              <w:spacing w:line="275"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本人主要获奖情</w:t>
            </w:r>
          </w:p>
          <w:p>
            <w:pPr>
              <w:autoSpaceDE w:val="0"/>
              <w:autoSpaceDN w:val="0"/>
              <w:spacing w:line="271"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况（如有）</w:t>
            </w:r>
          </w:p>
        </w:tc>
        <w:tc>
          <w:tcPr>
            <w:tcW w:w="7373" w:type="dxa"/>
            <w:gridSpan w:val="7"/>
          </w:tcPr>
          <w:p>
            <w:pPr>
              <w:autoSpaceDE w:val="0"/>
              <w:autoSpaceDN w:val="0"/>
              <w:jc w:val="left"/>
              <w:rPr>
                <w:rFonts w:asciiTheme="minorEastAsia" w:hAnsiTheme="minorEastAsia" w:eastAsiaTheme="minorEastAsia" w:cstheme="minorEastAsia"/>
                <w:kern w:val="0"/>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1702" w:type="dxa"/>
          </w:tcPr>
          <w:p>
            <w:pPr>
              <w:autoSpaceDE w:val="0"/>
              <w:autoSpaceDN w:val="0"/>
              <w:spacing w:line="276"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其它需</w:t>
            </w:r>
          </w:p>
          <w:p>
            <w:pPr>
              <w:autoSpaceDE w:val="0"/>
              <w:autoSpaceDN w:val="0"/>
              <w:spacing w:line="272" w:lineRule="exact"/>
              <w:ind w:left="16"/>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补充的情况</w:t>
            </w:r>
          </w:p>
        </w:tc>
        <w:tc>
          <w:tcPr>
            <w:tcW w:w="7373" w:type="dxa"/>
            <w:gridSpan w:val="7"/>
          </w:tcPr>
          <w:p>
            <w:pPr>
              <w:autoSpaceDE w:val="0"/>
              <w:autoSpaceDN w:val="0"/>
              <w:spacing w:before="82"/>
              <w:ind w:left="5"/>
              <w:jc w:val="center"/>
              <w:rPr>
                <w:rFonts w:asciiTheme="minorEastAsia" w:hAnsiTheme="minorEastAsia" w:eastAsiaTheme="minorEastAsia" w:cstheme="minorEastAsia"/>
                <w:kern w:val="0"/>
                <w:szCs w:val="22"/>
                <w:lang w:val="zh-CN" w:bidi="zh-CN"/>
              </w:rPr>
            </w:pPr>
            <w:r>
              <w:rPr>
                <w:rFonts w:hint="eastAsia" w:asciiTheme="minorEastAsia" w:hAnsiTheme="minorEastAsia" w:eastAsiaTheme="minorEastAsia" w:cstheme="minorEastAsia"/>
                <w:kern w:val="0"/>
                <w:szCs w:val="22"/>
                <w:lang w:val="zh-CN" w:bidi="zh-CN"/>
              </w:rPr>
              <w:t>无</w:t>
            </w:r>
          </w:p>
        </w:tc>
      </w:tr>
    </w:tbl>
    <w:p>
      <w:pPr>
        <w:autoSpaceDE w:val="0"/>
        <w:autoSpaceDN w:val="0"/>
        <w:spacing w:before="15"/>
        <w:jc w:val="left"/>
        <w:rPr>
          <w:rFonts w:asciiTheme="minorEastAsia" w:hAnsiTheme="minorEastAsia" w:eastAsiaTheme="minorEastAsia" w:cstheme="minorEastAsia"/>
          <w:kern w:val="0"/>
          <w:sz w:val="40"/>
          <w:szCs w:val="21"/>
          <w:lang w:val="zh-CN" w:bidi="zh-CN"/>
        </w:rPr>
      </w:pPr>
    </w:p>
    <w:p>
      <w:pPr>
        <w:autoSpaceDE w:val="0"/>
        <w:autoSpaceDN w:val="0"/>
        <w:spacing w:line="460" w:lineRule="exact"/>
        <w:ind w:left="323" w:right="270" w:rightChars="0"/>
        <w:jc w:val="left"/>
        <w:rPr>
          <w:rFonts w:asciiTheme="minorEastAsia" w:hAnsiTheme="minorEastAsia" w:eastAsiaTheme="minorEastAsia" w:cstheme="minorEastAsia"/>
          <w:kern w:val="0"/>
          <w:szCs w:val="21"/>
          <w:lang w:val="zh-CN" w:bidi="zh-CN"/>
        </w:rPr>
      </w:pPr>
      <w:r>
        <w:rPr>
          <w:rFonts w:hint="eastAsia" w:asciiTheme="minorEastAsia" w:hAnsiTheme="minorEastAsia" w:eastAsiaTheme="minorEastAsia" w:cstheme="minorEastAsia"/>
          <w:spacing w:val="-1"/>
          <w:kern w:val="0"/>
          <w:szCs w:val="21"/>
          <w:lang w:val="zh-CN" w:bidi="zh-CN"/>
        </w:rPr>
        <w:t>注：应附相关资料原件的扫描件；主要人员指评分标准中所列人员：总负责人、各专业负责人及</w:t>
      </w:r>
      <w:r>
        <w:rPr>
          <w:rFonts w:hint="eastAsia" w:asciiTheme="minorEastAsia" w:hAnsiTheme="minorEastAsia" w:eastAsiaTheme="minorEastAsia" w:cstheme="minorEastAsia"/>
          <w:kern w:val="0"/>
          <w:szCs w:val="21"/>
          <w:lang w:val="zh-CN" w:bidi="zh-CN"/>
        </w:rPr>
        <w:t>其他有评分要求的人员，须附注册证或职称证、社保证明原件扫描件。其他人员应附岗位证或职称证、社保证明原件扫描件；每个人员填写一张表格。</w:t>
      </w:r>
    </w:p>
    <w:p>
      <w:pPr>
        <w:spacing w:line="7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br w:type="page"/>
      </w:r>
    </w:p>
    <w:bookmarkEnd w:id="211"/>
    <w:bookmarkEnd w:id="212"/>
    <w:bookmarkEnd w:id="213"/>
    <w:bookmarkEnd w:id="214"/>
    <w:bookmarkEnd w:id="215"/>
    <w:p>
      <w:pPr>
        <w:spacing w:before="39"/>
        <w:ind w:right="19"/>
        <w:jc w:val="center"/>
        <w:rPr>
          <w:rFonts w:asciiTheme="minorEastAsia" w:hAnsiTheme="minorEastAsia" w:eastAsiaTheme="minorEastAsia" w:cstheme="minorEastAsia"/>
          <w:b/>
          <w:bCs/>
          <w:sz w:val="30"/>
        </w:rPr>
      </w:pPr>
      <w:bookmarkStart w:id="216" w:name="_Toc6531"/>
      <w:r>
        <w:rPr>
          <w:rFonts w:hint="eastAsia" w:asciiTheme="minorEastAsia" w:hAnsiTheme="minorEastAsia" w:eastAsiaTheme="minorEastAsia" w:cstheme="minorEastAsia"/>
          <w:b/>
          <w:bCs/>
          <w:sz w:val="30"/>
          <w:lang w:val="en-US" w:eastAsia="zh-CN"/>
        </w:rPr>
        <w:t>六</w:t>
      </w:r>
      <w:r>
        <w:rPr>
          <w:rFonts w:hint="eastAsia" w:asciiTheme="minorEastAsia" w:hAnsiTheme="minorEastAsia" w:eastAsiaTheme="minorEastAsia" w:cstheme="minorEastAsia"/>
          <w:b/>
          <w:bCs/>
          <w:sz w:val="30"/>
        </w:rPr>
        <w:t>、全过程工程咨询服务实施方案</w:t>
      </w:r>
      <w:bookmarkEnd w:id="216"/>
    </w:p>
    <w:p>
      <w:pPr>
        <w:pStyle w:val="2"/>
        <w:rPr>
          <w:rFonts w:asciiTheme="minorEastAsia" w:hAnsiTheme="minorEastAsia" w:eastAsiaTheme="minorEastAsia" w:cstheme="minorEastAsia"/>
          <w:sz w:val="20"/>
        </w:rPr>
      </w:pPr>
    </w:p>
    <w:p>
      <w:pPr>
        <w:pStyle w:val="2"/>
        <w:spacing w:before="1"/>
        <w:rPr>
          <w:rFonts w:asciiTheme="minorEastAsia" w:hAnsiTheme="minorEastAsia" w:eastAsiaTheme="minorEastAsia" w:cstheme="minorEastAsia"/>
          <w:sz w:val="10"/>
        </w:rPr>
      </w:pPr>
    </w:p>
    <w:p>
      <w:pPr>
        <w:spacing w:before="39"/>
        <w:ind w:right="19"/>
        <w:jc w:val="center"/>
        <w:rPr>
          <w:rFonts w:asciiTheme="minorEastAsia" w:hAnsiTheme="minorEastAsia" w:eastAsiaTheme="minorEastAsia" w:cstheme="minorEastAsia"/>
          <w:sz w:val="30"/>
        </w:rPr>
      </w:pPr>
      <w:r>
        <w:rPr>
          <w:rFonts w:hint="eastAsia" w:asciiTheme="minorEastAsia" w:hAnsiTheme="minorEastAsia" w:eastAsiaTheme="minorEastAsia" w:cstheme="minorEastAsia"/>
          <w:sz w:val="30"/>
        </w:rPr>
        <w:t>（格式自拟）</w:t>
      </w:r>
    </w:p>
    <w:p>
      <w:pPr>
        <w:spacing w:before="39"/>
        <w:ind w:right="18"/>
        <w:jc w:val="center"/>
        <w:rPr>
          <w:rFonts w:asciiTheme="minorEastAsia" w:hAnsiTheme="minorEastAsia" w:eastAsiaTheme="minorEastAsia" w:cstheme="minorEastAsia"/>
          <w:sz w:val="30"/>
        </w:rPr>
      </w:pPr>
      <w:r>
        <w:rPr>
          <w:rFonts w:hint="eastAsia" w:asciiTheme="minorEastAsia" w:hAnsiTheme="minorEastAsia" w:eastAsiaTheme="minorEastAsia" w:cstheme="minorEastAsia"/>
          <w:sz w:val="24"/>
        </w:rPr>
        <w:br w:type="page"/>
      </w:r>
      <w:bookmarkStart w:id="217" w:name="_Toc5848"/>
      <w:r>
        <w:rPr>
          <w:rFonts w:hint="eastAsia" w:asciiTheme="minorEastAsia" w:hAnsiTheme="minorEastAsia" w:eastAsiaTheme="minorEastAsia" w:cstheme="minorEastAsia"/>
          <w:b/>
          <w:bCs/>
          <w:sz w:val="30"/>
          <w:lang w:val="en-US" w:eastAsia="zh-CN"/>
        </w:rPr>
        <w:t>七</w:t>
      </w:r>
      <w:r>
        <w:rPr>
          <w:rFonts w:hint="eastAsia" w:asciiTheme="minorEastAsia" w:hAnsiTheme="minorEastAsia" w:eastAsiaTheme="minorEastAsia" w:cstheme="minorEastAsia"/>
          <w:b/>
          <w:bCs/>
          <w:sz w:val="30"/>
        </w:rPr>
        <w:t>、其他材料</w:t>
      </w:r>
      <w:bookmarkEnd w:id="217"/>
    </w:p>
    <w:p>
      <w:pPr>
        <w:pStyle w:val="2"/>
        <w:spacing w:before="5"/>
        <w:rPr>
          <w:rFonts w:asciiTheme="minorEastAsia" w:hAnsiTheme="minorEastAsia" w:eastAsiaTheme="minorEastAsia" w:cstheme="minorEastAsia"/>
          <w:sz w:val="17"/>
        </w:rPr>
      </w:pPr>
    </w:p>
    <w:p>
      <w:pPr>
        <w:spacing w:before="65"/>
        <w:ind w:left="351"/>
        <w:rPr>
          <w:rFonts w:asciiTheme="minorEastAsia" w:hAnsiTheme="minorEastAsia" w:eastAsiaTheme="minorEastAsia" w:cstheme="minorEastAsia"/>
          <w:sz w:val="28"/>
        </w:rPr>
      </w:pPr>
      <w:bookmarkStart w:id="218" w:name="九、__其他材料"/>
      <w:bookmarkEnd w:id="218"/>
      <w:bookmarkStart w:id="219" w:name="_Toc6792"/>
      <w:bookmarkStart w:id="220" w:name="_Toc26201"/>
    </w:p>
    <w:p>
      <w:pPr>
        <w:spacing w:before="65"/>
        <w:ind w:left="351"/>
        <w:rPr>
          <w:rFonts w:asciiTheme="minorEastAsia" w:hAnsiTheme="minorEastAsia" w:eastAsiaTheme="minorEastAsia" w:cstheme="minorEastAsia"/>
          <w:sz w:val="28"/>
        </w:rPr>
      </w:pPr>
      <w:r>
        <w:rPr>
          <w:rFonts w:hint="eastAsia" w:asciiTheme="minorEastAsia" w:hAnsiTheme="minorEastAsia" w:eastAsiaTheme="minorEastAsia" w:cstheme="minorEastAsia"/>
          <w:sz w:val="28"/>
        </w:rPr>
        <w:t>1、承诺书</w:t>
      </w:r>
      <w:bookmarkEnd w:id="219"/>
      <w:bookmarkEnd w:id="220"/>
    </w:p>
    <w:p>
      <w:pPr>
        <w:pStyle w:val="2"/>
        <w:rPr>
          <w:rFonts w:asciiTheme="minorEastAsia" w:hAnsiTheme="minorEastAsia" w:eastAsiaTheme="minorEastAsia" w:cstheme="minorEastAsia"/>
          <w:sz w:val="20"/>
        </w:rPr>
      </w:pPr>
    </w:p>
    <w:p>
      <w:pPr>
        <w:pStyle w:val="2"/>
        <w:rPr>
          <w:rFonts w:asciiTheme="minorEastAsia" w:hAnsiTheme="minorEastAsia" w:eastAsiaTheme="minorEastAsia" w:cstheme="minorEastAsia"/>
          <w:sz w:val="16"/>
        </w:rPr>
      </w:pPr>
    </w:p>
    <w:p>
      <w:pPr>
        <w:spacing w:line="360" w:lineRule="auto"/>
        <w:jc w:val="center"/>
        <w:rPr>
          <w:rFonts w:asciiTheme="minorEastAsia" w:hAnsiTheme="minorEastAsia" w:eastAsiaTheme="minorEastAsia" w:cstheme="minorEastAsia"/>
          <w:sz w:val="28"/>
          <w:szCs w:val="28"/>
        </w:rPr>
      </w:pPr>
      <w:bookmarkStart w:id="221" w:name="_Toc1250"/>
      <w:bookmarkStart w:id="222" w:name="_Toc15165"/>
      <w:r>
        <w:rPr>
          <w:rFonts w:hint="eastAsia" w:asciiTheme="minorEastAsia" w:hAnsiTheme="minorEastAsia" w:eastAsiaTheme="minorEastAsia" w:cstheme="minorEastAsia"/>
          <w:sz w:val="28"/>
          <w:szCs w:val="28"/>
        </w:rPr>
        <w:t>全市房屋建筑和市政基础设施工程项目</w:t>
      </w:r>
      <w:bookmarkEnd w:id="221"/>
      <w:bookmarkEnd w:id="222"/>
    </w:p>
    <w:p>
      <w:pPr>
        <w:spacing w:line="360" w:lineRule="auto"/>
        <w:jc w:val="center"/>
        <w:rPr>
          <w:rFonts w:asciiTheme="minorEastAsia" w:hAnsiTheme="minorEastAsia" w:eastAsiaTheme="minorEastAsia" w:cstheme="minorEastAsia"/>
          <w:sz w:val="28"/>
          <w:szCs w:val="28"/>
        </w:rPr>
      </w:pPr>
      <w:bookmarkStart w:id="223" w:name="_Toc1954"/>
      <w:bookmarkStart w:id="224" w:name="_Toc15576"/>
      <w:r>
        <w:rPr>
          <w:rFonts w:hint="eastAsia" w:asciiTheme="minorEastAsia" w:hAnsiTheme="minorEastAsia" w:eastAsiaTheme="minorEastAsia" w:cstheme="minorEastAsia"/>
          <w:sz w:val="28"/>
          <w:szCs w:val="28"/>
        </w:rPr>
        <w:t>招标投标活动承诺书</w:t>
      </w:r>
      <w:bookmarkEnd w:id="223"/>
      <w:bookmarkEnd w:id="224"/>
    </w:p>
    <w:p>
      <w:pPr>
        <w:rPr>
          <w:rFonts w:asciiTheme="minorEastAsia" w:hAnsiTheme="minorEastAsia" w:eastAsiaTheme="minorEastAsia" w:cstheme="minorEastAsia"/>
        </w:rPr>
      </w:pPr>
    </w:p>
    <w:p>
      <w:pPr>
        <w:pStyle w:val="2"/>
        <w:spacing w:before="5"/>
        <w:rPr>
          <w:rFonts w:asciiTheme="minorEastAsia" w:hAnsiTheme="minorEastAsia" w:eastAsiaTheme="minorEastAsia" w:cstheme="minorEastAsia"/>
          <w:sz w:val="23"/>
        </w:rPr>
      </w:pPr>
    </w:p>
    <w:p>
      <w:pPr>
        <w:pStyle w:val="2"/>
        <w:tabs>
          <w:tab w:val="left" w:pos="3685"/>
        </w:tabs>
        <w:spacing w:line="500" w:lineRule="exact"/>
        <w:ind w:firstLine="48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我单位承诺，在 </w:t>
      </w:r>
      <w:r>
        <w:rPr>
          <w:rFonts w:hint="eastAsia" w:asciiTheme="minorEastAsia" w:hAnsiTheme="minorEastAsia" w:eastAsiaTheme="minorEastAsia" w:cstheme="minorEastAsia"/>
          <w:u w:val="single"/>
        </w:rPr>
        <w:tab/>
      </w:r>
      <w:r>
        <w:rPr>
          <w:rFonts w:hint="eastAsia" w:asciiTheme="minorEastAsia" w:hAnsiTheme="minorEastAsia" w:eastAsiaTheme="minorEastAsia" w:cstheme="minorEastAsia"/>
        </w:rPr>
        <w:t>项目招投标活动中，自觉遵守《中华人民共和国招标投标法》、《中华人民共和国招标投标法实施条例》、河南省实施《中华人民共和国招标投标法》办法等招标投标相关法律、法规和制度规定，不存在《洛阳市房屋建筑和市政基础设施工程招标投标负面行为清单》中所列行为，如有违反，愿承担相关法律责任。</w:t>
      </w:r>
    </w:p>
    <w:p>
      <w:pPr>
        <w:pStyle w:val="2"/>
        <w:rPr>
          <w:rFonts w:asciiTheme="minorEastAsia" w:hAnsiTheme="minorEastAsia" w:eastAsiaTheme="minorEastAsia" w:cstheme="minorEastAsia"/>
          <w:sz w:val="20"/>
        </w:rPr>
      </w:pPr>
    </w:p>
    <w:p>
      <w:pPr>
        <w:pStyle w:val="2"/>
        <w:rPr>
          <w:rFonts w:asciiTheme="minorEastAsia" w:hAnsiTheme="minorEastAsia" w:eastAsiaTheme="minorEastAsia" w:cstheme="minorEastAsia"/>
          <w:sz w:val="20"/>
        </w:rPr>
      </w:pPr>
    </w:p>
    <w:p>
      <w:pPr>
        <w:pStyle w:val="2"/>
        <w:spacing w:before="4"/>
        <w:rPr>
          <w:rFonts w:asciiTheme="minorEastAsia" w:hAnsiTheme="minorEastAsia" w:eastAsiaTheme="minorEastAsia" w:cstheme="minorEastAsia"/>
          <w:sz w:val="18"/>
        </w:rPr>
      </w:pPr>
    </w:p>
    <w:p>
      <w:pPr>
        <w:pStyle w:val="2"/>
        <w:spacing w:line="508" w:lineRule="auto"/>
        <w:ind w:left="351" w:right="3692"/>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法定代表人或委托代理人（签字或盖电子章）： </w:t>
      </w:r>
    </w:p>
    <w:p>
      <w:pPr>
        <w:pStyle w:val="2"/>
        <w:spacing w:line="508" w:lineRule="auto"/>
        <w:ind w:left="351" w:right="3692"/>
        <w:rPr>
          <w:rFonts w:asciiTheme="minorEastAsia" w:hAnsiTheme="minorEastAsia" w:eastAsiaTheme="minorEastAsia" w:cstheme="minorEastAsia"/>
        </w:rPr>
      </w:pPr>
      <w:r>
        <w:rPr>
          <w:rFonts w:hint="eastAsia" w:asciiTheme="minorEastAsia" w:hAnsiTheme="minorEastAsia" w:eastAsiaTheme="minorEastAsia" w:cstheme="minorEastAsia"/>
        </w:rPr>
        <w:t>联系电话：</w:t>
      </w:r>
    </w:p>
    <w:p>
      <w:pPr>
        <w:pStyle w:val="2"/>
        <w:spacing w:before="15"/>
        <w:ind w:left="351"/>
        <w:rPr>
          <w:rFonts w:asciiTheme="minorEastAsia" w:hAnsiTheme="minorEastAsia" w:eastAsiaTheme="minorEastAsia" w:cstheme="minorEastAsia"/>
        </w:rPr>
      </w:pPr>
      <w:r>
        <w:rPr>
          <w:rFonts w:hint="eastAsia" w:asciiTheme="minorEastAsia" w:hAnsiTheme="minorEastAsia" w:eastAsiaTheme="minorEastAsia" w:cstheme="minorEastAsia"/>
        </w:rPr>
        <w:t>承诺人（盖单位章）：</w:t>
      </w:r>
    </w:p>
    <w:p>
      <w:pPr>
        <w:pStyle w:val="2"/>
        <w:rPr>
          <w:rFonts w:asciiTheme="minorEastAsia" w:hAnsiTheme="minorEastAsia" w:eastAsiaTheme="minorEastAsia" w:cstheme="minorEastAsia"/>
          <w:sz w:val="20"/>
        </w:rPr>
      </w:pPr>
    </w:p>
    <w:p>
      <w:pPr>
        <w:pStyle w:val="2"/>
        <w:rPr>
          <w:rFonts w:asciiTheme="minorEastAsia" w:hAnsiTheme="minorEastAsia" w:eastAsiaTheme="minorEastAsia" w:cstheme="minorEastAsia"/>
          <w:sz w:val="20"/>
        </w:rPr>
      </w:pPr>
    </w:p>
    <w:p>
      <w:pPr>
        <w:pStyle w:val="2"/>
        <w:spacing w:before="11"/>
        <w:rPr>
          <w:rFonts w:asciiTheme="minorEastAsia" w:hAnsiTheme="minorEastAsia" w:eastAsiaTheme="minorEastAsia" w:cstheme="minorEastAsia"/>
          <w:sz w:val="26"/>
        </w:rPr>
      </w:pPr>
    </w:p>
    <w:p>
      <w:pPr>
        <w:pStyle w:val="2"/>
        <w:tabs>
          <w:tab w:val="left" w:pos="735"/>
          <w:tab w:val="left" w:pos="1471"/>
        </w:tabs>
        <w:spacing w:before="1"/>
        <w:ind w:right="1491"/>
        <w:jc w:val="right"/>
        <w:rPr>
          <w:rFonts w:asciiTheme="minorEastAsia" w:hAnsiTheme="minorEastAsia" w:eastAsiaTheme="minorEastAsia" w:cstheme="minorEastAsia"/>
        </w:rPr>
      </w:pPr>
      <w:r>
        <w:rPr>
          <w:rFonts w:hint="eastAsia" w:asciiTheme="minorEastAsia" w:hAnsiTheme="minorEastAsia" w:eastAsiaTheme="minorEastAsia" w:cstheme="minorEastAsia"/>
        </w:rPr>
        <w:t>年</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月</w:t>
      </w:r>
      <w:r>
        <w:rPr>
          <w:rFonts w:hint="eastAsia" w:asciiTheme="minorEastAsia" w:hAnsiTheme="minorEastAsia" w:eastAsiaTheme="minorEastAsia" w:cstheme="minorEastAsia"/>
        </w:rPr>
        <w:tab/>
      </w:r>
      <w:r>
        <w:rPr>
          <w:rFonts w:hint="eastAsia" w:asciiTheme="minorEastAsia" w:hAnsiTheme="minorEastAsia" w:eastAsiaTheme="minorEastAsia" w:cstheme="minorEastAsia"/>
        </w:rPr>
        <w:t>日</w:t>
      </w:r>
    </w:p>
    <w:p>
      <w:pPr>
        <w:pStyle w:val="2"/>
        <w:rPr>
          <w:rFonts w:asciiTheme="minorEastAsia" w:hAnsiTheme="minorEastAsia" w:eastAsiaTheme="minorEastAsia" w:cstheme="minorEastAsia"/>
          <w:sz w:val="20"/>
        </w:rPr>
      </w:pPr>
    </w:p>
    <w:p>
      <w:pPr>
        <w:pStyle w:val="2"/>
        <w:rPr>
          <w:rFonts w:asciiTheme="minorEastAsia" w:hAnsiTheme="minorEastAsia" w:eastAsiaTheme="minorEastAsia" w:cstheme="minorEastAsia"/>
          <w:sz w:val="20"/>
        </w:rPr>
      </w:pPr>
    </w:p>
    <w:p>
      <w:pPr>
        <w:pStyle w:val="2"/>
        <w:spacing w:before="164"/>
        <w:ind w:left="351"/>
        <w:rPr>
          <w:rFonts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rPr>
          <w:rFonts w:asciiTheme="minorEastAsia" w:hAnsiTheme="minorEastAsia" w:eastAsiaTheme="minorEastAsia" w:cstheme="minorEastAsia"/>
        </w:rPr>
        <w:sectPr>
          <w:pgSz w:w="11910" w:h="16850"/>
          <w:pgMar w:top="1360" w:right="1060" w:bottom="1000" w:left="1120" w:header="866" w:footer="801" w:gutter="0"/>
          <w:pgNumType w:fmt="numberInDash"/>
          <w:cols w:space="720" w:num="1"/>
        </w:sectPr>
      </w:pPr>
    </w:p>
    <w:p>
      <w:pPr>
        <w:pStyle w:val="2"/>
        <w:spacing w:before="9"/>
        <w:rPr>
          <w:rFonts w:asciiTheme="minorEastAsia" w:hAnsiTheme="minorEastAsia" w:eastAsiaTheme="minorEastAsia" w:cstheme="minorEastAsia"/>
          <w:sz w:val="28"/>
          <w:lang w:val="en-US" w:bidi="ar-SA"/>
        </w:rPr>
      </w:pPr>
    </w:p>
    <w:p>
      <w:pPr>
        <w:spacing w:line="492" w:lineRule="exact"/>
        <w:ind w:left="351"/>
        <w:rPr>
          <w:rFonts w:asciiTheme="minorEastAsia" w:hAnsiTheme="minorEastAsia" w:eastAsiaTheme="minorEastAsia" w:cstheme="minorEastAsia"/>
          <w:sz w:val="28"/>
        </w:rPr>
      </w:pPr>
      <w:bookmarkStart w:id="225" w:name="_Toc4454"/>
      <w:bookmarkStart w:id="226" w:name="_Toc14304"/>
      <w:r>
        <w:rPr>
          <w:rFonts w:hint="eastAsia" w:asciiTheme="minorEastAsia" w:hAnsiTheme="minorEastAsia" w:eastAsiaTheme="minorEastAsia" w:cstheme="minorEastAsia"/>
          <w:sz w:val="28"/>
        </w:rPr>
        <w:t>2、投标人认为需提供的其他材料。</w:t>
      </w:r>
      <w:bookmarkEnd w:id="225"/>
      <w:bookmarkEnd w:id="226"/>
    </w:p>
    <w:p>
      <w:pPr>
        <w:spacing w:line="700" w:lineRule="exact"/>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sz w:val="24"/>
        </w:rPr>
        <w:br w:type="page"/>
      </w:r>
      <w:r>
        <w:rPr>
          <w:rFonts w:hint="eastAsia" w:asciiTheme="minorEastAsia" w:hAnsiTheme="minorEastAsia" w:eastAsiaTheme="minorEastAsia" w:cstheme="minorEastAsia"/>
          <w:b/>
          <w:bCs/>
          <w:sz w:val="24"/>
        </w:rPr>
        <w:t xml:space="preserve">   部分招标投标法律法规知识宣传</w:t>
      </w:r>
    </w:p>
    <w:p>
      <w:pPr>
        <w:spacing w:line="50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一、《中华人民共和国招标投标法实施条例》节选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第六十七条规定，投标人相互串通投标或者与招标人串通投标的，投标人向招标人或者评标委员会成员行贿谋取中标的，中标无效；构成犯罪的，依法追究刑事责任。投标人：（一）以行贿谋取中标；（二）3 年内 2 次以上串通投标；（三）串通投标行为损害招标人、其他投标人或者国家、集体、公民的合法利益，造成直接经济损失30万元以上；（四）其他串通投标情节严重的行为。凡有以上行为之一的，属于情节严重行为，由有关行政监督部门取消其 1 年至 2 年内参加依法必须进行招标的项目的投标资格。投标人自以上行为规定的处罚执行期限届满之日起 3 年内又有以上所列违法行为之一的，或者串通投标、以行贿谋取中标情节特别严重的，由工商行政管理机关吊销营业执照。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十八条规定，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投标人：（一）伪造、变造资格、资质证书或者其他许可证件骗取中标；（二）3 年内 2 次以上使用他人名义投标；（三）弄虚作假骗取中标给招标人造成直接经济损失30万元以上；（四）其他弄虚作假骗取中标情节严重的行为。凡有以上行为之一的，属于招标投标法第五十四条规定的情节严重行为，由有关行政监督部门取消其 1 年至 3 年内参加依法必须进行招标的项目的投标资格。投标人自以上行为规定的处罚执行期限届满之日起3年内又有该款所列违法行为之一的，或者弄虚作假骗取中标情节特别严重的，由工商行政管理机关吊销营业执照。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第六十九条规定：出让或者出租资格、资质证书供他人投标的，依照法律、行政法规的规定给予行政处罚；构成犯罪的，依法追究刑事责任。 </w:t>
      </w:r>
    </w:p>
    <w:p>
      <w:pPr>
        <w:spacing w:line="50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二、《中华人民共和国刑法》有关招投标处罚规定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第二百二十三条规定，〔串通投标罪〕投标人相互串通投标报价，损害招标人或者其他投标人利益，情节严重的，处三年以下有期徒刑或者拘役，并处或者单处罚金。投标人与招标人串通投标，损害国家、集体、公民的合法利益的，依照前款的规定处罚。</w:t>
      </w:r>
    </w:p>
    <w:p>
      <w:pPr>
        <w:spacing w:line="50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三、《最高人民检察院公安部关于经济犯罪案件追诉标准的规定》涉及招投标处理事项第六十八条规定，投标人相互串通投标报价，或者投标人与招标人串通投标，涉嫌下列情形之一的，应予追诉：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1、损害招标人、投标人或者国家、集体、公民的合法利益，造成的直接经济损失数额在五十万元以上的；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2、对其他投标人、招标人等投标招标活动的参加人采取威胁、欺骗等非法手段的；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3、虽未达到上述数额标准，但因串通投标，受过行政处罚二次以上，又串通投标的。 </w:t>
      </w:r>
    </w:p>
    <w:p>
      <w:pPr>
        <w:spacing w:line="50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四、《中华人民共和国审计法实施条例》涉及招投标事项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第二十条规定，政府投资和以政府投资为主的建设项目，审计机关依法进行审计监督。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第四十条规定，对依法应当追究有关人员责任的，向有关主管机关、单位提出给予处分的建议；对依法应当由有关主管机关处理、处罚的，移送有关主管机关；涉嫌犯罪的，移送司法机关。 </w:t>
      </w:r>
    </w:p>
    <w:p>
      <w:pPr>
        <w:spacing w:line="500" w:lineRule="exact"/>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 xml:space="preserve">五、全国“扫黑除恶”专项斗争涉及招投标工作 </w:t>
      </w:r>
    </w:p>
    <w:p>
      <w:pPr>
        <w:spacing w:line="50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根据中共中央、国务院《关于开展扫黑除恶专项斗争的通知》精神，扫黑除恶专项斗争打击的重点包括在建筑工程行业强揽工程、恶意竞标的黑恶势力。对有组织地恶意围标串标、强揽工程项目、强行推荐设计、施工、监理队伍、强行肢解分包工程的，招投标等行政监督部门需将问题线索提交市扫黑除恶专项斗争办公室进行查处。</w:t>
      </w:r>
    </w:p>
    <w:p>
      <w:pPr>
        <w:spacing w:line="700" w:lineRule="exact"/>
        <w:rPr>
          <w:rFonts w:asciiTheme="minorEastAsia" w:hAnsiTheme="minorEastAsia" w:eastAsiaTheme="minorEastAsia" w:cstheme="minorEastAsia"/>
          <w:sz w:val="24"/>
        </w:rPr>
      </w:pPr>
    </w:p>
    <w:p>
      <w:pPr>
        <w:spacing w:line="700" w:lineRule="exact"/>
        <w:rPr>
          <w:rFonts w:asciiTheme="minorEastAsia" w:hAnsiTheme="minorEastAsia" w:eastAsiaTheme="minorEastAsia" w:cstheme="minorEastAsia"/>
          <w:sz w:val="24"/>
        </w:rPr>
      </w:pPr>
    </w:p>
    <w:p>
      <w:pPr>
        <w:spacing w:line="700" w:lineRule="exact"/>
        <w:rPr>
          <w:sz w:val="24"/>
        </w:rPr>
      </w:pPr>
    </w:p>
    <w:p>
      <w:pPr>
        <w:spacing w:line="700" w:lineRule="exact"/>
        <w:rPr>
          <w:sz w:val="24"/>
        </w:rPr>
      </w:pPr>
    </w:p>
    <w:sectPr>
      <w:pgSz w:w="11911" w:h="16838"/>
      <w:pgMar w:top="1440" w:right="1080" w:bottom="1440" w:left="1080" w:header="0" w:footer="1060" w:gutter="0"/>
      <w:pgNumType w:fmt="numberInDash"/>
      <w:cols w:space="720" w:num="1"/>
      <w:rtlGutter w:val="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0"/>
    </w:pPr>
    <w:r>
      <w:fldChar w:fldCharType="begin"/>
    </w:r>
    <w:r>
      <w:instrText xml:space="preserve"> PAGE   \* MERGEFORMAT </w:instrText>
    </w:r>
    <w:r>
      <w:fldChar w:fldCharType="separate"/>
    </w:r>
    <w:r>
      <w:rPr>
        <w:rFonts w:ascii="Times New Roman" w:hAnsi="Times New Roman" w:eastAsia="Times New Roman"/>
        <w:sz w:val="18"/>
      </w:rPr>
      <w:t>1</w:t>
    </w:r>
    <w:r>
      <w:rPr>
        <w:rFonts w:ascii="Times New Roman" w:hAnsi="Times New Roman" w:eastAsia="Times New Roman"/>
        <w:sz w:val="1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6"/>
      </w:rPr>
    </w:pPr>
    <w:r>
      <w:rPr>
        <w:sz w:val="6"/>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EE37EC"/>
    <w:multiLevelType w:val="singleLevel"/>
    <w:tmpl w:val="C8EE37EC"/>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QyZmUwZWJjY2Y0ODM1OGU1MjJmYTkzY2VjNGIzMDYifQ=="/>
  </w:docVars>
  <w:rsids>
    <w:rsidRoot w:val="7D7475F3"/>
    <w:rsid w:val="000578AA"/>
    <w:rsid w:val="000764E6"/>
    <w:rsid w:val="000A5546"/>
    <w:rsid w:val="000D4C27"/>
    <w:rsid w:val="0010075C"/>
    <w:rsid w:val="0011140A"/>
    <w:rsid w:val="001B44A0"/>
    <w:rsid w:val="00234F74"/>
    <w:rsid w:val="0025609E"/>
    <w:rsid w:val="00273E23"/>
    <w:rsid w:val="002D1CEF"/>
    <w:rsid w:val="002E4ABF"/>
    <w:rsid w:val="002E6F76"/>
    <w:rsid w:val="003152FE"/>
    <w:rsid w:val="0032623E"/>
    <w:rsid w:val="003302FD"/>
    <w:rsid w:val="00330E39"/>
    <w:rsid w:val="00354791"/>
    <w:rsid w:val="003A5A57"/>
    <w:rsid w:val="003E1CFB"/>
    <w:rsid w:val="003E7D6E"/>
    <w:rsid w:val="004C0152"/>
    <w:rsid w:val="004C4657"/>
    <w:rsid w:val="004C4E0F"/>
    <w:rsid w:val="005068D4"/>
    <w:rsid w:val="00573DB7"/>
    <w:rsid w:val="005915F6"/>
    <w:rsid w:val="005C1FD8"/>
    <w:rsid w:val="00654D57"/>
    <w:rsid w:val="006661D6"/>
    <w:rsid w:val="006938FB"/>
    <w:rsid w:val="00735A8A"/>
    <w:rsid w:val="00737D42"/>
    <w:rsid w:val="0075712A"/>
    <w:rsid w:val="007733B5"/>
    <w:rsid w:val="007A7F0B"/>
    <w:rsid w:val="007C6A49"/>
    <w:rsid w:val="007E272D"/>
    <w:rsid w:val="00804B27"/>
    <w:rsid w:val="00834D2A"/>
    <w:rsid w:val="00896AFE"/>
    <w:rsid w:val="008A303A"/>
    <w:rsid w:val="008F4AEB"/>
    <w:rsid w:val="009464EC"/>
    <w:rsid w:val="009E4EF3"/>
    <w:rsid w:val="009E5155"/>
    <w:rsid w:val="00A05F76"/>
    <w:rsid w:val="00A84F9E"/>
    <w:rsid w:val="00B30AFC"/>
    <w:rsid w:val="00B57C13"/>
    <w:rsid w:val="00BA76FF"/>
    <w:rsid w:val="00BD28A6"/>
    <w:rsid w:val="00BF19C7"/>
    <w:rsid w:val="00C20EE1"/>
    <w:rsid w:val="00C47DB3"/>
    <w:rsid w:val="00C86922"/>
    <w:rsid w:val="00C92688"/>
    <w:rsid w:val="00CF3F32"/>
    <w:rsid w:val="00D6560B"/>
    <w:rsid w:val="00DF39E9"/>
    <w:rsid w:val="00E276D1"/>
    <w:rsid w:val="00E3020D"/>
    <w:rsid w:val="00E44112"/>
    <w:rsid w:val="00E45EF6"/>
    <w:rsid w:val="00E7712B"/>
    <w:rsid w:val="00EC59E8"/>
    <w:rsid w:val="00EF139D"/>
    <w:rsid w:val="00F058DA"/>
    <w:rsid w:val="00FA5310"/>
    <w:rsid w:val="00FC1037"/>
    <w:rsid w:val="019A5E8F"/>
    <w:rsid w:val="024E5E42"/>
    <w:rsid w:val="038D4FB3"/>
    <w:rsid w:val="04362399"/>
    <w:rsid w:val="057F7DA1"/>
    <w:rsid w:val="066256C4"/>
    <w:rsid w:val="06BE0312"/>
    <w:rsid w:val="07457ACC"/>
    <w:rsid w:val="0C6A24D6"/>
    <w:rsid w:val="105E4C77"/>
    <w:rsid w:val="10FE598E"/>
    <w:rsid w:val="11710D0E"/>
    <w:rsid w:val="124473D0"/>
    <w:rsid w:val="137908EB"/>
    <w:rsid w:val="165306C6"/>
    <w:rsid w:val="17523179"/>
    <w:rsid w:val="18273A1C"/>
    <w:rsid w:val="1A35283B"/>
    <w:rsid w:val="1A56680E"/>
    <w:rsid w:val="1C4D3659"/>
    <w:rsid w:val="1FBF41C4"/>
    <w:rsid w:val="2084254A"/>
    <w:rsid w:val="23D34DEF"/>
    <w:rsid w:val="26760048"/>
    <w:rsid w:val="2699018E"/>
    <w:rsid w:val="26A7178F"/>
    <w:rsid w:val="27507EE7"/>
    <w:rsid w:val="2883763A"/>
    <w:rsid w:val="28CA112A"/>
    <w:rsid w:val="294E705B"/>
    <w:rsid w:val="29EA0896"/>
    <w:rsid w:val="2B3A0E0D"/>
    <w:rsid w:val="2B5D3BE2"/>
    <w:rsid w:val="305F6364"/>
    <w:rsid w:val="30B5648F"/>
    <w:rsid w:val="30E6401D"/>
    <w:rsid w:val="3220137E"/>
    <w:rsid w:val="34F87C69"/>
    <w:rsid w:val="35310C80"/>
    <w:rsid w:val="377C6027"/>
    <w:rsid w:val="38485EC8"/>
    <w:rsid w:val="3A75152D"/>
    <w:rsid w:val="3B8B2BA5"/>
    <w:rsid w:val="3CBF35FB"/>
    <w:rsid w:val="3CF4186F"/>
    <w:rsid w:val="3E2A6F39"/>
    <w:rsid w:val="3E546FED"/>
    <w:rsid w:val="3F915101"/>
    <w:rsid w:val="3F923ACD"/>
    <w:rsid w:val="3FCC0517"/>
    <w:rsid w:val="41B55E1D"/>
    <w:rsid w:val="41D14506"/>
    <w:rsid w:val="42140E37"/>
    <w:rsid w:val="445B1BBE"/>
    <w:rsid w:val="44983428"/>
    <w:rsid w:val="45A55DFD"/>
    <w:rsid w:val="45F34DBA"/>
    <w:rsid w:val="46E31DD8"/>
    <w:rsid w:val="47405F43"/>
    <w:rsid w:val="492078A2"/>
    <w:rsid w:val="49AA19C3"/>
    <w:rsid w:val="4B0C1B96"/>
    <w:rsid w:val="4BD25472"/>
    <w:rsid w:val="4C2203C7"/>
    <w:rsid w:val="4D8E29DC"/>
    <w:rsid w:val="4E332E8E"/>
    <w:rsid w:val="4EA85EEE"/>
    <w:rsid w:val="506F574B"/>
    <w:rsid w:val="50E2297D"/>
    <w:rsid w:val="518D176C"/>
    <w:rsid w:val="52F1471A"/>
    <w:rsid w:val="53A11062"/>
    <w:rsid w:val="54596730"/>
    <w:rsid w:val="549239F0"/>
    <w:rsid w:val="591F7F4B"/>
    <w:rsid w:val="5B1E7D8B"/>
    <w:rsid w:val="5B401DE2"/>
    <w:rsid w:val="5B404011"/>
    <w:rsid w:val="5B7A6413"/>
    <w:rsid w:val="5BC917D8"/>
    <w:rsid w:val="5DF578B4"/>
    <w:rsid w:val="5F675065"/>
    <w:rsid w:val="5F9248B6"/>
    <w:rsid w:val="60B62557"/>
    <w:rsid w:val="62183BCA"/>
    <w:rsid w:val="675B2367"/>
    <w:rsid w:val="67801DCE"/>
    <w:rsid w:val="6A7803CD"/>
    <w:rsid w:val="6B530753"/>
    <w:rsid w:val="6BCC71DC"/>
    <w:rsid w:val="6C5164AF"/>
    <w:rsid w:val="6C767FFA"/>
    <w:rsid w:val="6F5E34AF"/>
    <w:rsid w:val="720F41BD"/>
    <w:rsid w:val="72E705A9"/>
    <w:rsid w:val="76362A5C"/>
    <w:rsid w:val="76C44695"/>
    <w:rsid w:val="77FF2701"/>
    <w:rsid w:val="79FE4645"/>
    <w:rsid w:val="7B2C7E4B"/>
    <w:rsid w:val="7C2B1F90"/>
    <w:rsid w:val="7CC60BE5"/>
    <w:rsid w:val="7D3E2C00"/>
    <w:rsid w:val="7D7475F3"/>
    <w:rsid w:val="7D911C86"/>
    <w:rsid w:val="7DC05F42"/>
    <w:rsid w:val="7E07559F"/>
    <w:rsid w:val="7E093AF1"/>
    <w:rsid w:val="7E85765B"/>
    <w:rsid w:val="7FA20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nhideWhenUsed="0" w:uiPriority="1"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1"/>
    <w:pPr>
      <w:spacing w:before="28"/>
      <w:ind w:right="581"/>
      <w:jc w:val="center"/>
      <w:outlineLvl w:val="0"/>
    </w:pPr>
    <w:rPr>
      <w:rFonts w:ascii="仿宋" w:hAnsi="仿宋" w:eastAsia="仿宋" w:cs="仿宋"/>
      <w:b/>
      <w:bCs/>
      <w:sz w:val="52"/>
      <w:szCs w:val="52"/>
      <w:lang w:val="zh-CN" w:bidi="zh-CN"/>
    </w:rPr>
  </w:style>
  <w:style w:type="paragraph" w:styleId="6">
    <w:name w:val="heading 2"/>
    <w:basedOn w:val="1"/>
    <w:next w:val="1"/>
    <w:qFormat/>
    <w:uiPriority w:val="0"/>
    <w:pPr>
      <w:keepNext/>
      <w:keepLines/>
      <w:spacing w:line="413" w:lineRule="auto"/>
      <w:outlineLvl w:val="1"/>
    </w:pPr>
    <w:rPr>
      <w:rFonts w:ascii="Arial" w:hAnsi="Arial" w:eastAsia="黑体"/>
      <w:b/>
      <w:sz w:val="28"/>
    </w:rPr>
  </w:style>
  <w:style w:type="paragraph" w:styleId="7">
    <w:name w:val="heading 4"/>
    <w:basedOn w:val="1"/>
    <w:next w:val="1"/>
    <w:qFormat/>
    <w:uiPriority w:val="1"/>
    <w:pPr>
      <w:ind w:left="592" w:hanging="213"/>
      <w:outlineLvl w:val="3"/>
    </w:pPr>
    <w:rPr>
      <w:b/>
      <w:bCs/>
      <w:sz w:val="21"/>
      <w:szCs w:val="21"/>
    </w:rPr>
  </w:style>
  <w:style w:type="paragraph" w:styleId="8">
    <w:name w:val="heading 9"/>
    <w:basedOn w:val="1"/>
    <w:next w:val="1"/>
    <w:qFormat/>
    <w:uiPriority w:val="1"/>
    <w:pPr>
      <w:ind w:left="391"/>
      <w:outlineLvl w:val="8"/>
    </w:pPr>
    <w:rPr>
      <w:rFonts w:ascii="宋体" w:hAnsi="宋体" w:cs="宋体"/>
      <w:b/>
      <w:bCs/>
      <w:sz w:val="24"/>
      <w:lang w:val="zh-CN" w:bidi="zh-CN"/>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rPr>
      <w:rFonts w:ascii="宋体" w:hAnsi="宋体" w:cs="宋体"/>
      <w:sz w:val="24"/>
      <w:lang w:val="zh-CN" w:bidi="zh-CN"/>
    </w:rPr>
  </w:style>
  <w:style w:type="paragraph" w:customStyle="1" w:styleId="3">
    <w:name w:val="Default"/>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
    <w:name w:val="表格文字"/>
    <w:basedOn w:val="1"/>
    <w:qFormat/>
    <w:uiPriority w:val="0"/>
    <w:pPr>
      <w:adjustRightInd w:val="0"/>
      <w:spacing w:line="420" w:lineRule="atLeast"/>
      <w:jc w:val="left"/>
      <w:textAlignment w:val="baseline"/>
    </w:pPr>
    <w:rPr>
      <w:kern w:val="0"/>
      <w:szCs w:val="20"/>
    </w:rPr>
  </w:style>
  <w:style w:type="paragraph" w:styleId="9">
    <w:name w:val="annotation text"/>
    <w:basedOn w:val="1"/>
    <w:qFormat/>
    <w:uiPriority w:val="0"/>
    <w:pPr>
      <w:jc w:val="left"/>
    </w:pPr>
  </w:style>
  <w:style w:type="paragraph" w:styleId="10">
    <w:name w:val="Balloon Text"/>
    <w:basedOn w:val="1"/>
    <w:link w:val="37"/>
    <w:semiHidden/>
    <w:unhideWhenUsed/>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0"/>
  </w:style>
  <w:style w:type="paragraph" w:styleId="14">
    <w:name w:val="Body Text 2"/>
    <w:basedOn w:val="1"/>
    <w:qFormat/>
    <w:uiPriority w:val="0"/>
    <w:pPr>
      <w:spacing w:line="900" w:lineRule="exact"/>
      <w:jc w:val="center"/>
    </w:pPr>
    <w:rPr>
      <w:rFonts w:eastAsia="楷体_GB2312"/>
      <w:b/>
      <w:sz w:val="36"/>
    </w:rPr>
  </w:style>
  <w:style w:type="paragraph" w:styleId="15">
    <w:name w:val="Normal (Web)"/>
    <w:basedOn w:val="1"/>
    <w:qFormat/>
    <w:uiPriority w:val="0"/>
    <w:pPr>
      <w:spacing w:before="100" w:beforeAutospacing="1" w:after="100" w:afterAutospacing="1"/>
      <w:jc w:val="left"/>
    </w:pPr>
    <w:rPr>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FollowedHyperlink"/>
    <w:basedOn w:val="18"/>
    <w:uiPriority w:val="0"/>
    <w:rPr>
      <w:color w:val="333333"/>
      <w:u w:val="none"/>
    </w:rPr>
  </w:style>
  <w:style w:type="character" w:styleId="20">
    <w:name w:val="Hyperlink"/>
    <w:basedOn w:val="18"/>
    <w:uiPriority w:val="0"/>
    <w:rPr>
      <w:color w:val="333333"/>
      <w:u w:val="none"/>
    </w:rPr>
  </w:style>
  <w:style w:type="character" w:styleId="21">
    <w:name w:val="annotation reference"/>
    <w:basedOn w:val="18"/>
    <w:qFormat/>
    <w:uiPriority w:val="0"/>
    <w:rPr>
      <w:sz w:val="21"/>
      <w:szCs w:val="21"/>
    </w:rPr>
  </w:style>
  <w:style w:type="character" w:customStyle="1" w:styleId="22">
    <w:name w:val="fontstyle01"/>
    <w:basedOn w:val="18"/>
    <w:qFormat/>
    <w:uiPriority w:val="0"/>
    <w:rPr>
      <w:rFonts w:ascii="仿宋" w:hAnsi="仿宋" w:eastAsia="仿宋" w:cs="仿宋"/>
      <w:color w:val="000000"/>
      <w:sz w:val="32"/>
      <w:szCs w:val="32"/>
    </w:rPr>
  </w:style>
  <w:style w:type="paragraph" w:customStyle="1" w:styleId="23">
    <w:name w:val="1级标题（第一章）"/>
    <w:basedOn w:val="1"/>
    <w:qFormat/>
    <w:locked/>
    <w:uiPriority w:val="0"/>
    <w:pPr>
      <w:spacing w:beforeLines="50" w:afterLines="50"/>
      <w:jc w:val="center"/>
      <w:outlineLvl w:val="0"/>
    </w:pPr>
    <w:rPr>
      <w:rFonts w:ascii="黑体" w:hAnsi="宋体" w:eastAsia="黑体"/>
      <w:sz w:val="32"/>
      <w:szCs w:val="32"/>
    </w:rPr>
  </w:style>
  <w:style w:type="paragraph" w:styleId="24">
    <w:name w:val="List Paragraph"/>
    <w:basedOn w:val="1"/>
    <w:qFormat/>
    <w:uiPriority w:val="1"/>
    <w:pPr>
      <w:ind w:left="391" w:firstLine="480"/>
    </w:pPr>
    <w:rPr>
      <w:rFonts w:ascii="宋体" w:hAnsi="宋体" w:cs="宋体"/>
      <w:lang w:val="zh-CN" w:bidi="zh-CN"/>
    </w:rPr>
  </w:style>
  <w:style w:type="paragraph" w:customStyle="1" w:styleId="25">
    <w:name w:val="_Style 58"/>
    <w:basedOn w:val="1"/>
    <w:next w:val="1"/>
    <w:qFormat/>
    <w:uiPriority w:val="0"/>
    <w:pPr>
      <w:pBdr>
        <w:bottom w:val="single" w:color="auto" w:sz="6" w:space="1"/>
      </w:pBdr>
      <w:jc w:val="center"/>
    </w:pPr>
    <w:rPr>
      <w:rFonts w:ascii="Arial"/>
      <w:vanish/>
      <w:sz w:val="16"/>
    </w:rPr>
  </w:style>
  <w:style w:type="paragraph" w:customStyle="1" w:styleId="26">
    <w:name w:val="_Style 59"/>
    <w:basedOn w:val="1"/>
    <w:next w:val="1"/>
    <w:qFormat/>
    <w:uiPriority w:val="0"/>
    <w:pPr>
      <w:pBdr>
        <w:top w:val="single" w:color="auto" w:sz="6" w:space="1"/>
      </w:pBdr>
      <w:jc w:val="center"/>
    </w:pPr>
    <w:rPr>
      <w:rFonts w:ascii="Arial"/>
      <w:vanish/>
      <w:sz w:val="16"/>
    </w:rPr>
  </w:style>
  <w:style w:type="paragraph" w:customStyle="1" w:styleId="27">
    <w:name w:val="Table Paragraph"/>
    <w:basedOn w:val="1"/>
    <w:qFormat/>
    <w:uiPriority w:val="1"/>
    <w:rPr>
      <w:rFonts w:ascii="宋体" w:hAnsi="宋体" w:cs="宋体"/>
      <w:lang w:val="zh-CN" w:bidi="zh-CN"/>
    </w:rPr>
  </w:style>
  <w:style w:type="paragraph" w:customStyle="1" w:styleId="28">
    <w:name w:val="Main Title"/>
    <w:next w:val="1"/>
    <w:qFormat/>
    <w:uiPriority w:val="0"/>
    <w:pPr>
      <w:adjustRightInd w:val="0"/>
      <w:snapToGrid w:val="0"/>
      <w:spacing w:afterLines="50" w:line="360" w:lineRule="auto"/>
      <w:jc w:val="center"/>
    </w:pPr>
    <w:rPr>
      <w:rFonts w:ascii="黑体" w:hAnsi="黑体" w:eastAsia="黑体" w:cs="黑体"/>
      <w:b/>
      <w:kern w:val="2"/>
      <w:sz w:val="36"/>
      <w:szCs w:val="22"/>
      <w:lang w:val="zh-CN" w:eastAsia="zh-CN" w:bidi="ar-SA"/>
    </w:rPr>
  </w:style>
  <w:style w:type="paragraph" w:customStyle="1" w:styleId="29">
    <w:name w:val="TOC 标题1"/>
    <w:basedOn w:val="5"/>
    <w:next w:val="1"/>
    <w:qFormat/>
    <w:uiPriority w:val="0"/>
    <w:pPr>
      <w:keepNext/>
      <w:keepLines/>
      <w:spacing w:before="260" w:after="260" w:line="413" w:lineRule="auto"/>
    </w:pPr>
    <w:rPr>
      <w:rFonts w:ascii="宋体" w:hAnsi="宋体" w:eastAsia="宋体" w:cs="Times New Roman"/>
      <w:sz w:val="36"/>
      <w:szCs w:val="44"/>
    </w:rPr>
  </w:style>
  <w:style w:type="paragraph" w:customStyle="1" w:styleId="30">
    <w:name w:val="协议书标题2"/>
    <w:basedOn w:val="6"/>
    <w:next w:val="1"/>
    <w:qFormat/>
    <w:uiPriority w:val="0"/>
    <w:pPr>
      <w:keepNext w:val="0"/>
      <w:keepLines w:val="0"/>
      <w:tabs>
        <w:tab w:val="left" w:pos="567"/>
      </w:tabs>
      <w:spacing w:line="360" w:lineRule="auto"/>
      <w:ind w:left="425"/>
      <w:jc w:val="left"/>
    </w:pPr>
    <w:rPr>
      <w:rFonts w:ascii="宋体" w:hAnsi="宋体" w:eastAsia="宋体"/>
      <w:sz w:val="24"/>
    </w:rPr>
  </w:style>
  <w:style w:type="paragraph" w:customStyle="1" w:styleId="31">
    <w:name w:val="通用标题3"/>
    <w:next w:val="1"/>
    <w:qFormat/>
    <w:uiPriority w:val="0"/>
    <w:pPr>
      <w:widowControl w:val="0"/>
      <w:tabs>
        <w:tab w:val="left" w:pos="709"/>
      </w:tabs>
      <w:adjustRightInd w:val="0"/>
      <w:snapToGrid w:val="0"/>
      <w:spacing w:afterLines="50" w:line="360" w:lineRule="auto"/>
      <w:ind w:firstLine="482" w:firstLineChars="200"/>
      <w:jc w:val="both"/>
      <w:outlineLvl w:val="2"/>
    </w:pPr>
    <w:rPr>
      <w:rFonts w:ascii="宋体" w:hAnsi="宋体" w:eastAsia="宋体" w:cs="黑体"/>
      <w:b/>
      <w:kern w:val="2"/>
      <w:sz w:val="24"/>
      <w:szCs w:val="24"/>
      <w:lang w:val="en-US" w:eastAsia="zh-CN" w:bidi="ar-SA"/>
    </w:rPr>
  </w:style>
  <w:style w:type="paragraph" w:customStyle="1" w:styleId="32">
    <w:name w:val="TOC 标题2"/>
    <w:basedOn w:val="5"/>
    <w:next w:val="1"/>
    <w:qFormat/>
    <w:uiPriority w:val="0"/>
    <w:pPr>
      <w:keepNext/>
      <w:keepLines/>
      <w:spacing w:before="260" w:after="260" w:line="413" w:lineRule="auto"/>
    </w:pPr>
    <w:rPr>
      <w:rFonts w:ascii="宋体" w:hAnsi="宋体" w:eastAsia="宋体" w:cs="Times New Roman"/>
      <w:sz w:val="36"/>
      <w:szCs w:val="44"/>
    </w:rPr>
  </w:style>
  <w:style w:type="paragraph" w:customStyle="1" w:styleId="33">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
    <w:name w:val="样式 宋体 行距: 1.5 倍行距"/>
    <w:basedOn w:val="1"/>
    <w:qFormat/>
    <w:uiPriority w:val="0"/>
    <w:pPr>
      <w:jc w:val="center"/>
    </w:pPr>
    <w:rPr>
      <w:rFonts w:ascii="Times New Roman" w:hAnsi="Times New Roman"/>
      <w:b/>
    </w:rPr>
  </w:style>
  <w:style w:type="paragraph" w:customStyle="1" w:styleId="35">
    <w:name w:val="*正文"/>
    <w:basedOn w:val="1"/>
    <w:next w:val="1"/>
    <w:qFormat/>
    <w:uiPriority w:val="0"/>
    <w:pPr>
      <w:widowControl/>
      <w:ind w:firstLine="482"/>
    </w:pPr>
    <w:rPr>
      <w:rFonts w:ascii="微软雅黑" w:hAnsi="微软雅黑" w:eastAsia="微软雅黑" w:cs="微软雅黑"/>
    </w:rPr>
  </w:style>
  <w:style w:type="paragraph" w:customStyle="1" w:styleId="36">
    <w:name w:val="Normal_10"/>
    <w:qFormat/>
    <w:uiPriority w:val="7"/>
    <w:pPr>
      <w:spacing w:before="120" w:after="240"/>
      <w:jc w:val="both"/>
    </w:pPr>
    <w:rPr>
      <w:rFonts w:ascii="Times New Roman" w:hAnsi="Times New Roman" w:eastAsia="Calibri" w:cs="Times New Roman"/>
      <w:sz w:val="22"/>
      <w:szCs w:val="22"/>
      <w:lang w:val="ru-RU" w:eastAsia="en-US" w:bidi="ar-SA"/>
    </w:rPr>
  </w:style>
  <w:style w:type="character" w:customStyle="1" w:styleId="37">
    <w:name w:val="批注框文本 字符"/>
    <w:basedOn w:val="18"/>
    <w:link w:val="10"/>
    <w:semiHidden/>
    <w:qFormat/>
    <w:uiPriority w:val="0"/>
    <w:rPr>
      <w:rFonts w:ascii="Calibri" w:hAnsi="Calibri"/>
      <w:kern w:val="2"/>
      <w:sz w:val="18"/>
      <w:szCs w:val="18"/>
    </w:rPr>
  </w:style>
  <w:style w:type="paragraph" w:customStyle="1" w:styleId="38">
    <w:name w:val="普通(网站)1"/>
    <w:basedOn w:val="1"/>
    <w:qFormat/>
    <w:uiPriority w:val="2"/>
    <w:rPr>
      <w:rFonts w:ascii="Calibri" w:hAnsi="Calibri" w:eastAsia="宋体" w:cs="Calibri"/>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76</Pages>
  <Words>38421</Words>
  <Characters>40643</Characters>
  <Lines>234</Lines>
  <Paragraphs>66</Paragraphs>
  <TotalTime>0</TotalTime>
  <ScaleCrop>false</ScaleCrop>
  <LinksUpToDate>false</LinksUpToDate>
  <CharactersWithSpaces>43129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2022-04-13T09:37:00Z</dcterms:created>
  <dc:creator>NTKO</dc:creator>
  <cp:lastModifiedBy>贰。</cp:lastModifiedBy>
  <dcterms:modified xsi:type="dcterms:W3CDTF">2022-04-29T10:09:59Z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5C630F57BA7E4FF6A3B142FCBA3F91CF</vt:lpwstr>
  </property>
  <property fmtid="{D5CDD505-2E9C-101B-9397-08002B2CF9AE}" pid="4" name="commondata">
    <vt:lpwstr>eyJoZGlkIjoiZDQyZmUwZWJjY2Y0ODM1OGU1MjJmYTkzY2VjNGIzMDYifQ==</vt:lpwstr>
  </property>
</Properties>
</file>