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body>
    <w:p>
      <w:pPr>
        <w:tabs>
          <w:tab w:val="center" w:pos="4410"/>
          <w:tab w:val="left" w:pos="7440"/>
        </w:tabs>
        <w:jc w:val="both"/>
        <w:rPr>
          <w:rFonts w:ascii="仿宋" w:hAnsi="仿宋" w:eastAsia="仿宋" w:cs="仿宋"/>
          <w:b/>
          <w:bCs/>
          <w:color w:val="auto"/>
          <w:sz w:val="44"/>
          <w:szCs w:val="44"/>
        </w:rPr>
      </w:pPr>
    </w:p>
    <w:p>
      <w:pPr>
        <w:tabs>
          <w:tab w:val="center" w:pos="4410"/>
          <w:tab w:val="left" w:pos="7440"/>
        </w:tabs>
        <w:jc w:val="center"/>
        <w:rPr>
          <w:rFonts w:ascii="黑体" w:hAnsi="黑体" w:eastAsia="黑体" w:cs="仿宋"/>
          <w:color w:val="auto"/>
          <w:spacing w:val="20"/>
          <w:kern w:val="0"/>
          <w:sz w:val="44"/>
          <w:szCs w:val="44"/>
        </w:rPr>
      </w:pPr>
      <w:r>
        <w:rPr>
          <w:rFonts w:hint="eastAsia" w:ascii="黑体" w:hAnsi="黑体" w:eastAsia="黑体" w:cs="仿宋"/>
          <w:bCs/>
          <w:color w:val="auto"/>
          <w:sz w:val="44"/>
          <w:szCs w:val="44"/>
          <w:lang w:eastAsia="zh-CN"/>
        </w:rPr>
        <w:t>绿洲花园项目(南区)11#-15#楼、20#-23#楼及2#地下车库项目</w:t>
      </w:r>
      <w:r>
        <w:rPr>
          <w:rFonts w:hint="eastAsia" w:ascii="黑体" w:hAnsi="黑体" w:eastAsia="黑体" w:cs="仿宋"/>
          <w:bCs/>
          <w:color w:val="auto"/>
          <w:sz w:val="44"/>
          <w:szCs w:val="44"/>
        </w:rPr>
        <w:t xml:space="preserve"> </w:t>
      </w:r>
    </w:p>
    <w:p>
      <w:pPr>
        <w:pStyle w:val="2"/>
        <w:rPr>
          <w:rFonts w:ascii="黑体" w:hAnsi="黑体" w:eastAsia="黑体" w:cs="仿宋"/>
          <w:color w:val="auto"/>
        </w:rPr>
      </w:pPr>
    </w:p>
    <w:p>
      <w:pPr>
        <w:tabs>
          <w:tab w:val="center" w:pos="4410"/>
          <w:tab w:val="left" w:pos="7440"/>
        </w:tabs>
        <w:jc w:val="center"/>
        <w:rPr>
          <w:rFonts w:ascii="黑体" w:hAnsi="黑体" w:eastAsia="黑体" w:cs="仿宋"/>
          <w:bCs/>
          <w:color w:val="auto"/>
          <w:kern w:val="0"/>
          <w:sz w:val="28"/>
          <w:szCs w:val="28"/>
        </w:rPr>
      </w:pPr>
      <w:r>
        <w:rPr>
          <w:rFonts w:hint="eastAsia" w:ascii="黑体" w:hAnsi="黑体" w:eastAsia="黑体" w:cs="仿宋"/>
          <w:color w:val="auto"/>
          <w:spacing w:val="20"/>
          <w:kern w:val="0"/>
          <w:sz w:val="72"/>
          <w:szCs w:val="72"/>
        </w:rPr>
        <w:t>资格预审文件</w:t>
      </w:r>
    </w:p>
    <w:p>
      <w:pPr>
        <w:ind w:firstLine="2400" w:firstLineChars="800"/>
        <w:rPr>
          <w:rFonts w:hint="eastAsia" w:ascii="黑体" w:hAnsi="黑体" w:eastAsia="黑体" w:cs="仿宋"/>
          <w:color w:val="auto"/>
          <w:kern w:val="0"/>
          <w:sz w:val="30"/>
          <w:szCs w:val="30"/>
        </w:rPr>
      </w:pPr>
    </w:p>
    <w:p>
      <w:pPr>
        <w:ind w:firstLine="2400" w:firstLineChars="800"/>
        <w:rPr>
          <w:rFonts w:ascii="黑体" w:hAnsi="黑体" w:eastAsia="黑体" w:cs="仿宋"/>
          <w:color w:val="auto"/>
          <w:kern w:val="0"/>
          <w:sz w:val="30"/>
          <w:szCs w:val="30"/>
        </w:rPr>
      </w:pPr>
      <w:r>
        <w:rPr>
          <w:rFonts w:hint="eastAsia" w:ascii="黑体" w:hAnsi="黑体" w:eastAsia="黑体" w:cs="仿宋"/>
          <w:color w:val="auto"/>
          <w:kern w:val="0"/>
          <w:sz w:val="30"/>
          <w:szCs w:val="30"/>
        </w:rPr>
        <w:t>项目编号：</w:t>
      </w:r>
      <w:r>
        <w:rPr>
          <w:rFonts w:hint="eastAsia" w:ascii="黑体" w:hAnsi="黑体" w:eastAsia="黑体" w:cs="仿宋"/>
          <w:color w:val="auto"/>
          <w:kern w:val="0"/>
          <w:sz w:val="30"/>
          <w:szCs w:val="30"/>
          <w:lang w:val="en-US" w:eastAsia="zh-CN"/>
        </w:rPr>
        <w:t>涧西工施招标(2022)0041号</w:t>
      </w:r>
    </w:p>
    <w:p>
      <w:pPr>
        <w:ind w:firstLine="420" w:firstLineChars="200"/>
        <w:rPr>
          <w:rFonts w:ascii="黑体" w:hAnsi="黑体" w:eastAsia="黑体" w:cs="仿宋"/>
          <w:color w:val="auto"/>
          <w:kern w:val="0"/>
          <w:szCs w:val="21"/>
        </w:rPr>
      </w:pPr>
    </w:p>
    <w:p>
      <w:pPr>
        <w:pStyle w:val="49"/>
        <w:rPr>
          <w:rFonts w:ascii="黑体" w:hAnsi="黑体" w:eastAsia="黑体"/>
          <w:color w:val="auto"/>
        </w:rPr>
      </w:pPr>
    </w:p>
    <w:p>
      <w:pPr>
        <w:jc w:val="center"/>
        <w:rPr>
          <w:rFonts w:ascii="黑体" w:hAnsi="黑体" w:eastAsia="黑体" w:cs="仿宋"/>
          <w:bCs/>
          <w:color w:val="auto"/>
          <w:kern w:val="0"/>
          <w:sz w:val="32"/>
          <w:szCs w:val="20"/>
        </w:rPr>
      </w:pPr>
    </w:p>
    <w:p>
      <w:pPr>
        <w:jc w:val="center"/>
        <w:rPr>
          <w:rFonts w:ascii="黑体" w:hAnsi="黑体" w:eastAsia="黑体" w:cs="仿宋"/>
          <w:bCs/>
          <w:color w:val="auto"/>
          <w:kern w:val="0"/>
          <w:sz w:val="32"/>
          <w:szCs w:val="20"/>
        </w:rPr>
      </w:pPr>
    </w:p>
    <w:p>
      <w:pPr>
        <w:jc w:val="center"/>
        <w:rPr>
          <w:rFonts w:ascii="黑体" w:hAnsi="黑体" w:eastAsia="黑体" w:cs="仿宋"/>
          <w:bCs/>
          <w:color w:val="auto"/>
          <w:kern w:val="0"/>
          <w:sz w:val="32"/>
          <w:szCs w:val="20"/>
        </w:rPr>
      </w:pPr>
    </w:p>
    <w:p>
      <w:pPr>
        <w:jc w:val="center"/>
        <w:rPr>
          <w:rFonts w:ascii="黑体" w:hAnsi="黑体" w:eastAsia="黑体" w:cs="仿宋"/>
          <w:bCs/>
          <w:color w:val="auto"/>
          <w:kern w:val="0"/>
          <w:sz w:val="32"/>
          <w:szCs w:val="20"/>
        </w:rPr>
      </w:pPr>
    </w:p>
    <w:p>
      <w:pPr>
        <w:widowControl/>
        <w:rPr>
          <w:rFonts w:ascii="黑体" w:hAnsi="黑体" w:eastAsia="黑体" w:cs="仿宋"/>
          <w:color w:val="auto"/>
          <w:kern w:val="0"/>
          <w:sz w:val="30"/>
          <w:szCs w:val="30"/>
        </w:rPr>
      </w:pPr>
    </w:p>
    <w:p>
      <w:pPr>
        <w:widowControl/>
        <w:rPr>
          <w:rFonts w:ascii="黑体" w:hAnsi="黑体" w:eastAsia="黑体" w:cs="仿宋"/>
          <w:color w:val="auto"/>
          <w:kern w:val="0"/>
          <w:sz w:val="30"/>
          <w:szCs w:val="30"/>
        </w:rPr>
      </w:pPr>
    </w:p>
    <w:p>
      <w:pPr>
        <w:pStyle w:val="49"/>
        <w:rPr>
          <w:color w:val="auto"/>
        </w:rPr>
      </w:pPr>
    </w:p>
    <w:p>
      <w:pPr>
        <w:widowControl/>
        <w:rPr>
          <w:rFonts w:ascii="黑体" w:hAnsi="黑体" w:eastAsia="黑体" w:cs="仿宋"/>
          <w:color w:val="auto"/>
          <w:kern w:val="0"/>
          <w:sz w:val="30"/>
          <w:szCs w:val="30"/>
        </w:rPr>
      </w:pPr>
    </w:p>
    <w:p>
      <w:pPr>
        <w:pStyle w:val="49"/>
        <w:rPr>
          <w:color w:val="auto"/>
        </w:rPr>
      </w:pPr>
    </w:p>
    <w:p>
      <w:pPr>
        <w:spacing w:line="400" w:lineRule="exact"/>
        <w:rPr>
          <w:rFonts w:ascii="黑体" w:hAnsi="黑体" w:eastAsia="黑体" w:cs="仿宋"/>
          <w:color w:val="auto"/>
        </w:rPr>
      </w:pPr>
    </w:p>
    <w:p>
      <w:pPr>
        <w:spacing w:line="360" w:lineRule="auto"/>
        <w:ind w:firstLine="1280" w:firstLineChars="400"/>
        <w:rPr>
          <w:rFonts w:hint="eastAsia" w:ascii="黑体" w:hAnsi="黑体" w:eastAsia="黑体" w:cs="仿宋"/>
          <w:bCs/>
          <w:color w:val="auto"/>
          <w:sz w:val="32"/>
          <w:szCs w:val="32"/>
          <w:lang w:eastAsia="zh-CN"/>
        </w:rPr>
      </w:pPr>
      <w:r>
        <w:rPr>
          <w:rFonts w:hint="eastAsia" w:ascii="黑体" w:hAnsi="黑体" w:eastAsia="黑体" w:cs="仿宋"/>
          <w:bCs/>
          <w:color w:val="auto"/>
          <w:sz w:val="32"/>
          <w:szCs w:val="32"/>
        </w:rPr>
        <w:t>招   标   人：</w:t>
      </w:r>
      <w:r>
        <w:rPr>
          <w:rFonts w:hint="eastAsia" w:ascii="黑体" w:hAnsi="黑体" w:eastAsia="黑体" w:cs="仿宋"/>
          <w:bCs/>
          <w:color w:val="auto"/>
          <w:sz w:val="32"/>
          <w:szCs w:val="32"/>
          <w:lang w:eastAsia="zh-CN"/>
        </w:rPr>
        <w:t>河南万隆置业有限公司</w:t>
      </w:r>
    </w:p>
    <w:p>
      <w:pPr>
        <w:spacing w:line="360" w:lineRule="auto"/>
        <w:ind w:firstLine="1280" w:firstLineChars="400"/>
        <w:rPr>
          <w:rFonts w:hint="eastAsia" w:ascii="黑体" w:hAnsi="黑体" w:eastAsia="黑体" w:cs="仿宋"/>
          <w:bCs/>
          <w:color w:val="auto"/>
          <w:sz w:val="44"/>
          <w:szCs w:val="44"/>
          <w:lang w:eastAsia="zh-CN"/>
        </w:rPr>
      </w:pPr>
      <w:r>
        <w:rPr>
          <w:rFonts w:hint="eastAsia" w:ascii="黑体" w:hAnsi="黑体" w:eastAsia="黑体" w:cs="仿宋"/>
          <w:bCs/>
          <w:color w:val="auto"/>
          <w:sz w:val="32"/>
          <w:szCs w:val="32"/>
        </w:rPr>
        <w:t>招标代理机构：</w:t>
      </w:r>
      <w:r>
        <w:rPr>
          <w:rFonts w:hint="eastAsia" w:ascii="黑体" w:hAnsi="黑体" w:eastAsia="黑体" w:cs="仿宋"/>
          <w:bCs/>
          <w:color w:val="auto"/>
          <w:sz w:val="32"/>
          <w:szCs w:val="32"/>
          <w:lang w:eastAsia="zh-CN"/>
        </w:rPr>
        <w:t>河南省大江工程咨询有限公司</w:t>
      </w:r>
    </w:p>
    <w:p>
      <w:pPr>
        <w:widowControl/>
        <w:jc w:val="center"/>
        <w:rPr>
          <w:rFonts w:ascii="黑体" w:hAnsi="黑体" w:eastAsia="黑体" w:cs="仿宋"/>
          <w:bCs/>
          <w:color w:val="auto"/>
          <w:spacing w:val="20"/>
          <w:sz w:val="32"/>
          <w:szCs w:val="32"/>
        </w:rPr>
      </w:pPr>
      <w:r>
        <w:rPr>
          <w:rFonts w:hint="eastAsia" w:ascii="黑体" w:hAnsi="黑体" w:eastAsia="黑体" w:cs="仿宋"/>
          <w:bCs/>
          <w:color w:val="auto"/>
          <w:spacing w:val="20"/>
          <w:sz w:val="32"/>
          <w:szCs w:val="32"/>
        </w:rPr>
        <w:t>二〇二</w:t>
      </w:r>
      <w:r>
        <w:rPr>
          <w:rFonts w:hint="eastAsia" w:ascii="黑体" w:hAnsi="黑体" w:eastAsia="黑体" w:cs="仿宋"/>
          <w:bCs/>
          <w:color w:val="auto"/>
          <w:spacing w:val="20"/>
          <w:sz w:val="32"/>
          <w:szCs w:val="32"/>
          <w:lang w:val="en-US" w:eastAsia="zh-CN"/>
        </w:rPr>
        <w:t>二</w:t>
      </w:r>
      <w:r>
        <w:rPr>
          <w:rFonts w:hint="eastAsia" w:ascii="黑体" w:hAnsi="黑体" w:eastAsia="黑体" w:cs="仿宋"/>
          <w:bCs/>
          <w:color w:val="auto"/>
          <w:spacing w:val="20"/>
          <w:sz w:val="32"/>
          <w:szCs w:val="32"/>
        </w:rPr>
        <w:t>年</w:t>
      </w:r>
      <w:r>
        <w:rPr>
          <w:rFonts w:hint="eastAsia" w:ascii="黑体" w:hAnsi="黑体" w:eastAsia="黑体" w:cs="仿宋"/>
          <w:bCs/>
          <w:color w:val="auto"/>
          <w:spacing w:val="20"/>
          <w:sz w:val="32"/>
          <w:szCs w:val="32"/>
          <w:lang w:val="en-US" w:eastAsia="zh-CN"/>
        </w:rPr>
        <w:t>五</w:t>
      </w:r>
      <w:r>
        <w:rPr>
          <w:rFonts w:hint="eastAsia" w:ascii="黑体" w:hAnsi="黑体" w:eastAsia="黑体" w:cs="仿宋"/>
          <w:bCs/>
          <w:color w:val="auto"/>
          <w:spacing w:val="20"/>
          <w:sz w:val="32"/>
          <w:szCs w:val="32"/>
        </w:rPr>
        <w:t>月</w:t>
      </w:r>
    </w:p>
    <w:p>
      <w:pPr>
        <w:widowControl/>
        <w:jc w:val="center"/>
        <w:rPr>
          <w:rFonts w:ascii="仿宋" w:hAnsi="仿宋" w:eastAsia="仿宋" w:cs="仿宋"/>
          <w:b/>
          <w:bCs/>
          <w:color w:val="auto"/>
          <w:spacing w:val="20"/>
          <w:sz w:val="32"/>
          <w:szCs w:val="32"/>
        </w:rPr>
      </w:pPr>
      <w:r>
        <w:rPr>
          <w:rFonts w:hint="eastAsia" w:ascii="仿宋" w:hAnsi="仿宋" w:eastAsia="仿宋" w:cs="仿宋"/>
          <w:color w:val="auto"/>
          <w:sz w:val="28"/>
          <w:szCs w:val="28"/>
        </w:rPr>
        <w:br w:type="page"/>
      </w:r>
      <w:r>
        <w:rPr>
          <w:rFonts w:hint="eastAsia" w:ascii="仿宋" w:hAnsi="仿宋" w:eastAsia="仿宋" w:cs="仿宋"/>
          <w:b/>
          <w:bCs/>
          <w:color w:val="auto"/>
          <w:spacing w:val="20"/>
          <w:sz w:val="32"/>
          <w:szCs w:val="32"/>
        </w:rPr>
        <w:t>特 别 提 示</w:t>
      </w:r>
    </w:p>
    <w:p>
      <w:pPr>
        <w:spacing w:line="336" w:lineRule="auto"/>
        <w:ind w:firstLine="422"/>
        <w:rPr>
          <w:rFonts w:ascii="仿宋" w:hAnsi="仿宋" w:eastAsia="仿宋" w:cs="仿宋"/>
          <w:b/>
          <w:bCs/>
          <w:color w:val="auto"/>
          <w:sz w:val="24"/>
        </w:rPr>
      </w:pPr>
      <w:r>
        <w:rPr>
          <w:rFonts w:hint="eastAsia" w:ascii="仿宋" w:hAnsi="仿宋" w:eastAsia="仿宋" w:cs="仿宋"/>
          <w:b/>
          <w:bCs/>
          <w:color w:val="auto"/>
          <w:sz w:val="24"/>
        </w:rPr>
        <w:t>1、申请文件的制作</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1.1申请人登录“洛阳市公共资源交易中心”网站，按要求下载“新点申请文件制作软件”。</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1.2申请人凭CA锁登录，并按网上提示自行下载资格预审文件。使用“新点申请文件制作软件”按要求制作电子申请文件。申请人在制作电子申请文件时，应按要求进行电子签章。申请人编辑电子申请文件时，根据资格预审文件要求用法定代表人CA锁和企业CA锁进行签章制作；最后一步生成电子申请文件（*.lytf格式和*.nlytf格式）时，只能用本单位的企业CA锁。联合体投标的，申请文件由联合体牵头人按上述规定进行签章。</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1.3加密的电子申请文件为“洛阳市公共资源交易中心”网站提供的“新点申请文件制作软件”制作生成的加密版申请文件。未加密的电子申请文件应与加密的电子申请文件为同时生成的版本。</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1.4申请文件格式所要求包含的全部资料应全部制作在申请文件内，严格按照本项目申请文件所有格式如实填写（不涉及的内容除外），不应存在漏项或缺项，否则将存在投标被否决的风险。</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1.5申请文件所附证明材料均为原件的扫描件（或照片），尺寸和清晰度应该能够在电脑上被阅读、识别和判断；若申请人未按要求提供证明材料或提供不清晰的扫描件（或照片）的，审查委员会有权认定其申请文件未对资格预审文件有关要求进行响应，涉及资格性审查或符合性审查的将不予通过。</w:t>
      </w:r>
    </w:p>
    <w:p>
      <w:pPr>
        <w:spacing w:line="336" w:lineRule="auto"/>
        <w:ind w:firstLine="422"/>
        <w:rPr>
          <w:rFonts w:ascii="仿宋" w:hAnsi="仿宋" w:eastAsia="仿宋" w:cs="仿宋"/>
          <w:b/>
          <w:bCs/>
          <w:color w:val="auto"/>
          <w:sz w:val="24"/>
        </w:rPr>
      </w:pPr>
      <w:r>
        <w:rPr>
          <w:rFonts w:hint="eastAsia" w:ascii="仿宋" w:hAnsi="仿宋" w:eastAsia="仿宋" w:cs="仿宋"/>
          <w:b/>
          <w:bCs/>
          <w:color w:val="auto"/>
          <w:sz w:val="24"/>
        </w:rPr>
        <w:t>2、申请文件的提交</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2.1除电子申请文件外，不再接受任何纸质文件、资料等。</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2.2申请人应在提交申请文件截止时间前上传加密的电子申请文件（*.lytf）到洛阳市电子招投标交易平台指定位置。上传时申请人须使用制作该申请文件的同一CA锁进行上传操作。请申请人在上传时认真检查上传申请文件是否完整、正确。申请人应充分考虑上传文件时的不可预见因素，未在提交申请文件截止时间前完成上传的，视为逾期送达，洛阳市电子招投标交易平台将拒绝接收。上传成功后将得到上传成功的确认。</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2.3申请人因洛阳市电子招投标交易平台问题无法上传电子申请文件时，请在工作时间与交易中心联系。</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2.4（此条款仅适用于现场招标的项目）未加密的电子申请文件1份（*.nlytf格式）（U盘介质），密封包装，注明项目名称，并在封套上加盖申请人单位公章或由申请人的法定代表人（单位负责人）或其授权的代理人签字。</w:t>
      </w:r>
    </w:p>
    <w:p>
      <w:pPr>
        <w:spacing w:line="336" w:lineRule="auto"/>
        <w:ind w:firstLine="422"/>
        <w:rPr>
          <w:rFonts w:ascii="仿宋" w:hAnsi="仿宋" w:eastAsia="仿宋" w:cs="仿宋"/>
          <w:b/>
          <w:bCs/>
          <w:color w:val="auto"/>
          <w:sz w:val="24"/>
        </w:rPr>
      </w:pPr>
      <w:r>
        <w:rPr>
          <w:rFonts w:hint="eastAsia" w:ascii="仿宋" w:hAnsi="仿宋" w:eastAsia="仿宋" w:cs="仿宋"/>
          <w:b/>
          <w:bCs/>
          <w:color w:val="auto"/>
          <w:sz w:val="24"/>
        </w:rPr>
        <w:t>3. 资格预审文件的澄清、修改</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3.1资格预审文件的澄清、修改将在《中国招标投标公共服务平台》、《河南省电子招标投标公共服务平台》</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洛阳市公共资源交易中心网</w:t>
      </w:r>
      <w:r>
        <w:rPr>
          <w:rFonts w:hint="eastAsia" w:ascii="仿宋" w:hAnsi="仿宋" w:eastAsia="仿宋" w:cs="仿宋"/>
          <w:color w:val="auto"/>
          <w:sz w:val="24"/>
          <w:lang w:eastAsia="zh-CN"/>
        </w:rPr>
        <w:t>》</w:t>
      </w:r>
      <w:r>
        <w:rPr>
          <w:rFonts w:hint="eastAsia" w:ascii="仿宋" w:hAnsi="仿宋" w:eastAsia="仿宋" w:cs="仿宋"/>
          <w:color w:val="auto"/>
          <w:sz w:val="24"/>
        </w:rPr>
        <w:t>上发布“变更公告”，如需修改资格预审文件，则同时在洛阳市电子招投标交易平台发布“答疑文件”（答疑文件指修改后最新的资格预审文件）。对于各项目中已经成功报名并下载资格预审文件的申请人，将通过第三方短信群发方式提醒申请人进行查询。各申请人须重新下载最新的“答疑文件”，并以此编制申请文件。如不以最新发布的“答疑文件”编制申请文件，造成投标无效的后果由申请人自己承担。</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3.2因洛阳市电子招投标交易平台在开标前具有保密性，申请人在申请文件递交截止时间前须自行查看项目进展、变更通知、澄清及回复，因申请人未及时查看而造成的后果自负。</w:t>
      </w:r>
    </w:p>
    <w:p>
      <w:pPr>
        <w:spacing w:line="336" w:lineRule="auto"/>
        <w:ind w:firstLine="422"/>
        <w:rPr>
          <w:rFonts w:ascii="仿宋" w:hAnsi="仿宋" w:eastAsia="仿宋" w:cs="仿宋"/>
          <w:b/>
          <w:bCs/>
          <w:color w:val="auto"/>
          <w:sz w:val="24"/>
        </w:rPr>
      </w:pPr>
      <w:r>
        <w:rPr>
          <w:rFonts w:hint="eastAsia" w:ascii="仿宋" w:hAnsi="仿宋" w:eastAsia="仿宋" w:cs="仿宋"/>
          <w:b/>
          <w:bCs/>
          <w:color w:val="auto"/>
          <w:sz w:val="24"/>
        </w:rPr>
        <w:t>4、开标规定</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4.2.1 招标人在资格预审文件规定的时间和地点开标，申请人授权代表应携带企业CA锁参加。</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4.2.2（此条款仅适用于现场招标的项目）招标代理机构将会同申请人代表检查自己的未加密的电子申请文件的密封情况。</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4.2.3各申请人应在规定时间内对本单位的申请文件解密。</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4.2.4（此条款仅适用于现场招标的项目）如申请人现场解密失败，申请人应使用未加密的电子申请文件。</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4.2.5（此条款仅适用于现场招标的项目）招标开启前没有提交未加密的电子申请文件，视同放弃使用未加密的电子申请文件。未加密的申请文件现场无法成功上传的，投标无效。</w:t>
      </w:r>
    </w:p>
    <w:p>
      <w:pPr>
        <w:spacing w:line="336" w:lineRule="auto"/>
        <w:ind w:firstLine="480" w:firstLineChars="200"/>
        <w:rPr>
          <w:rFonts w:ascii="仿宋" w:hAnsi="仿宋" w:eastAsia="仿宋" w:cs="仿宋"/>
          <w:color w:val="auto"/>
          <w:sz w:val="24"/>
        </w:rPr>
      </w:pPr>
      <w:r>
        <w:rPr>
          <w:rFonts w:hint="eastAsia" w:ascii="仿宋" w:hAnsi="仿宋" w:eastAsia="仿宋" w:cs="仿宋"/>
          <w:color w:val="auto"/>
          <w:sz w:val="24"/>
        </w:rPr>
        <w:t>4.2.6（此条款仅适用于现场招标的项目）未加密的电子申请文件仅仅作为网上提交的加密的电子申请文件在特殊情况下才启用的备份资料。没有提交网上加密电子申请文件，仅提交未加密电子申请文件的，投标无效。</w:t>
      </w:r>
    </w:p>
    <w:p>
      <w:pPr>
        <w:spacing w:line="336" w:lineRule="auto"/>
        <w:ind w:firstLine="422"/>
        <w:rPr>
          <w:rFonts w:ascii="仿宋" w:hAnsi="仿宋" w:eastAsia="仿宋" w:cs="仿宋"/>
          <w:color w:val="auto"/>
          <w:sz w:val="24"/>
        </w:rPr>
      </w:pPr>
      <w:r>
        <w:rPr>
          <w:rFonts w:hint="eastAsia" w:ascii="仿宋" w:hAnsi="仿宋" w:eastAsia="仿宋" w:cs="仿宋"/>
          <w:b/>
          <w:bCs/>
          <w:color w:val="auto"/>
          <w:sz w:val="24"/>
        </w:rPr>
        <w:t>5、</w:t>
      </w:r>
      <w:r>
        <w:rPr>
          <w:rFonts w:hint="eastAsia" w:ascii="仿宋" w:hAnsi="仿宋" w:eastAsia="仿宋" w:cs="仿宋"/>
          <w:color w:val="auto"/>
          <w:sz w:val="24"/>
        </w:rPr>
        <w:t>为便于申请人（申请人）制作投标（响应）文件，本投标（响应）文件格式所列招标投标的主体称呼及专业术语，也适用于政府采购非招标方式（竞争性谈判、竞争性磋商、询价）对应的主体称呼及专业术语。</w:t>
      </w:r>
    </w:p>
    <w:p>
      <w:pPr>
        <w:spacing w:line="600" w:lineRule="exact"/>
        <w:ind w:firstLine="3213" w:firstLineChars="1000"/>
        <w:rPr>
          <w:rFonts w:hint="eastAsia" w:ascii="仿宋" w:hAnsi="仿宋" w:eastAsia="仿宋" w:cs="仿宋"/>
          <w:b/>
          <w:bCs/>
          <w:color w:val="auto"/>
          <w:sz w:val="32"/>
          <w:szCs w:val="32"/>
        </w:rPr>
      </w:pPr>
    </w:p>
    <w:p>
      <w:pPr>
        <w:spacing w:line="600" w:lineRule="exact"/>
        <w:ind w:firstLine="3213" w:firstLineChars="1000"/>
        <w:rPr>
          <w:rFonts w:ascii="仿宋" w:hAnsi="仿宋" w:eastAsia="仿宋" w:cs="仿宋"/>
          <w:b/>
          <w:bCs/>
          <w:color w:val="auto"/>
          <w:sz w:val="32"/>
          <w:szCs w:val="32"/>
        </w:rPr>
      </w:pPr>
      <w:r>
        <w:rPr>
          <w:rFonts w:hint="eastAsia" w:ascii="仿宋" w:hAnsi="仿宋" w:eastAsia="仿宋" w:cs="仿宋"/>
          <w:b/>
          <w:bCs/>
          <w:color w:val="auto"/>
          <w:sz w:val="32"/>
          <w:szCs w:val="32"/>
        </w:rPr>
        <w:t>目     录</w:t>
      </w:r>
    </w:p>
    <w:p>
      <w:pPr>
        <w:pStyle w:val="49"/>
        <w:rPr>
          <w:color w:val="auto"/>
        </w:rPr>
      </w:pPr>
    </w:p>
    <w:p>
      <w:pPr>
        <w:pStyle w:val="22"/>
        <w:tabs>
          <w:tab w:val="right" w:leader="dot" w:pos="8296"/>
        </w:tabs>
        <w:snapToGrid w:val="0"/>
        <w:spacing w:line="360" w:lineRule="auto"/>
        <w:rPr>
          <w:rFonts w:cs="仿宋" w:asciiTheme="minorEastAsia" w:hAnsiTheme="minorEastAsia" w:eastAsiaTheme="minorEastAsia"/>
          <w:color w:val="auto"/>
        </w:rPr>
      </w:pPr>
      <w:r>
        <w:rPr>
          <w:rFonts w:hint="eastAsia" w:ascii="仿宋" w:hAnsi="仿宋" w:eastAsia="仿宋" w:cs="仿宋"/>
          <w:color w:val="auto"/>
        </w:rPr>
        <w:fldChar w:fldCharType="begin"/>
      </w:r>
      <w:r>
        <w:rPr>
          <w:rFonts w:hint="eastAsia" w:ascii="仿宋" w:hAnsi="仿宋" w:eastAsia="仿宋" w:cs="仿宋"/>
          <w:color w:val="auto"/>
        </w:rPr>
        <w:instrText xml:space="preserve"> TOC \o "1-3" \h \z \u </w:instrText>
      </w:r>
      <w:r>
        <w:rPr>
          <w:rFonts w:hint="eastAsia" w:ascii="仿宋" w:hAnsi="仿宋" w:eastAsia="仿宋" w:cs="仿宋"/>
          <w:color w:val="auto"/>
        </w:rPr>
        <w:fldChar w:fldCharType="separate"/>
      </w:r>
      <w:r>
        <w:rPr>
          <w:color w:val="auto"/>
        </w:rPr>
        <w:fldChar w:fldCharType="begin"/>
      </w:r>
      <w:r>
        <w:rPr>
          <w:color w:val="auto"/>
        </w:rPr>
        <w:instrText xml:space="preserve"> HYPERLINK \l "_Toc179715682" </w:instrText>
      </w:r>
      <w:r>
        <w:rPr>
          <w:color w:val="auto"/>
        </w:rPr>
        <w:fldChar w:fldCharType="separate"/>
      </w:r>
      <w:r>
        <w:rPr>
          <w:rStyle w:val="43"/>
          <w:rFonts w:hint="eastAsia" w:cs="仿宋" w:asciiTheme="minorEastAsia" w:hAnsiTheme="minorEastAsia" w:eastAsiaTheme="minorEastAsia"/>
          <w:color w:val="auto"/>
        </w:rPr>
        <w:t>第一章 资格预审公告</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_Toc179715682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4</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2"/>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"_Toc179715691" </w:instrText>
      </w:r>
      <w:r>
        <w:rPr>
          <w:color w:val="auto"/>
        </w:rPr>
        <w:fldChar w:fldCharType="separate"/>
      </w:r>
      <w:r>
        <w:rPr>
          <w:rStyle w:val="43"/>
          <w:rFonts w:hint="eastAsia" w:cs="仿宋" w:asciiTheme="minorEastAsia" w:hAnsiTheme="minorEastAsia" w:eastAsiaTheme="minorEastAsia"/>
          <w:color w:val="auto"/>
        </w:rPr>
        <w:t>第二章 申请人须知</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_Toc179715691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- 5 -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"_Toc179715692" </w:instrText>
      </w:r>
      <w:r>
        <w:rPr>
          <w:color w:val="auto"/>
        </w:rPr>
        <w:fldChar w:fldCharType="separate"/>
      </w:r>
      <w:r>
        <w:rPr>
          <w:rStyle w:val="43"/>
          <w:rFonts w:hint="eastAsia" w:cs="仿宋" w:asciiTheme="minorEastAsia" w:hAnsiTheme="minorEastAsia" w:eastAsiaTheme="minorEastAsia"/>
          <w:color w:val="auto"/>
        </w:rPr>
        <w:t>申请人须知前附表</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_Toc179715692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- 5 -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"_Toc179715693" </w:instrText>
      </w:r>
      <w:r>
        <w:rPr>
          <w:color w:val="auto"/>
        </w:rPr>
        <w:fldChar w:fldCharType="separate"/>
      </w:r>
      <w:r>
        <w:rPr>
          <w:rStyle w:val="43"/>
          <w:rFonts w:hint="eastAsia" w:cs="仿宋" w:asciiTheme="minorEastAsia" w:hAnsiTheme="minorEastAsia" w:eastAsiaTheme="minorEastAsia"/>
          <w:color w:val="auto"/>
        </w:rPr>
        <w:t>1. 总则</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_Toc179715693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- 8 -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"_Toc179715700" </w:instrText>
      </w:r>
      <w:r>
        <w:rPr>
          <w:color w:val="auto"/>
        </w:rPr>
        <w:fldChar w:fldCharType="separate"/>
      </w:r>
      <w:r>
        <w:rPr>
          <w:rStyle w:val="43"/>
          <w:rFonts w:hint="eastAsia" w:cs="仿宋" w:asciiTheme="minorEastAsia" w:hAnsiTheme="minorEastAsia" w:eastAsiaTheme="minorEastAsia"/>
          <w:color w:val="auto"/>
        </w:rPr>
        <w:t>2. 资格预审文件</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_Toc179715700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- 9 -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"_Toc179715704" </w:instrText>
      </w:r>
      <w:r>
        <w:rPr>
          <w:color w:val="auto"/>
        </w:rPr>
        <w:fldChar w:fldCharType="separate"/>
      </w:r>
      <w:r>
        <w:rPr>
          <w:rStyle w:val="43"/>
          <w:rFonts w:hint="eastAsia" w:cs="仿宋" w:asciiTheme="minorEastAsia" w:hAnsiTheme="minorEastAsia" w:eastAsiaTheme="minorEastAsia"/>
          <w:color w:val="auto"/>
        </w:rPr>
        <w:t>3. 资格预审申请文件的编制</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_Toc179715704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- 9 -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"_Toc179715708" </w:instrText>
      </w:r>
      <w:r>
        <w:rPr>
          <w:color w:val="auto"/>
        </w:rPr>
        <w:fldChar w:fldCharType="separate"/>
      </w:r>
      <w:r>
        <w:rPr>
          <w:rStyle w:val="43"/>
          <w:rFonts w:hint="eastAsia" w:cs="仿宋" w:asciiTheme="minorEastAsia" w:hAnsiTheme="minorEastAsia" w:eastAsiaTheme="minorEastAsia"/>
          <w:color w:val="auto"/>
        </w:rPr>
        <w:t>4. 资格预审申请文件的递交</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_Toc179715708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- 11 -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"_Toc179715711" </w:instrText>
      </w:r>
      <w:r>
        <w:rPr>
          <w:color w:val="auto"/>
        </w:rPr>
        <w:fldChar w:fldCharType="separate"/>
      </w:r>
      <w:r>
        <w:rPr>
          <w:rStyle w:val="43"/>
          <w:rFonts w:hint="eastAsia" w:cs="仿宋" w:asciiTheme="minorEastAsia" w:hAnsiTheme="minorEastAsia" w:eastAsiaTheme="minorEastAsia"/>
          <w:color w:val="auto"/>
        </w:rPr>
        <w:t>5．资格预审申请文件的审查</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_Toc179715711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- 11 -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"_Toc179715714" </w:instrText>
      </w:r>
      <w:r>
        <w:rPr>
          <w:color w:val="auto"/>
        </w:rPr>
        <w:fldChar w:fldCharType="separate"/>
      </w:r>
      <w:r>
        <w:rPr>
          <w:rStyle w:val="43"/>
          <w:rFonts w:hint="eastAsia" w:cs="仿宋" w:asciiTheme="minorEastAsia" w:hAnsiTheme="minorEastAsia" w:eastAsiaTheme="minorEastAsia"/>
          <w:color w:val="auto"/>
        </w:rPr>
        <w:t>6. 通知和确认</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_Toc179715714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- 12 -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"_Toc179715718" </w:instrText>
      </w:r>
      <w:r>
        <w:rPr>
          <w:color w:val="auto"/>
        </w:rPr>
        <w:fldChar w:fldCharType="separate"/>
      </w:r>
      <w:r>
        <w:rPr>
          <w:rStyle w:val="43"/>
          <w:rFonts w:hint="eastAsia" w:cs="仿宋" w:asciiTheme="minorEastAsia" w:hAnsiTheme="minorEastAsia" w:eastAsiaTheme="minorEastAsia"/>
          <w:color w:val="auto"/>
        </w:rPr>
        <w:t>7. 申请人的资格改变</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_Toc179715718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- 12 -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"_Toc179715719" </w:instrText>
      </w:r>
      <w:r>
        <w:rPr>
          <w:color w:val="auto"/>
        </w:rPr>
        <w:fldChar w:fldCharType="separate"/>
      </w:r>
      <w:r>
        <w:rPr>
          <w:rStyle w:val="43"/>
          <w:rFonts w:hint="eastAsia" w:cs="仿宋" w:asciiTheme="minorEastAsia" w:hAnsiTheme="minorEastAsia" w:eastAsiaTheme="minorEastAsia"/>
          <w:color w:val="auto"/>
        </w:rPr>
        <w:t>8. 纪律与监督</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_Toc179715719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- 12 -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"_Toc179715724" </w:instrText>
      </w:r>
      <w:r>
        <w:rPr>
          <w:color w:val="auto"/>
        </w:rPr>
        <w:fldChar w:fldCharType="separate"/>
      </w:r>
      <w:r>
        <w:rPr>
          <w:rStyle w:val="43"/>
          <w:rFonts w:hint="eastAsia" w:cs="仿宋" w:asciiTheme="minorEastAsia" w:hAnsiTheme="minorEastAsia" w:eastAsiaTheme="minorEastAsia"/>
          <w:color w:val="auto"/>
        </w:rPr>
        <w:t>9. 需要补充的其他内容</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_Toc179715724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- 13 -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2"/>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"_Toc179715738" </w:instrText>
      </w:r>
      <w:r>
        <w:rPr>
          <w:color w:val="auto"/>
        </w:rPr>
        <w:fldChar w:fldCharType="separate"/>
      </w:r>
      <w:r>
        <w:rPr>
          <w:rStyle w:val="43"/>
          <w:rFonts w:hint="eastAsia" w:cs="仿宋" w:asciiTheme="minorEastAsia" w:hAnsiTheme="minorEastAsia" w:eastAsiaTheme="minorEastAsia"/>
          <w:color w:val="auto"/>
        </w:rPr>
        <w:t>第三章 资格审查办法（有限数量制）</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_Toc179715738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- 14 -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"_Toc179715739" </w:instrText>
      </w:r>
      <w:r>
        <w:rPr>
          <w:color w:val="auto"/>
        </w:rPr>
        <w:fldChar w:fldCharType="separate"/>
      </w:r>
      <w:r>
        <w:rPr>
          <w:rStyle w:val="43"/>
          <w:rFonts w:hint="eastAsia" w:cs="仿宋" w:asciiTheme="minorEastAsia" w:hAnsiTheme="minorEastAsia" w:eastAsiaTheme="minorEastAsia"/>
          <w:color w:val="auto"/>
        </w:rPr>
        <w:t>资格审查办法前附表</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_Toc179715739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- 14 -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"_Toc179715740" </w:instrText>
      </w:r>
      <w:r>
        <w:rPr>
          <w:color w:val="auto"/>
        </w:rPr>
        <w:fldChar w:fldCharType="separate"/>
      </w:r>
      <w:r>
        <w:rPr>
          <w:rStyle w:val="43"/>
          <w:rFonts w:hint="eastAsia" w:cs="仿宋" w:asciiTheme="minorEastAsia" w:hAnsiTheme="minorEastAsia" w:eastAsiaTheme="minorEastAsia"/>
          <w:color w:val="auto"/>
        </w:rPr>
        <w:t>1. 审查方法</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_Toc179715740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- 14 -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"_Toc179715741" </w:instrText>
      </w:r>
      <w:r>
        <w:rPr>
          <w:color w:val="auto"/>
        </w:rPr>
        <w:fldChar w:fldCharType="separate"/>
      </w:r>
      <w:r>
        <w:rPr>
          <w:rStyle w:val="43"/>
          <w:rFonts w:hint="eastAsia" w:cs="仿宋" w:asciiTheme="minorEastAsia" w:hAnsiTheme="minorEastAsia" w:eastAsiaTheme="minorEastAsia"/>
          <w:color w:val="auto"/>
        </w:rPr>
        <w:t>2. 审查标准</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_Toc179715741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- 17 -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"_Toc179715745" </w:instrText>
      </w:r>
      <w:r>
        <w:rPr>
          <w:color w:val="auto"/>
        </w:rPr>
        <w:fldChar w:fldCharType="separate"/>
      </w:r>
      <w:r>
        <w:rPr>
          <w:rStyle w:val="43"/>
          <w:rFonts w:hint="eastAsia" w:cs="仿宋" w:asciiTheme="minorEastAsia" w:hAnsiTheme="minorEastAsia" w:eastAsiaTheme="minorEastAsia"/>
          <w:color w:val="auto"/>
        </w:rPr>
        <w:t>3. 审查程序</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_Toc179715745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- 17 -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5"/>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"_Toc179715750" </w:instrText>
      </w:r>
      <w:r>
        <w:rPr>
          <w:color w:val="auto"/>
        </w:rPr>
        <w:fldChar w:fldCharType="separate"/>
      </w:r>
      <w:r>
        <w:rPr>
          <w:rStyle w:val="43"/>
          <w:rFonts w:hint="eastAsia" w:cs="仿宋" w:asciiTheme="minorEastAsia" w:hAnsiTheme="minorEastAsia" w:eastAsiaTheme="minorEastAsia"/>
          <w:color w:val="auto"/>
        </w:rPr>
        <w:t>4. 审查结果</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_Toc179715750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- 18 -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pStyle w:val="22"/>
        <w:tabs>
          <w:tab w:val="right" w:leader="dot" w:pos="8296"/>
        </w:tabs>
        <w:snapToGrid w:val="0"/>
        <w:spacing w:line="360" w:lineRule="auto"/>
        <w:rPr>
          <w:rFonts w:cs="仿宋" w:asciiTheme="minorEastAsia" w:hAnsiTheme="minorEastAsia" w:eastAsiaTheme="minorEastAsia"/>
          <w:color w:val="auto"/>
        </w:rPr>
      </w:pPr>
      <w:r>
        <w:rPr>
          <w:color w:val="auto"/>
        </w:rPr>
        <w:fldChar w:fldCharType="begin"/>
      </w:r>
      <w:r>
        <w:rPr>
          <w:color w:val="auto"/>
        </w:rPr>
        <w:instrText xml:space="preserve"> HYPERLINK \l "_Toc179715753" </w:instrText>
      </w:r>
      <w:r>
        <w:rPr>
          <w:color w:val="auto"/>
        </w:rPr>
        <w:fldChar w:fldCharType="separate"/>
      </w:r>
      <w:r>
        <w:rPr>
          <w:rStyle w:val="43"/>
          <w:rFonts w:hint="eastAsia" w:cs="仿宋" w:asciiTheme="minorEastAsia" w:hAnsiTheme="minorEastAsia" w:eastAsiaTheme="minorEastAsia"/>
          <w:color w:val="auto"/>
        </w:rPr>
        <w:t>第四章 资格预审申请文件格式</w:t>
      </w:r>
      <w:r>
        <w:rPr>
          <w:rFonts w:hint="eastAsia" w:cs="仿宋" w:asciiTheme="minorEastAsia" w:hAnsiTheme="minorEastAsia" w:eastAsiaTheme="minorEastAsia"/>
          <w:color w:val="auto"/>
        </w:rPr>
        <w:tab/>
      </w:r>
      <w:r>
        <w:rPr>
          <w:rFonts w:hint="eastAsia" w:cs="仿宋" w:asciiTheme="minorEastAsia" w:hAnsiTheme="minorEastAsia" w:eastAsiaTheme="minorEastAsia"/>
          <w:color w:val="auto"/>
        </w:rPr>
        <w:fldChar w:fldCharType="begin"/>
      </w:r>
      <w:r>
        <w:rPr>
          <w:rFonts w:hint="eastAsia" w:cs="仿宋" w:asciiTheme="minorEastAsia" w:hAnsiTheme="minorEastAsia" w:eastAsiaTheme="minorEastAsia"/>
          <w:color w:val="auto"/>
        </w:rPr>
        <w:instrText xml:space="preserve"> PAGEREF _Toc179715753 \h </w:instrText>
      </w:r>
      <w:r>
        <w:rPr>
          <w:rFonts w:hint="eastAsia" w:cs="仿宋" w:asciiTheme="minorEastAsia" w:hAnsiTheme="minorEastAsia" w:eastAsiaTheme="minorEastAsia"/>
          <w:color w:val="auto"/>
        </w:rPr>
        <w:fldChar w:fldCharType="separate"/>
      </w:r>
      <w:r>
        <w:rPr>
          <w:rFonts w:cs="仿宋" w:asciiTheme="minorEastAsia" w:hAnsiTheme="minorEastAsia" w:eastAsiaTheme="minorEastAsia"/>
          <w:color w:val="auto"/>
        </w:rPr>
        <w:t>- 19 -</w:t>
      </w:r>
      <w:r>
        <w:rPr>
          <w:rFonts w:hint="eastAsia" w:cs="仿宋" w:asciiTheme="minorEastAsia" w:hAnsiTheme="minorEastAsia" w:eastAsiaTheme="minorEastAsia"/>
          <w:color w:val="auto"/>
        </w:rPr>
        <w:fldChar w:fldCharType="end"/>
      </w:r>
      <w:r>
        <w:rPr>
          <w:rFonts w:hint="eastAsia" w:cs="仿宋" w:asciiTheme="minorEastAsia" w:hAnsiTheme="minorEastAsia" w:eastAsiaTheme="minorEastAsia"/>
          <w:color w:val="auto"/>
        </w:rPr>
        <w:fldChar w:fldCharType="end"/>
      </w:r>
    </w:p>
    <w:p>
      <w:pPr>
        <w:spacing w:line="400" w:lineRule="exact"/>
        <w:rPr>
          <w:rFonts w:ascii="仿宋" w:hAnsi="仿宋" w:eastAsia="仿宋" w:cs="仿宋"/>
          <w:color w:val="auto"/>
        </w:rPr>
        <w:sectPr>
          <w:headerReference r:id="rId3" w:type="default"/>
          <w:pgSz w:w="11906" w:h="16838"/>
          <w:pgMar w:top="1440" w:right="1800" w:bottom="1440" w:left="1800" w:header="851" w:footer="992" w:gutter="0"/>
          <w:pgNumType w:fmt="lowerRoman" w:start="1"/>
          <w:cols w:space="720" w:num="1"/>
          <w:docGrid w:type="lines" w:linePitch="312" w:charSpace="0"/>
        </w:sectPr>
      </w:pPr>
      <w:r>
        <w:rPr>
          <w:rFonts w:hint="eastAsia" w:ascii="仿宋" w:hAnsi="仿宋" w:eastAsia="仿宋" w:cs="仿宋"/>
          <w:color w:val="auto"/>
        </w:rPr>
        <w:fldChar w:fldCharType="end"/>
      </w:r>
      <w:bookmarkStart w:id="0" w:name="_Toc144974393"/>
    </w:p>
    <w:p>
      <w:pPr>
        <w:pStyle w:val="3"/>
        <w:spacing w:before="120" w:after="120" w:line="400" w:lineRule="exact"/>
        <w:jc w:val="center"/>
        <w:rPr>
          <w:rFonts w:ascii="仿宋" w:hAnsi="仿宋" w:eastAsia="仿宋" w:cs="仿宋"/>
          <w:b w:val="0"/>
          <w:bCs w:val="0"/>
          <w:color w:val="auto"/>
          <w:sz w:val="32"/>
        </w:rPr>
        <w:sectPr>
          <w:headerReference r:id="rId4" w:type="default"/>
          <w:footerReference r:id="rId5" w:type="default"/>
          <w:type w:val="continuous"/>
          <w:pgSz w:w="11906" w:h="16838"/>
          <w:pgMar w:top="1440" w:right="1800" w:bottom="1440" w:left="1800" w:header="851" w:footer="992" w:gutter="0"/>
          <w:pgNumType w:start="1"/>
          <w:cols w:space="720" w:num="1"/>
          <w:docGrid w:type="lines" w:linePitch="312" w:charSpace="0"/>
        </w:sectPr>
      </w:pPr>
      <w:bookmarkStart w:id="1" w:name="_Toc179715682"/>
      <w:bookmarkStart w:id="2" w:name="_Toc152047190"/>
    </w:p>
    <w:bookmarkEnd w:id="0"/>
    <w:bookmarkEnd w:id="1"/>
    <w:bookmarkEnd w:id="2"/>
    <w:p>
      <w:pPr>
        <w:pStyle w:val="3"/>
        <w:numPr>
          <w:ilvl w:val="0"/>
          <w:numId w:val="1"/>
        </w:numPr>
        <w:spacing w:before="120" w:after="120" w:line="400" w:lineRule="exact"/>
        <w:jc w:val="center"/>
        <w:rPr>
          <w:rFonts w:ascii="仿宋" w:hAnsi="仿宋" w:eastAsia="仿宋" w:cs="仿宋"/>
          <w:color w:val="auto"/>
          <w:sz w:val="32"/>
        </w:rPr>
      </w:pPr>
      <w:r>
        <w:rPr>
          <w:rFonts w:hint="eastAsia" w:ascii="仿宋" w:hAnsi="仿宋" w:eastAsia="仿宋" w:cs="仿宋"/>
          <w:color w:val="auto"/>
          <w:sz w:val="32"/>
        </w:rPr>
        <w:t>资格预审公告（代招标公告）</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一、招标条件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本招标项目</w:t>
      </w:r>
      <w:r>
        <w:rPr>
          <w:rFonts w:hint="eastAsia" w:ascii="仿宋" w:hAnsi="仿宋" w:eastAsia="仿宋" w:cs="仿宋"/>
          <w:color w:val="auto"/>
          <w:sz w:val="24"/>
          <w:lang w:eastAsia="zh-CN"/>
        </w:rPr>
        <w:t>绿洲花园项目(南区)11#-15#楼、20#-23#楼及2#地下车库项目</w:t>
      </w:r>
      <w:r>
        <w:rPr>
          <w:rFonts w:hint="eastAsia" w:ascii="仿宋" w:hAnsi="仿宋" w:eastAsia="仿宋" w:cs="仿宋"/>
          <w:color w:val="auto"/>
          <w:sz w:val="24"/>
        </w:rPr>
        <w:t>，招标人为</w:t>
      </w:r>
      <w:r>
        <w:rPr>
          <w:rFonts w:hint="eastAsia" w:ascii="仿宋" w:hAnsi="仿宋" w:eastAsia="仿宋" w:cs="仿宋"/>
          <w:color w:val="auto"/>
          <w:sz w:val="24"/>
          <w:lang w:eastAsia="zh-CN"/>
        </w:rPr>
        <w:t>河南万隆置业有限公司</w:t>
      </w:r>
      <w:r>
        <w:rPr>
          <w:rFonts w:hint="eastAsia" w:ascii="仿宋" w:hAnsi="仿宋" w:eastAsia="仿宋" w:cs="仿宋"/>
          <w:color w:val="auto"/>
          <w:sz w:val="24"/>
        </w:rPr>
        <w:t>，招标代理机构为</w:t>
      </w:r>
      <w:r>
        <w:rPr>
          <w:rFonts w:hint="eastAsia" w:ascii="仿宋" w:hAnsi="仿宋" w:eastAsia="仿宋" w:cs="仿宋"/>
          <w:color w:val="auto"/>
          <w:sz w:val="24"/>
          <w:lang w:eastAsia="zh-CN"/>
        </w:rPr>
        <w:t>河南省大江工程咨询有限公司</w:t>
      </w:r>
      <w:r>
        <w:rPr>
          <w:rFonts w:hint="eastAsia" w:ascii="仿宋" w:hAnsi="仿宋" w:eastAsia="仿宋" w:cs="仿宋"/>
          <w:color w:val="auto"/>
          <w:sz w:val="24"/>
        </w:rPr>
        <w:t>。项目已具备招标条件，现进行公开招标，特邀请有兴趣的潜在申请人(以下简称申请人)提出资格预审申请。</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二、项目概况与招标范围</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1、项目名称：</w:t>
      </w:r>
      <w:r>
        <w:rPr>
          <w:rFonts w:hint="eastAsia" w:ascii="仿宋" w:hAnsi="仿宋" w:eastAsia="仿宋" w:cs="仿宋"/>
          <w:color w:val="auto"/>
          <w:sz w:val="24"/>
          <w:lang w:eastAsia="zh-CN"/>
        </w:rPr>
        <w:t>绿洲花园项目(南区)11#-15#楼、20#-23#楼及2#地下车库项目</w:t>
      </w:r>
      <w:r>
        <w:rPr>
          <w:rFonts w:hint="eastAsia" w:ascii="仿宋" w:hAnsi="仿宋" w:eastAsia="仿宋" w:cs="仿宋"/>
          <w:color w:val="auto"/>
          <w:sz w:val="24"/>
        </w:rPr>
        <w:t xml:space="preserve"> </w:t>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2、项目编号：</w:t>
      </w:r>
      <w:r>
        <w:rPr>
          <w:rFonts w:hint="eastAsia" w:ascii="仿宋" w:hAnsi="仿宋" w:eastAsia="仿宋" w:cs="仿宋"/>
          <w:color w:val="auto"/>
          <w:sz w:val="24"/>
          <w:lang w:val="en-US" w:eastAsia="zh-CN"/>
        </w:rPr>
        <w:t xml:space="preserve">涧西工施招标(2022)0041号  </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3、项目投资：</w:t>
      </w:r>
      <w:r>
        <w:rPr>
          <w:rFonts w:hint="eastAsia" w:ascii="仿宋" w:hAnsi="仿宋" w:eastAsia="仿宋" w:cs="仿宋"/>
          <w:color w:val="auto"/>
          <w:sz w:val="24"/>
          <w:lang w:val="en-US" w:eastAsia="zh-CN"/>
        </w:rPr>
        <w:t>359983312.79元</w:t>
      </w:r>
      <w:r>
        <w:rPr>
          <w:rFonts w:hint="eastAsia" w:ascii="仿宋" w:hAnsi="仿宋" w:eastAsia="仿宋" w:cs="仿宋"/>
          <w:color w:val="auto"/>
          <w:sz w:val="24"/>
        </w:rPr>
        <w:t xml:space="preserve"> </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4、资金来源：</w:t>
      </w:r>
      <w:r>
        <w:rPr>
          <w:rFonts w:hint="eastAsia" w:ascii="仿宋" w:hAnsi="仿宋" w:eastAsia="仿宋" w:cs="仿宋"/>
          <w:color w:val="auto"/>
          <w:sz w:val="24"/>
          <w:lang w:val="en-US" w:eastAsia="zh-CN"/>
        </w:rPr>
        <w:t>企业自筹</w:t>
      </w:r>
      <w:r>
        <w:rPr>
          <w:rFonts w:hint="eastAsia" w:ascii="仿宋" w:hAnsi="仿宋" w:eastAsia="仿宋" w:cs="仿宋"/>
          <w:color w:val="auto"/>
          <w:sz w:val="24"/>
        </w:rPr>
        <w:t>资金</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5、建设地点：位于</w:t>
      </w:r>
      <w:r>
        <w:rPr>
          <w:rFonts w:hint="eastAsia" w:ascii="仿宋" w:hAnsi="仿宋" w:eastAsia="仿宋" w:cs="仿宋"/>
          <w:color w:val="auto"/>
          <w:sz w:val="24"/>
          <w:lang w:val="en-US" w:eastAsia="zh-CN"/>
        </w:rPr>
        <w:t>洛阳市九都路与龙鳞路交叉口</w:t>
      </w:r>
      <w:r>
        <w:rPr>
          <w:rFonts w:hint="eastAsia" w:ascii="仿宋" w:hAnsi="仿宋" w:eastAsia="仿宋" w:cs="仿宋"/>
          <w:color w:val="auto"/>
          <w:sz w:val="24"/>
        </w:rPr>
        <w:t>。</w:t>
      </w:r>
    </w:p>
    <w:p>
      <w:pPr>
        <w:snapToGrid w:val="0"/>
        <w:spacing w:line="440" w:lineRule="exact"/>
        <w:ind w:firstLine="480" w:firstLineChars="200"/>
        <w:rPr>
          <w:rFonts w:hint="eastAsia" w:ascii="仿宋" w:hAnsi="仿宋" w:eastAsia="仿宋" w:cs="仿宋"/>
          <w:color w:val="auto"/>
          <w:sz w:val="24"/>
          <w:lang w:eastAsia="zh-CN"/>
        </w:rPr>
      </w:pPr>
      <w:r>
        <w:rPr>
          <w:rFonts w:hint="eastAsia" w:ascii="仿宋" w:hAnsi="仿宋" w:eastAsia="仿宋" w:cs="仿宋"/>
          <w:color w:val="auto"/>
          <w:sz w:val="24"/>
        </w:rPr>
        <w:t>6、建设规模：该项目建筑面积</w:t>
      </w:r>
      <w:r>
        <w:rPr>
          <w:rFonts w:hint="eastAsia" w:ascii="仿宋" w:hAnsi="仿宋" w:eastAsia="仿宋" w:cs="仿宋"/>
          <w:color w:val="auto"/>
          <w:sz w:val="24"/>
          <w:lang w:val="en-US" w:eastAsia="zh-CN"/>
        </w:rPr>
        <w:t>约14万</w:t>
      </w:r>
      <w:r>
        <w:rPr>
          <w:rFonts w:hint="eastAsia" w:ascii="仿宋" w:hAnsi="仿宋" w:eastAsia="仿宋" w:cs="仿宋"/>
          <w:color w:val="auto"/>
          <w:sz w:val="24"/>
        </w:rPr>
        <w:t>平方米</w:t>
      </w:r>
      <w:r>
        <w:rPr>
          <w:rFonts w:hint="eastAsia" w:ascii="仿宋" w:hAnsi="仿宋" w:eastAsia="仿宋" w:cs="仿宋"/>
          <w:color w:val="auto"/>
          <w:sz w:val="24"/>
          <w:lang w:eastAsia="zh-CN"/>
        </w:rPr>
        <w:t>；</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7、招标范围：本工程施工图纸及工程量清单内的全部内容。</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8、质量要求：符合国家质量验收备案标准。</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9、计划工期：3年</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10、安全文明施工标准：达到洛阳市安全文明生产施工标准化工地验收标准；</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11、扬尘防治目标：施工现场做到“七个100%，八个必须”及国家、省、市有关规定。</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三、申请人资格要求</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1、企业要求：申请人须具有独立法人资格及有效的企业法人营业执照（申请文件中附营业执照扫描件）。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2、资质要求：申请人须建筑工程施工总承包</w:t>
      </w:r>
      <w:r>
        <w:rPr>
          <w:rFonts w:hint="eastAsia" w:ascii="仿宋" w:hAnsi="仿宋" w:eastAsia="仿宋" w:cs="仿宋"/>
          <w:color w:val="auto"/>
          <w:sz w:val="24"/>
          <w:lang w:eastAsia="zh-CN"/>
        </w:rPr>
        <w:t>贰级</w:t>
      </w:r>
      <w:r>
        <w:rPr>
          <w:rFonts w:hint="eastAsia" w:ascii="仿宋" w:hAnsi="仿宋" w:eastAsia="仿宋" w:cs="仿宋"/>
          <w:color w:val="auto"/>
          <w:sz w:val="24"/>
        </w:rPr>
        <w:t>及以上资质，具有有效的安全生产许可证（申请文件中附资质证书、安全生产许可证扫描件）。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lang w:val="en-US" w:eastAsia="zh-CN"/>
        </w:rPr>
        <w:t>3</w:t>
      </w:r>
      <w:r>
        <w:rPr>
          <w:rFonts w:hint="eastAsia" w:ascii="仿宋" w:hAnsi="仿宋" w:eastAsia="仿宋" w:cs="仿宋"/>
          <w:color w:val="auto"/>
          <w:sz w:val="24"/>
        </w:rPr>
        <w:t>、项目人员要求：</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（1）拟派项目经理：须具备建筑工程专业一级注册建造师资格和有效的安全生产考核合格证书，并提供劳动合同和自202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年1月1日以来任意</w:t>
      </w:r>
      <w:r>
        <w:rPr>
          <w:rFonts w:hint="eastAsia" w:ascii="仿宋" w:hAnsi="仿宋" w:eastAsia="仿宋" w:cs="仿宋"/>
          <w:color w:val="auto"/>
          <w:sz w:val="24"/>
          <w:lang w:eastAsia="zh-CN"/>
        </w:rPr>
        <w:t>连续</w:t>
      </w:r>
      <w:r>
        <w:rPr>
          <w:rFonts w:hint="eastAsia" w:ascii="仿宋" w:hAnsi="仿宋" w:eastAsia="仿宋" w:cs="仿宋"/>
          <w:color w:val="auto"/>
          <w:sz w:val="24"/>
          <w:lang w:val="en-US" w:eastAsia="zh-CN"/>
        </w:rPr>
        <w:t>3个月</w:t>
      </w:r>
      <w:r>
        <w:rPr>
          <w:rFonts w:hint="eastAsia" w:ascii="仿宋" w:hAnsi="仿宋" w:eastAsia="仿宋" w:cs="仿宋"/>
          <w:color w:val="auto"/>
          <w:sz w:val="24"/>
        </w:rPr>
        <w:t>本单位为其缴纳的社保证明（以带社保中心印章的社保或加盖申请人电子章的社保网页截图为准，并提供查询方式），且未在其它在建工程担任项目经理（出具承诺书）。申请文件中附拟派项目经理注册建造师证书扫描件、安全生产考核合格证扫描件、劳动合同扫描件、社保证明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（2）拟派技术负责人：须具备</w:t>
      </w:r>
      <w:r>
        <w:rPr>
          <w:rFonts w:hint="eastAsia" w:ascii="仿宋" w:hAnsi="仿宋" w:eastAsia="仿宋" w:cs="仿宋"/>
          <w:color w:val="auto"/>
          <w:sz w:val="24"/>
          <w:lang w:eastAsia="zh-CN"/>
        </w:rPr>
        <w:t>建筑工程类中级级以上技术职称</w:t>
      </w:r>
      <w:r>
        <w:rPr>
          <w:rFonts w:hint="eastAsia" w:ascii="仿宋" w:hAnsi="仿宋" w:eastAsia="仿宋" w:cs="仿宋"/>
          <w:color w:val="auto"/>
          <w:sz w:val="24"/>
        </w:rPr>
        <w:t>资格，并提供劳动合同和自202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年1月1日以来任意连续</w:t>
      </w:r>
      <w:r>
        <w:rPr>
          <w:rFonts w:hint="eastAsia" w:ascii="仿宋" w:hAnsi="仿宋" w:eastAsia="仿宋" w:cs="仿宋"/>
          <w:color w:val="auto"/>
          <w:sz w:val="24"/>
          <w:lang w:val="en-US" w:eastAsia="zh-CN"/>
        </w:rPr>
        <w:t>3</w:t>
      </w:r>
      <w:r>
        <w:rPr>
          <w:rFonts w:hint="eastAsia" w:ascii="仿宋" w:hAnsi="仿宋" w:eastAsia="仿宋" w:cs="仿宋"/>
          <w:color w:val="auto"/>
          <w:sz w:val="24"/>
        </w:rPr>
        <w:t>个月本单位为其缴纳的社保证明（以带社保中心印章的社保或加盖申请人公章的社保网页截图为准，并提供查询方式）。申请文件中附拟派技术负责人</w:t>
      </w:r>
      <w:r>
        <w:rPr>
          <w:rFonts w:hint="eastAsia" w:ascii="仿宋" w:hAnsi="仿宋" w:eastAsia="仿宋" w:cs="仿宋"/>
          <w:color w:val="auto"/>
          <w:sz w:val="24"/>
          <w:lang w:eastAsia="zh-CN"/>
        </w:rPr>
        <w:t>职称</w:t>
      </w:r>
      <w:r>
        <w:rPr>
          <w:rFonts w:hint="eastAsia" w:ascii="仿宋" w:hAnsi="仿宋" w:eastAsia="仿宋" w:cs="仿宋"/>
          <w:color w:val="auto"/>
          <w:sz w:val="24"/>
        </w:rPr>
        <w:t>证书扫描件、劳动合同扫描件、社保证明扫描件。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（3）投标单位代表本单位参加投标的委托代理人必须为本单位正式人员，提供法定代表人授权委托书、委托代理人身份证,并提供劳动合同和自202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年1月1日以来任意连续</w:t>
      </w:r>
      <w:r>
        <w:rPr>
          <w:rFonts w:hint="eastAsia" w:ascii="仿宋" w:hAnsi="仿宋" w:eastAsia="仿宋" w:cs="仿宋"/>
          <w:color w:val="auto"/>
          <w:sz w:val="24"/>
          <w:lang w:val="en-US" w:eastAsia="zh-CN"/>
        </w:rPr>
        <w:t>3</w:t>
      </w:r>
      <w:r>
        <w:rPr>
          <w:rFonts w:hint="eastAsia" w:ascii="仿宋" w:hAnsi="仿宋" w:eastAsia="仿宋" w:cs="仿宋"/>
          <w:color w:val="auto"/>
          <w:sz w:val="24"/>
        </w:rPr>
        <w:t>个月本单位（含分公司）为其缴纳的社保证明（以带社保中心印章的社保或加盖申请人公章的社保网页截图为准，并提供查询方式）。申请文件中附委托代理人身份证、劳动合同、社保证明扫描件。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lang w:val="en-US" w:eastAsia="zh-CN"/>
        </w:rPr>
        <w:t>4</w:t>
      </w:r>
      <w:r>
        <w:rPr>
          <w:rFonts w:hint="eastAsia" w:ascii="仿宋" w:hAnsi="仿宋" w:eastAsia="仿宋" w:cs="仿宋"/>
          <w:color w:val="auto"/>
          <w:sz w:val="24"/>
        </w:rPr>
        <w:t>、财务要求：投标人须提供20</w:t>
      </w:r>
      <w:r>
        <w:rPr>
          <w:rFonts w:hint="eastAsia" w:ascii="仿宋" w:hAnsi="仿宋" w:eastAsia="仿宋" w:cs="仿宋"/>
          <w:color w:val="auto"/>
          <w:sz w:val="24"/>
          <w:lang w:val="en-US" w:eastAsia="zh-CN"/>
        </w:rPr>
        <w:t>21</w:t>
      </w:r>
      <w:r>
        <w:rPr>
          <w:rFonts w:hint="eastAsia" w:ascii="仿宋" w:hAnsi="仿宋" w:eastAsia="仿宋" w:cs="仿宋"/>
          <w:color w:val="auto"/>
          <w:sz w:val="24"/>
        </w:rPr>
        <w:t>年度的经第三方审计机构出具的审计报告：包括经第三方审计机构出具的审计报告和经审计的财务报表</w:t>
      </w:r>
      <w:r>
        <w:rPr>
          <w:rFonts w:hint="eastAsia" w:ascii="仿宋" w:hAnsi="仿宋" w:eastAsia="仿宋" w:cs="仿宋"/>
          <w:color w:val="auto"/>
          <w:sz w:val="24"/>
          <w:lang w:eastAsia="zh-CN"/>
        </w:rPr>
        <w:t>，</w:t>
      </w:r>
      <w:r>
        <w:rPr>
          <w:rFonts w:hint="eastAsia" w:ascii="仿宋" w:hAnsi="仿宋" w:eastAsia="仿宋" w:cs="仿宋"/>
          <w:color w:val="auto"/>
          <w:sz w:val="24"/>
        </w:rPr>
        <w:t>申请文件中附财务报告扫描件。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lang w:val="en-US" w:eastAsia="zh-CN"/>
        </w:rPr>
        <w:t>5</w:t>
      </w:r>
      <w:r>
        <w:rPr>
          <w:rFonts w:hint="eastAsia" w:ascii="仿宋" w:hAnsi="仿宋" w:eastAsia="仿宋" w:cs="仿宋"/>
          <w:color w:val="auto"/>
          <w:sz w:val="24"/>
        </w:rPr>
        <w:t>、信誉要求：</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（1）投标人、投标人法定代表人及拟派项目</w:t>
      </w:r>
      <w:r>
        <w:rPr>
          <w:rFonts w:hint="eastAsia" w:ascii="仿宋" w:hAnsi="仿宋" w:eastAsia="仿宋" w:cs="仿宋"/>
          <w:color w:val="auto"/>
          <w:sz w:val="24"/>
          <w:lang w:val="en-US" w:eastAsia="zh-CN"/>
        </w:rPr>
        <w:t>经理</w:t>
      </w:r>
      <w:r>
        <w:rPr>
          <w:rFonts w:hint="eastAsia" w:ascii="仿宋" w:hAnsi="仿宋" w:eastAsia="仿宋" w:cs="仿宋"/>
          <w:color w:val="auto"/>
          <w:sz w:val="24"/>
        </w:rPr>
        <w:t>未被列入“信用中国（河南）”http://www.xyhn.gov.cn</w:t>
      </w:r>
      <w:r>
        <w:rPr>
          <w:rFonts w:hint="eastAsia" w:ascii="仿宋" w:hAnsi="仿宋" w:eastAsia="仿宋" w:cs="仿宋"/>
          <w:color w:val="auto"/>
          <w:sz w:val="24"/>
          <w:lang w:val="en-US" w:eastAsia="zh-CN"/>
        </w:rPr>
        <w:t>失信惩戒对象</w:t>
      </w:r>
      <w:r>
        <w:rPr>
          <w:rFonts w:hint="eastAsia" w:ascii="仿宋" w:hAnsi="仿宋" w:eastAsia="仿宋" w:cs="仿宋"/>
          <w:color w:val="auto"/>
          <w:sz w:val="24"/>
        </w:rPr>
        <w:t>。若被列入，将拒绝其参与本项目投标。（</w:t>
      </w:r>
      <w:r>
        <w:rPr>
          <w:rFonts w:hint="eastAsia" w:ascii="仿宋" w:hAnsi="仿宋" w:eastAsia="仿宋" w:cs="仿宋"/>
          <w:color w:val="auto"/>
          <w:sz w:val="24"/>
          <w:lang w:val="en-US" w:eastAsia="zh-CN"/>
        </w:rPr>
        <w:t>需在申请文件中提供</w:t>
      </w:r>
      <w:r>
        <w:rPr>
          <w:rFonts w:hint="eastAsia" w:ascii="仿宋" w:hAnsi="仿宋" w:eastAsia="仿宋" w:cs="仿宋"/>
          <w:color w:val="auto"/>
          <w:sz w:val="24"/>
        </w:rPr>
        <w:t>未列入黑名单的承诺函</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格式自拟</w:t>
      </w:r>
      <w:r>
        <w:rPr>
          <w:rFonts w:hint="eastAsia" w:ascii="仿宋" w:hAnsi="仿宋" w:eastAsia="仿宋" w:cs="仿宋"/>
          <w:color w:val="auto"/>
          <w:sz w:val="24"/>
        </w:rPr>
        <w:t>并加盖公章）。</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申请人通过“信用中国”网</w:t>
      </w:r>
      <w:bookmarkStart w:id="178" w:name="_GoBack"/>
      <w:bookmarkEnd w:id="178"/>
      <w:r>
        <w:rPr>
          <w:rFonts w:hint="eastAsia" w:ascii="仿宋" w:hAnsi="仿宋" w:eastAsia="仿宋" w:cs="仿宋"/>
          <w:color w:val="auto"/>
          <w:sz w:val="24"/>
        </w:rPr>
        <w:t>站（www.creditchina.gov.cn）、中国政府采购网（www.ccgp.gov.cn）、国家税务总局网站（www.chinatax.gov.cn/）——重大案件查询栏目查询信用记录，未被列入“信用中国”网站“失信惩戒名单”“中国政府采购”网站的“政府采购严重违法失信行为记录名单”、国家税务总局网站“重大税收违法案件当事人名单”。若被列入，将拒绝其参与本项目投标（申请人须在投标文件中上述网站相关栏目的查询结果页面截图或查询结果打印件的扫描件，并加盖单位公章，查询结果须清晰可辩并显示该网页网址，否则视同未提供。同时，须由审查委员会对上述相关信用进行现场查询核验，方可通过。）；</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（2）投标单位单位负责人（或法定代表人）为同一人或者存在控股、管理关系的不同单位，不得同时参加本项目投标。若出现上述情况，以先报名登记者为有效投标单位。</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lang w:val="en-US" w:eastAsia="zh-CN"/>
        </w:rPr>
        <w:t>6</w:t>
      </w:r>
      <w:r>
        <w:rPr>
          <w:rFonts w:hint="eastAsia" w:ascii="仿宋" w:hAnsi="仿宋" w:eastAsia="仿宋" w:cs="仿宋"/>
          <w:color w:val="auto"/>
          <w:sz w:val="24"/>
        </w:rPr>
        <w:t>、外省企业进豫承揽业务的需通过“河南省建筑市场监管公共服务平台”登记报送企业基本信息，申请文件中附网页查询截图扫描件。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lang w:val="en-US" w:eastAsia="zh-CN"/>
        </w:rPr>
        <w:t>7</w:t>
      </w:r>
      <w:r>
        <w:rPr>
          <w:rFonts w:hint="eastAsia" w:ascii="仿宋" w:hAnsi="仿宋" w:eastAsia="仿宋" w:cs="仿宋"/>
          <w:color w:val="auto"/>
          <w:sz w:val="24"/>
        </w:rPr>
        <w:t>、本次招标不接受联合体参加资格预审。</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四、资格预审方法</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本次资格预审采用有限数量制。当通过详细审查的申请人数多于</w:t>
      </w:r>
      <w:r>
        <w:rPr>
          <w:rFonts w:hint="eastAsia" w:ascii="仿宋" w:hAnsi="仿宋" w:eastAsia="仿宋" w:cs="仿宋"/>
          <w:color w:val="auto"/>
          <w:sz w:val="24"/>
          <w:lang w:val="en-US" w:eastAsia="zh-CN"/>
        </w:rPr>
        <w:t>7</w:t>
      </w:r>
      <w:r>
        <w:rPr>
          <w:rFonts w:hint="eastAsia" w:ascii="仿宋" w:hAnsi="仿宋" w:eastAsia="仿宋" w:cs="仿宋"/>
          <w:color w:val="auto"/>
          <w:sz w:val="24"/>
        </w:rPr>
        <w:t>家时，通过资格预审的申请人限定为</w:t>
      </w:r>
      <w:r>
        <w:rPr>
          <w:rFonts w:hint="eastAsia" w:ascii="仿宋" w:hAnsi="仿宋" w:eastAsia="仿宋" w:cs="仿宋"/>
          <w:color w:val="auto"/>
          <w:sz w:val="24"/>
          <w:lang w:val="en-US" w:eastAsia="zh-CN"/>
        </w:rPr>
        <w:t>7</w:t>
      </w:r>
      <w:r>
        <w:rPr>
          <w:rFonts w:hint="eastAsia" w:ascii="仿宋" w:hAnsi="仿宋" w:eastAsia="仿宋" w:cs="仿宋"/>
          <w:color w:val="auto"/>
          <w:sz w:val="24"/>
        </w:rPr>
        <w:t>家；当通过详细审查的申请人不少于3家且没有超过</w:t>
      </w:r>
      <w:r>
        <w:rPr>
          <w:rFonts w:hint="eastAsia" w:ascii="仿宋" w:hAnsi="仿宋" w:eastAsia="仿宋" w:cs="仿宋"/>
          <w:color w:val="auto"/>
          <w:sz w:val="24"/>
          <w:lang w:val="en-US" w:eastAsia="zh-CN"/>
        </w:rPr>
        <w:t>7</w:t>
      </w:r>
      <w:r>
        <w:rPr>
          <w:rFonts w:hint="eastAsia" w:ascii="仿宋" w:hAnsi="仿宋" w:eastAsia="仿宋" w:cs="仿宋"/>
          <w:color w:val="auto"/>
          <w:sz w:val="24"/>
        </w:rPr>
        <w:t>家时，通过详细审查的申请人全部通过资格预审，不再进行打分。</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五、资格预审文件的获取</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本次资格预审文件在网上获取，请登录洛阳市公共资源交易中心网站（www.lyggzyjy.cn），点击“交易登录”进入“洛阳市电子招投标交易平台”进行用户注册，并办理CA数字证书。详见洛阳市公共资源交易中心网站—办事指南—办事流程—主体注册CA办理。</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2、办理数字证书后，请于</w:t>
      </w:r>
      <w:r>
        <w:rPr>
          <w:rFonts w:hint="eastAsia" w:ascii="仿宋" w:hAnsi="仿宋" w:eastAsia="仿宋" w:cs="仿宋"/>
          <w:color w:val="auto"/>
          <w:sz w:val="24"/>
          <w:lang w:val="en-US" w:eastAsia="zh-CN"/>
        </w:rPr>
        <w:t>2022</w:t>
      </w:r>
      <w:r>
        <w:rPr>
          <w:rFonts w:hint="eastAsia" w:ascii="仿宋" w:hAnsi="仿宋" w:eastAsia="仿宋" w:cs="仿宋"/>
          <w:color w:val="auto"/>
          <w:sz w:val="24"/>
        </w:rPr>
        <w:t>年</w:t>
      </w:r>
      <w:r>
        <w:rPr>
          <w:rFonts w:hint="eastAsia" w:ascii="仿宋" w:hAnsi="仿宋" w:eastAsia="仿宋" w:cs="仿宋"/>
          <w:color w:val="auto"/>
          <w:sz w:val="24"/>
          <w:lang w:val="en-US" w:eastAsia="zh-CN"/>
        </w:rPr>
        <w:t>5</w:t>
      </w:r>
      <w:r>
        <w:rPr>
          <w:rFonts w:hint="eastAsia" w:ascii="仿宋" w:hAnsi="仿宋" w:eastAsia="仿宋" w:cs="仿宋"/>
          <w:color w:val="auto"/>
          <w:sz w:val="24"/>
        </w:rPr>
        <w:t>月</w:t>
      </w:r>
      <w:r>
        <w:rPr>
          <w:rFonts w:hint="eastAsia" w:ascii="仿宋" w:hAnsi="仿宋" w:eastAsia="仿宋" w:cs="仿宋"/>
          <w:color w:val="auto"/>
          <w:sz w:val="24"/>
          <w:lang w:val="en-US" w:eastAsia="zh-CN"/>
        </w:rPr>
        <w:t>10</w:t>
      </w:r>
      <w:r>
        <w:rPr>
          <w:rFonts w:hint="eastAsia" w:ascii="仿宋" w:hAnsi="仿宋" w:eastAsia="仿宋" w:cs="仿宋"/>
          <w:color w:val="auto"/>
          <w:sz w:val="24"/>
        </w:rPr>
        <w:t>日至</w:t>
      </w:r>
      <w:r>
        <w:rPr>
          <w:rFonts w:hint="eastAsia" w:ascii="仿宋" w:hAnsi="仿宋" w:eastAsia="仿宋" w:cs="仿宋"/>
          <w:color w:val="auto"/>
          <w:sz w:val="24"/>
          <w:lang w:val="en-US" w:eastAsia="zh-CN"/>
        </w:rPr>
        <w:t>2022</w:t>
      </w:r>
      <w:r>
        <w:rPr>
          <w:rFonts w:hint="eastAsia" w:ascii="仿宋" w:hAnsi="仿宋" w:eastAsia="仿宋" w:cs="仿宋"/>
          <w:color w:val="auto"/>
          <w:sz w:val="24"/>
        </w:rPr>
        <w:t>年</w:t>
      </w:r>
      <w:r>
        <w:rPr>
          <w:rFonts w:hint="eastAsia" w:ascii="仿宋" w:hAnsi="仿宋" w:eastAsia="仿宋" w:cs="仿宋"/>
          <w:color w:val="auto"/>
          <w:sz w:val="24"/>
          <w:lang w:val="en-US" w:eastAsia="zh-CN"/>
        </w:rPr>
        <w:t>5</w:t>
      </w:r>
      <w:r>
        <w:rPr>
          <w:rFonts w:hint="eastAsia" w:ascii="仿宋" w:hAnsi="仿宋" w:eastAsia="仿宋" w:cs="仿宋"/>
          <w:color w:val="auto"/>
          <w:sz w:val="24"/>
        </w:rPr>
        <w:t>月</w:t>
      </w:r>
      <w:r>
        <w:rPr>
          <w:rFonts w:hint="eastAsia" w:ascii="仿宋" w:hAnsi="仿宋" w:eastAsia="仿宋" w:cs="仿宋"/>
          <w:color w:val="auto"/>
          <w:sz w:val="24"/>
          <w:lang w:val="en-US" w:eastAsia="zh-CN"/>
        </w:rPr>
        <w:t>16</w:t>
      </w:r>
      <w:r>
        <w:rPr>
          <w:rFonts w:hint="eastAsia" w:ascii="仿宋" w:hAnsi="仿宋" w:eastAsia="仿宋" w:cs="仿宋"/>
          <w:color w:val="auto"/>
          <w:sz w:val="24"/>
        </w:rPr>
        <w:t>日24:00，登录洛阳市公共资源交易网站，点击“交易登录”，选择“证书Key”方式登录，进行免费下载资格预审文件。联合体申请资格预审的，由联合体牵头人完成资格预审文件下载。</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3、获取资格预审文件后，申请人请到洛阳市公共资源交易中心网站—办事指南—下载中心栏目下载并安装最新版本投标文件制作工具，查看资格预审文件和制作电子资格预审申请文件。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六、资格预审申请文件递交</w:t>
      </w:r>
    </w:p>
    <w:p>
      <w:pPr>
        <w:snapToGrid w:val="0"/>
        <w:spacing w:line="440" w:lineRule="exact"/>
        <w:ind w:firstLine="480" w:firstLineChars="200"/>
        <w:rPr>
          <w:rFonts w:ascii="仿宋" w:hAnsi="仿宋" w:eastAsia="仿宋" w:cs="仿宋"/>
          <w:color w:val="0000FF"/>
          <w:sz w:val="24"/>
        </w:rPr>
      </w:pPr>
      <w:r>
        <w:rPr>
          <w:rFonts w:hint="eastAsia" w:ascii="仿宋" w:hAnsi="仿宋" w:eastAsia="仿宋" w:cs="仿宋"/>
          <w:color w:val="auto"/>
          <w:sz w:val="24"/>
        </w:rPr>
        <w:t>1、资格预审申请文件递交的截止时间（资格预审申请截止时间）为</w:t>
      </w:r>
      <w:r>
        <w:rPr>
          <w:rFonts w:hint="eastAsia" w:ascii="仿宋" w:hAnsi="仿宋" w:eastAsia="仿宋" w:cs="仿宋"/>
          <w:color w:val="auto"/>
          <w:sz w:val="24"/>
          <w:lang w:val="en-US" w:eastAsia="zh-CN"/>
        </w:rPr>
        <w:t>2022</w:t>
      </w:r>
      <w:r>
        <w:rPr>
          <w:rFonts w:hint="eastAsia" w:ascii="仿宋" w:hAnsi="仿宋" w:eastAsia="仿宋" w:cs="仿宋"/>
          <w:color w:val="auto"/>
          <w:sz w:val="24"/>
        </w:rPr>
        <w:t>年</w:t>
      </w:r>
      <w:r>
        <w:rPr>
          <w:rFonts w:hint="eastAsia" w:ascii="仿宋" w:hAnsi="仿宋" w:eastAsia="仿宋" w:cs="仿宋"/>
          <w:color w:val="auto"/>
          <w:sz w:val="24"/>
          <w:lang w:val="en-US" w:eastAsia="zh-CN"/>
        </w:rPr>
        <w:t>5</w:t>
      </w:r>
      <w:r>
        <w:rPr>
          <w:rFonts w:hint="eastAsia" w:ascii="仿宋" w:hAnsi="仿宋" w:eastAsia="仿宋" w:cs="仿宋"/>
          <w:color w:val="auto"/>
          <w:sz w:val="24"/>
        </w:rPr>
        <w:t>月</w:t>
      </w:r>
      <w:r>
        <w:rPr>
          <w:rFonts w:hint="eastAsia" w:ascii="仿宋" w:hAnsi="仿宋" w:eastAsia="仿宋" w:cs="仿宋"/>
          <w:color w:val="auto"/>
          <w:sz w:val="24"/>
          <w:lang w:val="en-US" w:eastAsia="zh-CN"/>
        </w:rPr>
        <w:t xml:space="preserve"> 24</w:t>
      </w:r>
      <w:r>
        <w:rPr>
          <w:rFonts w:hint="eastAsia" w:ascii="仿宋" w:hAnsi="仿宋" w:eastAsia="仿宋" w:cs="仿宋"/>
          <w:color w:val="auto"/>
          <w:sz w:val="24"/>
        </w:rPr>
        <w:t>日</w:t>
      </w:r>
      <w:r>
        <w:rPr>
          <w:rFonts w:hint="eastAsia" w:ascii="仿宋" w:hAnsi="仿宋" w:eastAsia="仿宋" w:cs="仿宋"/>
          <w:color w:val="auto"/>
          <w:sz w:val="24"/>
          <w:lang w:val="en-US" w:eastAsia="zh-CN"/>
        </w:rPr>
        <w:t>09</w:t>
      </w:r>
      <w:r>
        <w:rPr>
          <w:rFonts w:hint="eastAsia" w:ascii="仿宋" w:hAnsi="仿宋" w:eastAsia="仿宋" w:cs="仿宋"/>
          <w:color w:val="auto"/>
          <w:sz w:val="24"/>
        </w:rPr>
        <w:t>时</w:t>
      </w:r>
      <w:r>
        <w:rPr>
          <w:rFonts w:hint="eastAsia" w:ascii="仿宋" w:hAnsi="仿宋" w:eastAsia="仿宋" w:cs="仿宋"/>
          <w:color w:val="auto"/>
          <w:sz w:val="24"/>
          <w:lang w:val="en-US" w:eastAsia="zh-CN"/>
        </w:rPr>
        <w:t>30</w:t>
      </w:r>
      <w:r>
        <w:rPr>
          <w:rFonts w:hint="eastAsia" w:ascii="仿宋" w:hAnsi="仿宋" w:eastAsia="仿宋" w:cs="仿宋"/>
          <w:color w:val="auto"/>
          <w:sz w:val="24"/>
        </w:rPr>
        <w:t>分 (北京时间)。</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2、资格预审申请文件接收地点为洛阳市</w:t>
      </w:r>
      <w:r>
        <w:rPr>
          <w:rFonts w:hint="eastAsia" w:ascii="仿宋" w:hAnsi="仿宋" w:eastAsia="仿宋" w:cs="仿宋"/>
          <w:color w:val="auto"/>
          <w:sz w:val="24"/>
          <w:lang w:val="en-US" w:eastAsia="zh-CN"/>
        </w:rPr>
        <w:t>涧西区</w:t>
      </w:r>
      <w:r>
        <w:rPr>
          <w:rFonts w:hint="eastAsia" w:ascii="仿宋" w:hAnsi="仿宋" w:eastAsia="仿宋" w:cs="仿宋"/>
          <w:color w:val="auto"/>
          <w:sz w:val="24"/>
        </w:rPr>
        <w:t>公共资源交易中心开标室。</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3、申请人应在资格预审申请截止时间前，通过互联网使用CA 数字证书登录洛阳市公共资源交易中心网站，将加密的资格预审申请文件上传至“洛阳市电子招投标交易平台”指定位置，上传成功后将得到上传成功的确认。申请人应充分考虑上传文件时的不可预见因素，未在申请截止时间前完成上传的，视为逾期送达，洛阳市电子招投标交易平台将拒绝接收。</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4、本项目采用远程不见面交易的模式，申请当日，申请人无需到申请现场参加申请会议，申请人应当在资格预审申请截止时间前，登录到洛阳市电子招投标交易平台（http://www.lyggzyjy.cn/TPBidder），点击右上方【不见面开标大厅】按钮进入，在线准时参加申请活动并进行申请文件解密等。因申请人原因未能解密、解密失败或解密超时的将被拒绝。请参照洛阳市公共资源交易中心首页-办事指南-下载中心-操作手册-《洛阳市公共资源交易中心不见面开标大厅操作手册（投标人）》。</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 xml:space="preserve">5、除电子资格预审申请文件外，申请时不再接受任何纸质文件、资料等。逾期送达的或者未送达指定地点的资格预审申请文件，招标人不予受理。 </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七、发布公告的媒体</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1、本次资格预审公告同时在《中国招标投标公共服务平台》、《河南省电子招标投标公共服务平台》</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洛阳市公共资源交易中心网</w:t>
      </w:r>
      <w:r>
        <w:rPr>
          <w:rFonts w:hint="eastAsia" w:ascii="仿宋" w:hAnsi="仿宋" w:eastAsia="仿宋" w:cs="仿宋"/>
          <w:color w:val="auto"/>
          <w:sz w:val="24"/>
          <w:lang w:eastAsia="zh-CN"/>
        </w:rPr>
        <w:t>》</w:t>
      </w:r>
      <w:r>
        <w:rPr>
          <w:rFonts w:hint="eastAsia" w:ascii="仿宋" w:hAnsi="仿宋" w:eastAsia="仿宋" w:cs="仿宋"/>
          <w:color w:val="auto"/>
          <w:sz w:val="24"/>
        </w:rPr>
        <w:t>上发布。</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2、申请人在参与本项目招标采购活动期间应及时关注本网站获取相关澄清或变更等信息。</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八、联系方式</w:t>
      </w:r>
    </w:p>
    <w:p>
      <w:pPr>
        <w:snapToGrid w:val="0"/>
        <w:spacing w:line="440" w:lineRule="exact"/>
        <w:ind w:firstLine="480" w:firstLineChars="200"/>
        <w:rPr>
          <w:rFonts w:hint="eastAsia" w:ascii="仿宋" w:hAnsi="仿宋" w:eastAsia="仿宋" w:cs="仿宋"/>
          <w:color w:val="auto"/>
          <w:sz w:val="24"/>
          <w:lang w:eastAsia="zh-CN"/>
        </w:rPr>
      </w:pPr>
      <w:r>
        <w:rPr>
          <w:rFonts w:hint="eastAsia" w:ascii="仿宋" w:hAnsi="仿宋" w:eastAsia="仿宋" w:cs="仿宋"/>
          <w:color w:val="auto"/>
          <w:sz w:val="24"/>
        </w:rPr>
        <w:t>招 标 人：</w:t>
      </w:r>
      <w:r>
        <w:rPr>
          <w:rFonts w:hint="eastAsia" w:ascii="仿宋" w:hAnsi="仿宋" w:eastAsia="仿宋" w:cs="仿宋"/>
          <w:color w:val="auto"/>
          <w:sz w:val="24"/>
          <w:lang w:eastAsia="zh-CN"/>
        </w:rPr>
        <w:t>河南万隆置业有限公司</w:t>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地    址：</w:t>
      </w:r>
      <w:r>
        <w:rPr>
          <w:rFonts w:hint="eastAsia" w:ascii="仿宋" w:hAnsi="仿宋" w:eastAsia="仿宋" w:cs="仿宋"/>
          <w:color w:val="auto"/>
          <w:sz w:val="24"/>
          <w:lang w:val="en-US" w:eastAsia="zh-CN"/>
        </w:rPr>
        <w:t>洛阳市万国银座</w:t>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联 系 人：</w:t>
      </w:r>
      <w:r>
        <w:rPr>
          <w:rFonts w:hint="eastAsia" w:ascii="仿宋" w:hAnsi="仿宋" w:eastAsia="仿宋" w:cs="仿宋"/>
          <w:color w:val="auto"/>
          <w:sz w:val="24"/>
          <w:lang w:val="en-US" w:eastAsia="zh-CN"/>
        </w:rPr>
        <w:t>陈先生</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电    话：0379-63235990</w:t>
      </w:r>
    </w:p>
    <w:p>
      <w:pPr>
        <w:snapToGrid w:val="0"/>
        <w:spacing w:line="440" w:lineRule="exact"/>
        <w:ind w:firstLine="480" w:firstLineChars="200"/>
        <w:rPr>
          <w:rFonts w:hint="eastAsia" w:ascii="仿宋" w:hAnsi="仿宋" w:eastAsia="仿宋" w:cs="仿宋"/>
          <w:color w:val="auto"/>
          <w:sz w:val="24"/>
          <w:lang w:eastAsia="zh-CN"/>
        </w:rPr>
      </w:pPr>
      <w:r>
        <w:rPr>
          <w:rFonts w:hint="eastAsia" w:ascii="仿宋" w:hAnsi="仿宋" w:eastAsia="仿宋" w:cs="仿宋"/>
          <w:color w:val="auto"/>
          <w:sz w:val="24"/>
        </w:rPr>
        <w:t>代理机构：</w:t>
      </w:r>
      <w:r>
        <w:rPr>
          <w:rFonts w:hint="eastAsia" w:ascii="仿宋" w:hAnsi="仿宋" w:eastAsia="仿宋" w:cs="仿宋"/>
          <w:color w:val="auto"/>
          <w:sz w:val="24"/>
          <w:lang w:eastAsia="zh-CN"/>
        </w:rPr>
        <w:t>河南省大江工程咨询有限公司</w:t>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地    址：</w:t>
      </w:r>
      <w:r>
        <w:rPr>
          <w:rFonts w:hint="eastAsia" w:ascii="仿宋" w:hAnsi="仿宋" w:eastAsia="仿宋" w:cs="仿宋"/>
          <w:color w:val="auto"/>
          <w:sz w:val="24"/>
          <w:lang w:val="en-US" w:eastAsia="zh-CN"/>
        </w:rPr>
        <w:t>洛阳市涧西区安徽路</w:t>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联 系 人：</w:t>
      </w:r>
      <w:r>
        <w:rPr>
          <w:rFonts w:hint="eastAsia" w:ascii="仿宋" w:hAnsi="仿宋" w:eastAsia="仿宋" w:cs="仿宋"/>
          <w:color w:val="auto"/>
          <w:sz w:val="24"/>
          <w:lang w:val="en-US" w:eastAsia="zh-CN"/>
        </w:rPr>
        <w:t>石先生</w:t>
      </w:r>
      <w:r>
        <w:rPr>
          <w:rFonts w:hint="eastAsia" w:ascii="仿宋" w:hAnsi="仿宋" w:eastAsia="仿宋" w:cs="仿宋"/>
          <w:color w:val="auto"/>
          <w:sz w:val="24"/>
          <w:lang w:val="en-US" w:eastAsia="zh-CN"/>
        </w:rPr>
        <w:tab/>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电    话：</w:t>
      </w:r>
      <w:r>
        <w:rPr>
          <w:rFonts w:hint="eastAsia" w:ascii="仿宋" w:hAnsi="仿宋" w:eastAsia="仿宋" w:cs="仿宋"/>
          <w:color w:val="auto"/>
          <w:sz w:val="24"/>
          <w:lang w:val="en-US" w:eastAsia="zh-CN"/>
        </w:rPr>
        <w:t>0379-80883315</w:t>
      </w:r>
    </w:p>
    <w:p>
      <w:pPr>
        <w:snapToGrid w:val="0"/>
        <w:spacing w:line="440" w:lineRule="exact"/>
        <w:ind w:firstLine="480" w:firstLineChars="200"/>
        <w:rPr>
          <w:rFonts w:hint="eastAsia" w:ascii="仿宋" w:hAnsi="仿宋" w:eastAsia="仿宋" w:cs="仿宋"/>
          <w:color w:val="auto"/>
          <w:sz w:val="24"/>
        </w:rPr>
      </w:pP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监管部门：洛阳市</w:t>
      </w:r>
      <w:r>
        <w:rPr>
          <w:rFonts w:hint="eastAsia" w:ascii="仿宋" w:hAnsi="仿宋" w:eastAsia="仿宋" w:cs="仿宋"/>
          <w:color w:val="auto"/>
          <w:sz w:val="24"/>
          <w:lang w:val="en-US" w:eastAsia="zh-CN"/>
        </w:rPr>
        <w:t>涧西区</w:t>
      </w:r>
      <w:r>
        <w:rPr>
          <w:rFonts w:hint="eastAsia" w:ascii="仿宋" w:hAnsi="仿宋" w:eastAsia="仿宋" w:cs="仿宋"/>
          <w:color w:val="auto"/>
          <w:sz w:val="24"/>
        </w:rPr>
        <w:t>住房和城乡建设局</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监管部门联系人：招标科</w:t>
      </w:r>
    </w:p>
    <w:p>
      <w:pPr>
        <w:snapToGrid w:val="0"/>
        <w:spacing w:line="440" w:lineRule="exact"/>
        <w:ind w:firstLine="480" w:firstLineChars="200"/>
        <w:rPr>
          <w:rFonts w:hint="default" w:ascii="仿宋" w:hAnsi="仿宋" w:eastAsia="仿宋" w:cs="仿宋"/>
          <w:color w:val="auto"/>
          <w:sz w:val="24"/>
          <w:lang w:val="en-US" w:eastAsia="zh-CN"/>
        </w:rPr>
      </w:pPr>
      <w:r>
        <w:rPr>
          <w:rFonts w:hint="eastAsia" w:ascii="仿宋" w:hAnsi="仿宋" w:eastAsia="仿宋" w:cs="仿宋"/>
          <w:color w:val="auto"/>
          <w:sz w:val="24"/>
        </w:rPr>
        <w:t>监管部门联系方式：</w:t>
      </w:r>
      <w:r>
        <w:rPr>
          <w:rFonts w:hint="eastAsia" w:ascii="仿宋" w:hAnsi="仿宋" w:eastAsia="仿宋" w:cs="仿宋"/>
          <w:color w:val="auto"/>
          <w:sz w:val="24"/>
          <w:lang w:val="en-US" w:eastAsia="zh-CN"/>
        </w:rPr>
        <w:t>0379-64230026</w:t>
      </w:r>
    </w:p>
    <w:p>
      <w:pPr>
        <w:snapToGrid w:val="0"/>
        <w:spacing w:line="440" w:lineRule="exact"/>
        <w:ind w:firstLine="480" w:firstLineChars="200"/>
        <w:rPr>
          <w:rFonts w:ascii="仿宋" w:hAnsi="仿宋" w:eastAsia="仿宋" w:cs="仿宋"/>
          <w:color w:val="auto"/>
          <w:sz w:val="24"/>
        </w:rPr>
      </w:pPr>
      <w:r>
        <w:rPr>
          <w:rFonts w:hint="eastAsia" w:ascii="仿宋" w:hAnsi="仿宋" w:eastAsia="仿宋" w:cs="仿宋"/>
          <w:color w:val="auto"/>
          <w:sz w:val="24"/>
        </w:rPr>
        <w:t> </w:t>
      </w:r>
    </w:p>
    <w:p>
      <w:pPr>
        <w:snapToGrid w:val="0"/>
        <w:spacing w:line="440" w:lineRule="exact"/>
        <w:ind w:firstLine="480" w:firstLineChars="200"/>
        <w:jc w:val="right"/>
        <w:rPr>
          <w:rFonts w:ascii="微软雅黑" w:hAnsi="微软雅黑" w:eastAsia="微软雅黑" w:cs="宋体"/>
          <w:color w:val="auto"/>
          <w:kern w:val="0"/>
          <w:sz w:val="30"/>
          <w:szCs w:val="30"/>
        </w:rPr>
      </w:pPr>
      <w:r>
        <w:rPr>
          <w:rFonts w:hint="eastAsia" w:ascii="仿宋" w:hAnsi="仿宋" w:eastAsia="仿宋" w:cs="仿宋"/>
          <w:color w:val="auto"/>
          <w:sz w:val="24"/>
        </w:rPr>
        <w:t>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w:t>
      </w:r>
      <w:r>
        <w:rPr>
          <w:rFonts w:hint="eastAsia" w:ascii="仿宋" w:hAnsi="仿宋" w:eastAsia="仿宋" w:cs="仿宋"/>
          <w:color w:val="auto"/>
          <w:sz w:val="24"/>
          <w:lang w:val="en-US" w:eastAsia="zh-CN"/>
        </w:rPr>
        <w:t>5</w:t>
      </w:r>
      <w:r>
        <w:rPr>
          <w:rFonts w:hint="eastAsia" w:ascii="仿宋" w:hAnsi="仿宋" w:eastAsia="仿宋" w:cs="仿宋"/>
          <w:color w:val="auto"/>
          <w:sz w:val="24"/>
        </w:rPr>
        <w:t>月</w:t>
      </w:r>
      <w:r>
        <w:rPr>
          <w:rFonts w:hint="eastAsia" w:ascii="仿宋" w:hAnsi="仿宋" w:eastAsia="仿宋" w:cs="仿宋"/>
          <w:color w:val="auto"/>
          <w:sz w:val="24"/>
          <w:lang w:val="en-US" w:eastAsia="zh-CN"/>
        </w:rPr>
        <w:t>9</w:t>
      </w:r>
      <w:r>
        <w:rPr>
          <w:rFonts w:hint="eastAsia" w:ascii="仿宋" w:hAnsi="仿宋" w:eastAsia="仿宋" w:cs="仿宋"/>
          <w:color w:val="auto"/>
          <w:sz w:val="24"/>
        </w:rPr>
        <w:t>日</w:t>
      </w:r>
    </w:p>
    <w:p>
      <w:pPr>
        <w:pStyle w:val="3"/>
        <w:spacing w:before="120" w:after="120" w:line="400" w:lineRule="exact"/>
        <w:jc w:val="center"/>
        <w:rPr>
          <w:rFonts w:hint="eastAsia" w:ascii="仿宋" w:hAnsi="仿宋" w:eastAsia="仿宋" w:cs="仿宋"/>
          <w:color w:val="auto"/>
          <w:sz w:val="32"/>
        </w:rPr>
      </w:pPr>
      <w:bookmarkStart w:id="3" w:name="_Toc144974402"/>
      <w:bookmarkStart w:id="4" w:name="_Toc179715691"/>
      <w:bookmarkStart w:id="5" w:name="_Toc152047198"/>
    </w:p>
    <w:p>
      <w:pPr>
        <w:rPr>
          <w:rFonts w:hint="eastAsia"/>
          <w:color w:val="auto"/>
        </w:rPr>
      </w:pPr>
    </w:p>
    <w:p>
      <w:pPr>
        <w:pStyle w:val="3"/>
        <w:spacing w:before="120" w:after="120" w:line="400" w:lineRule="exact"/>
        <w:jc w:val="center"/>
        <w:rPr>
          <w:rFonts w:hint="eastAsia" w:ascii="仿宋" w:hAnsi="仿宋" w:eastAsia="仿宋" w:cs="仿宋"/>
          <w:color w:val="auto"/>
          <w:sz w:val="32"/>
        </w:rPr>
      </w:pPr>
    </w:p>
    <w:p>
      <w:pPr>
        <w:pStyle w:val="3"/>
        <w:spacing w:before="120" w:after="120" w:line="400" w:lineRule="exact"/>
        <w:jc w:val="center"/>
        <w:rPr>
          <w:rFonts w:hint="eastAsia" w:ascii="仿宋" w:hAnsi="仿宋" w:eastAsia="仿宋" w:cs="仿宋"/>
          <w:color w:val="auto"/>
          <w:sz w:val="32"/>
        </w:rPr>
      </w:pPr>
    </w:p>
    <w:p>
      <w:pPr>
        <w:pStyle w:val="3"/>
        <w:spacing w:before="120" w:after="120" w:line="400" w:lineRule="exact"/>
        <w:jc w:val="center"/>
        <w:rPr>
          <w:rFonts w:hint="eastAsia" w:ascii="仿宋" w:hAnsi="仿宋" w:eastAsia="仿宋" w:cs="仿宋"/>
          <w:color w:val="auto"/>
          <w:sz w:val="32"/>
        </w:rPr>
      </w:pPr>
    </w:p>
    <w:p>
      <w:pPr>
        <w:pStyle w:val="3"/>
        <w:spacing w:before="120" w:after="120" w:line="400" w:lineRule="exact"/>
        <w:jc w:val="center"/>
        <w:rPr>
          <w:rFonts w:ascii="仿宋" w:hAnsi="仿宋" w:eastAsia="仿宋" w:cs="仿宋"/>
          <w:color w:val="auto"/>
        </w:rPr>
      </w:pPr>
      <w:r>
        <w:rPr>
          <w:rFonts w:hint="eastAsia" w:ascii="仿宋" w:hAnsi="仿宋" w:eastAsia="仿宋" w:cs="仿宋"/>
          <w:color w:val="auto"/>
          <w:sz w:val="32"/>
        </w:rPr>
        <w:t>第二章 申请人须知</w:t>
      </w:r>
      <w:bookmarkEnd w:id="3"/>
      <w:bookmarkEnd w:id="4"/>
      <w:bookmarkEnd w:id="5"/>
    </w:p>
    <w:p>
      <w:pPr>
        <w:pStyle w:val="61"/>
        <w:jc w:val="center"/>
        <w:rPr>
          <w:rFonts w:ascii="仿宋" w:hAnsi="仿宋" w:eastAsia="仿宋" w:cs="仿宋"/>
          <w:color w:val="auto"/>
        </w:rPr>
      </w:pPr>
      <w:bookmarkStart w:id="6" w:name="_Toc179715692"/>
      <w:bookmarkStart w:id="7" w:name="_Toc144974403"/>
      <w:bookmarkStart w:id="8" w:name="_Toc152047199"/>
      <w:r>
        <w:rPr>
          <w:rFonts w:hint="eastAsia" w:ascii="仿宋" w:hAnsi="仿宋" w:eastAsia="仿宋" w:cs="仿宋"/>
          <w:color w:val="auto"/>
        </w:rPr>
        <w:t>申请人须知前附表</w:t>
      </w:r>
      <w:bookmarkEnd w:id="6"/>
      <w:bookmarkEnd w:id="7"/>
      <w:bookmarkEnd w:id="8"/>
    </w:p>
    <w:tbl>
      <w:tblPr>
        <w:tblStyle w:val="32"/>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833"/>
        <w:gridCol w:w="5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b/>
                <w:color w:val="auto"/>
                <w:sz w:val="21"/>
                <w:szCs w:val="21"/>
              </w:rPr>
            </w:pPr>
            <w:r>
              <w:rPr>
                <w:rFonts w:hint="eastAsia" w:ascii="仿宋" w:hAnsi="仿宋" w:eastAsia="仿宋" w:cs="仿宋"/>
                <w:b/>
                <w:color w:val="auto"/>
                <w:sz w:val="21"/>
                <w:szCs w:val="21"/>
              </w:rPr>
              <w:t>条款号</w:t>
            </w:r>
          </w:p>
        </w:tc>
        <w:tc>
          <w:tcPr>
            <w:tcW w:w="2833" w:type="dxa"/>
            <w:vAlign w:val="center"/>
          </w:tcPr>
          <w:p>
            <w:pPr>
              <w:pStyle w:val="14"/>
              <w:topLinePunct/>
              <w:spacing w:line="400" w:lineRule="exact"/>
              <w:jc w:val="center"/>
              <w:rPr>
                <w:rFonts w:ascii="仿宋" w:hAnsi="仿宋" w:eastAsia="仿宋" w:cs="仿宋"/>
                <w:b/>
                <w:color w:val="auto"/>
                <w:sz w:val="21"/>
                <w:szCs w:val="21"/>
              </w:rPr>
            </w:pPr>
            <w:r>
              <w:rPr>
                <w:rFonts w:hint="eastAsia" w:ascii="仿宋" w:hAnsi="仿宋" w:eastAsia="仿宋" w:cs="仿宋"/>
                <w:b/>
                <w:color w:val="auto"/>
                <w:sz w:val="21"/>
                <w:szCs w:val="21"/>
              </w:rPr>
              <w:t>条 款 名 称</w:t>
            </w:r>
          </w:p>
        </w:tc>
        <w:tc>
          <w:tcPr>
            <w:tcW w:w="5367" w:type="dxa"/>
            <w:vAlign w:val="center"/>
          </w:tcPr>
          <w:p>
            <w:pPr>
              <w:pStyle w:val="14"/>
              <w:topLinePunct/>
              <w:spacing w:line="400" w:lineRule="exact"/>
              <w:jc w:val="center"/>
              <w:rPr>
                <w:rFonts w:ascii="仿宋" w:hAnsi="仿宋" w:eastAsia="仿宋" w:cs="仿宋"/>
                <w:b/>
                <w:color w:val="auto"/>
                <w:sz w:val="21"/>
                <w:szCs w:val="21"/>
              </w:rPr>
            </w:pPr>
            <w:r>
              <w:rPr>
                <w:rFonts w:hint="eastAsia" w:ascii="仿宋" w:hAnsi="仿宋" w:eastAsia="仿宋" w:cs="仿宋"/>
                <w:b/>
                <w:color w:val="auto"/>
                <w:sz w:val="21"/>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1.1.2</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招标人</w:t>
            </w:r>
          </w:p>
        </w:tc>
        <w:tc>
          <w:tcPr>
            <w:tcW w:w="5367" w:type="dxa"/>
            <w:vAlign w:val="center"/>
          </w:tcPr>
          <w:p>
            <w:pPr>
              <w:spacing w:line="440" w:lineRule="exact"/>
              <w:rPr>
                <w:rFonts w:hint="eastAsia" w:ascii="仿宋" w:hAnsi="仿宋" w:eastAsia="仿宋" w:cs="仿宋"/>
                <w:color w:val="auto"/>
                <w:szCs w:val="21"/>
                <w:lang w:eastAsia="zh-CN"/>
              </w:rPr>
            </w:pPr>
            <w:r>
              <w:rPr>
                <w:rFonts w:hint="eastAsia" w:ascii="仿宋" w:hAnsi="仿宋" w:eastAsia="仿宋" w:cs="仿宋"/>
                <w:color w:val="auto"/>
                <w:szCs w:val="21"/>
              </w:rPr>
              <w:t>招 标 人：</w:t>
            </w:r>
            <w:r>
              <w:rPr>
                <w:rFonts w:hint="eastAsia" w:ascii="仿宋" w:hAnsi="仿宋" w:eastAsia="仿宋" w:cs="仿宋"/>
                <w:color w:val="auto"/>
                <w:szCs w:val="21"/>
                <w:lang w:eastAsia="zh-CN"/>
              </w:rPr>
              <w:t>河南万隆置业有限公司</w:t>
            </w:r>
          </w:p>
          <w:p>
            <w:pPr>
              <w:spacing w:line="440" w:lineRule="exact"/>
              <w:rPr>
                <w:rFonts w:hint="default" w:ascii="仿宋" w:hAnsi="仿宋" w:eastAsia="仿宋" w:cs="仿宋"/>
                <w:color w:val="auto"/>
                <w:szCs w:val="21"/>
                <w:lang w:val="en-US" w:eastAsia="zh-CN"/>
              </w:rPr>
            </w:pPr>
            <w:r>
              <w:rPr>
                <w:rFonts w:hint="eastAsia" w:ascii="仿宋" w:hAnsi="仿宋" w:eastAsia="仿宋" w:cs="仿宋"/>
                <w:color w:val="auto"/>
                <w:szCs w:val="21"/>
              </w:rPr>
              <w:t>地    址：</w:t>
            </w:r>
            <w:r>
              <w:rPr>
                <w:rFonts w:hint="eastAsia" w:ascii="仿宋" w:hAnsi="仿宋" w:eastAsia="仿宋" w:cs="仿宋"/>
                <w:color w:val="auto"/>
                <w:szCs w:val="21"/>
                <w:lang w:val="en-US" w:eastAsia="zh-CN"/>
              </w:rPr>
              <w:t>洛阳市万国银座</w:t>
            </w:r>
          </w:p>
          <w:p>
            <w:pPr>
              <w:spacing w:line="440" w:lineRule="exact"/>
              <w:rPr>
                <w:rFonts w:hint="default" w:ascii="仿宋" w:hAnsi="仿宋" w:eastAsia="仿宋" w:cs="仿宋"/>
                <w:color w:val="auto"/>
                <w:szCs w:val="21"/>
                <w:lang w:val="en-US" w:eastAsia="zh-CN"/>
              </w:rPr>
            </w:pPr>
            <w:r>
              <w:rPr>
                <w:rFonts w:hint="eastAsia" w:ascii="仿宋" w:hAnsi="仿宋" w:eastAsia="仿宋" w:cs="仿宋"/>
                <w:color w:val="auto"/>
                <w:szCs w:val="21"/>
              </w:rPr>
              <w:t>联 系 人：</w:t>
            </w:r>
            <w:r>
              <w:rPr>
                <w:rFonts w:hint="eastAsia" w:ascii="仿宋" w:hAnsi="仿宋" w:eastAsia="仿宋" w:cs="仿宋"/>
                <w:color w:val="auto"/>
                <w:szCs w:val="21"/>
                <w:lang w:val="en-US" w:eastAsia="zh-CN"/>
              </w:rPr>
              <w:t>陈先生</w:t>
            </w:r>
          </w:p>
          <w:p>
            <w:pPr>
              <w:spacing w:line="440" w:lineRule="exact"/>
              <w:rPr>
                <w:rFonts w:ascii="仿宋" w:hAnsi="仿宋" w:eastAsia="仿宋" w:cs="仿宋"/>
                <w:color w:val="auto"/>
                <w:sz w:val="24"/>
              </w:rPr>
            </w:pPr>
            <w:r>
              <w:rPr>
                <w:rFonts w:hint="eastAsia" w:ascii="仿宋" w:hAnsi="仿宋" w:eastAsia="仿宋" w:cs="仿宋"/>
                <w:color w:val="auto"/>
                <w:szCs w:val="21"/>
              </w:rPr>
              <w:t>电    话：0379-63235990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1.1.3</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招标代理机构</w:t>
            </w:r>
          </w:p>
        </w:tc>
        <w:tc>
          <w:tcPr>
            <w:tcW w:w="5367" w:type="dxa"/>
            <w:vAlign w:val="center"/>
          </w:tcPr>
          <w:p>
            <w:pPr>
              <w:spacing w:line="440" w:lineRule="exact"/>
              <w:rPr>
                <w:rFonts w:hint="eastAsia" w:ascii="仿宋" w:hAnsi="仿宋" w:eastAsia="仿宋" w:cs="仿宋"/>
                <w:color w:val="auto"/>
                <w:szCs w:val="21"/>
                <w:lang w:eastAsia="zh-CN"/>
              </w:rPr>
            </w:pPr>
            <w:r>
              <w:rPr>
                <w:rFonts w:hint="eastAsia" w:ascii="仿宋" w:hAnsi="仿宋" w:eastAsia="仿宋" w:cs="仿宋"/>
                <w:color w:val="auto"/>
                <w:szCs w:val="21"/>
              </w:rPr>
              <w:t>代理机构：</w:t>
            </w:r>
            <w:r>
              <w:rPr>
                <w:rFonts w:hint="eastAsia" w:ascii="仿宋" w:hAnsi="仿宋" w:eastAsia="仿宋" w:cs="仿宋"/>
                <w:color w:val="auto"/>
                <w:szCs w:val="21"/>
                <w:lang w:eastAsia="zh-CN"/>
              </w:rPr>
              <w:t>河南省大江工程咨询有限公司</w:t>
            </w:r>
          </w:p>
          <w:p>
            <w:pPr>
              <w:spacing w:line="440" w:lineRule="exact"/>
              <w:rPr>
                <w:rFonts w:hint="eastAsia" w:ascii="仿宋" w:hAnsi="仿宋" w:eastAsia="仿宋" w:cs="仿宋"/>
                <w:color w:val="auto"/>
                <w:szCs w:val="21"/>
                <w:lang w:val="en-US" w:eastAsia="zh-CN"/>
              </w:rPr>
            </w:pPr>
            <w:r>
              <w:rPr>
                <w:rFonts w:hint="eastAsia" w:ascii="仿宋" w:hAnsi="仿宋" w:eastAsia="仿宋" w:cs="仿宋"/>
                <w:color w:val="auto"/>
                <w:szCs w:val="21"/>
              </w:rPr>
              <w:t>地    址：</w:t>
            </w:r>
            <w:r>
              <w:rPr>
                <w:rFonts w:hint="eastAsia" w:ascii="仿宋" w:hAnsi="仿宋" w:eastAsia="仿宋" w:cs="仿宋"/>
                <w:color w:val="auto"/>
                <w:szCs w:val="21"/>
                <w:lang w:val="en-US" w:eastAsia="zh-CN"/>
              </w:rPr>
              <w:t>洛阳市涧西区安徽路</w:t>
            </w:r>
          </w:p>
          <w:p>
            <w:pPr>
              <w:spacing w:line="440" w:lineRule="exact"/>
              <w:rPr>
                <w:rFonts w:hint="eastAsia" w:ascii="仿宋" w:hAnsi="仿宋" w:eastAsia="仿宋" w:cs="仿宋"/>
                <w:color w:val="auto"/>
                <w:szCs w:val="21"/>
                <w:lang w:val="en-US" w:eastAsia="zh-CN"/>
              </w:rPr>
            </w:pPr>
            <w:r>
              <w:rPr>
                <w:rFonts w:hint="eastAsia" w:ascii="仿宋" w:hAnsi="仿宋" w:eastAsia="仿宋" w:cs="仿宋"/>
                <w:color w:val="auto"/>
                <w:szCs w:val="21"/>
              </w:rPr>
              <w:t>联 系 人：</w:t>
            </w:r>
            <w:r>
              <w:rPr>
                <w:rFonts w:hint="eastAsia" w:ascii="仿宋" w:hAnsi="仿宋" w:eastAsia="仿宋" w:cs="仿宋"/>
                <w:color w:val="auto"/>
                <w:szCs w:val="21"/>
                <w:lang w:val="en-US" w:eastAsia="zh-CN"/>
              </w:rPr>
              <w:t>石先生</w:t>
            </w:r>
            <w:r>
              <w:rPr>
                <w:rFonts w:hint="eastAsia" w:ascii="仿宋" w:hAnsi="仿宋" w:eastAsia="仿宋" w:cs="仿宋"/>
                <w:color w:val="auto"/>
                <w:szCs w:val="21"/>
                <w:lang w:val="en-US" w:eastAsia="zh-CN"/>
              </w:rPr>
              <w:tab/>
            </w:r>
          </w:p>
          <w:p>
            <w:pPr>
              <w:spacing w:line="440" w:lineRule="exact"/>
              <w:rPr>
                <w:rFonts w:hint="eastAsia" w:ascii="仿宋" w:hAnsi="仿宋" w:eastAsia="仿宋" w:cs="仿宋"/>
                <w:color w:val="auto"/>
                <w:szCs w:val="21"/>
                <w:lang w:val="en-US" w:eastAsia="zh-CN"/>
              </w:rPr>
            </w:pPr>
            <w:r>
              <w:rPr>
                <w:rFonts w:hint="eastAsia" w:ascii="仿宋" w:hAnsi="仿宋" w:eastAsia="仿宋" w:cs="仿宋"/>
                <w:color w:val="auto"/>
                <w:szCs w:val="21"/>
              </w:rPr>
              <w:t>电    话：</w:t>
            </w:r>
            <w:r>
              <w:rPr>
                <w:rFonts w:hint="eastAsia" w:ascii="仿宋" w:hAnsi="仿宋" w:eastAsia="仿宋" w:cs="仿宋"/>
                <w:color w:val="auto"/>
                <w:szCs w:val="21"/>
                <w:lang w:val="en-US" w:eastAsia="zh-CN"/>
              </w:rPr>
              <w:t>0379-80883315</w:t>
            </w:r>
          </w:p>
          <w:p>
            <w:pPr>
              <w:spacing w:line="440" w:lineRule="exact"/>
              <w:rPr>
                <w:rFonts w:hint="default" w:ascii="仿宋" w:hAnsi="仿宋" w:eastAsia="仿宋" w:cs="仿宋"/>
                <w:color w:val="auto"/>
                <w:szCs w:val="21"/>
                <w:lang w:val="en-US" w:eastAsia="zh-CN"/>
              </w:rPr>
            </w:pPr>
            <w:r>
              <w:rPr>
                <w:rFonts w:hint="eastAsia" w:ascii="仿宋" w:hAnsi="仿宋" w:eastAsia="仿宋" w:cs="仿宋"/>
                <w:color w:val="auto"/>
                <w:szCs w:val="21"/>
              </w:rPr>
              <w:t>电子邮箱：</w:t>
            </w:r>
            <w:r>
              <w:rPr>
                <w:rFonts w:hint="eastAsia" w:ascii="仿宋" w:hAnsi="仿宋" w:eastAsia="仿宋" w:cs="仿宋"/>
                <w:color w:val="auto"/>
                <w:szCs w:val="21"/>
                <w:lang w:val="en-US" w:eastAsia="zh-CN"/>
              </w:rPr>
              <w:t>luoyangdajiang@126.com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1.1.4</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项目名称</w:t>
            </w:r>
          </w:p>
        </w:tc>
        <w:tc>
          <w:tcPr>
            <w:tcW w:w="5367" w:type="dxa"/>
            <w:vAlign w:val="center"/>
          </w:tcPr>
          <w:p>
            <w:pPr>
              <w:pStyle w:val="14"/>
              <w:topLinePunct/>
              <w:spacing w:line="400" w:lineRule="exact"/>
              <w:rPr>
                <w:rFonts w:ascii="仿宋" w:hAnsi="仿宋" w:eastAsia="仿宋" w:cs="仿宋"/>
                <w:color w:val="auto"/>
                <w:sz w:val="21"/>
                <w:szCs w:val="21"/>
              </w:rPr>
            </w:pPr>
            <w:r>
              <w:rPr>
                <w:rFonts w:hint="eastAsia" w:ascii="仿宋" w:hAnsi="仿宋" w:eastAsia="仿宋" w:cs="仿宋"/>
                <w:color w:val="auto"/>
                <w:sz w:val="21"/>
                <w:szCs w:val="21"/>
                <w:lang w:eastAsia="zh-CN"/>
              </w:rPr>
              <w:t>绿洲花园项目(南区)11#-15#楼、20#-23#楼及2#地下车库项目</w:t>
            </w:r>
            <w:r>
              <w:rPr>
                <w:rFonts w:hint="eastAsia" w:ascii="仿宋" w:hAnsi="仿宋" w:eastAsia="仿宋" w:cs="仿宋"/>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1.1.5</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建设地点</w:t>
            </w:r>
          </w:p>
        </w:tc>
        <w:tc>
          <w:tcPr>
            <w:tcW w:w="5367" w:type="dxa"/>
            <w:vAlign w:val="center"/>
          </w:tcPr>
          <w:p>
            <w:pPr>
              <w:pStyle w:val="27"/>
              <w:widowControl/>
              <w:spacing w:line="360" w:lineRule="auto"/>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洛阳市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1.2.1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资金来源</w:t>
            </w:r>
          </w:p>
        </w:tc>
        <w:tc>
          <w:tcPr>
            <w:tcW w:w="5367" w:type="dxa"/>
            <w:vAlign w:val="center"/>
          </w:tcPr>
          <w:p>
            <w:pPr>
              <w:pStyle w:val="14"/>
              <w:topLinePunct/>
              <w:spacing w:line="400" w:lineRule="exact"/>
              <w:rPr>
                <w:rFonts w:ascii="仿宋" w:hAnsi="仿宋" w:eastAsia="仿宋" w:cs="仿宋"/>
                <w:color w:val="auto"/>
                <w:sz w:val="21"/>
                <w:szCs w:val="21"/>
              </w:rPr>
            </w:pPr>
            <w:r>
              <w:rPr>
                <w:rFonts w:hint="eastAsia" w:ascii="仿宋" w:hAnsi="仿宋" w:eastAsia="仿宋" w:cs="仿宋"/>
                <w:color w:val="auto"/>
                <w:szCs w:val="21"/>
                <w:lang w:val="en-US" w:eastAsia="zh-CN"/>
              </w:rPr>
              <w:t>企业自筹</w:t>
            </w:r>
            <w:r>
              <w:rPr>
                <w:rFonts w:hint="eastAsia" w:ascii="仿宋" w:hAnsi="仿宋" w:eastAsia="仿宋" w:cs="仿宋"/>
                <w:color w:val="auto"/>
                <w:szCs w:val="21"/>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bCs/>
                <w:color w:val="auto"/>
                <w:sz w:val="21"/>
                <w:szCs w:val="21"/>
              </w:rPr>
            </w:pPr>
            <w:r>
              <w:rPr>
                <w:rFonts w:hint="eastAsia" w:ascii="仿宋" w:hAnsi="仿宋" w:eastAsia="仿宋" w:cs="仿宋"/>
                <w:bCs/>
                <w:color w:val="auto"/>
                <w:sz w:val="21"/>
                <w:szCs w:val="21"/>
              </w:rPr>
              <w:t>1.2.3</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资金落实情况</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1.3.1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招标范围</w:t>
            </w:r>
          </w:p>
        </w:tc>
        <w:tc>
          <w:tcPr>
            <w:tcW w:w="5367" w:type="dxa"/>
            <w:vAlign w:val="center"/>
          </w:tcPr>
          <w:p>
            <w:pPr>
              <w:pStyle w:val="27"/>
              <w:widowControl/>
              <w:spacing w:line="360" w:lineRule="auto"/>
              <w:jc w:val="both"/>
              <w:rPr>
                <w:rFonts w:ascii="仿宋" w:hAnsi="仿宋" w:eastAsia="仿宋" w:cs="仿宋"/>
                <w:color w:val="auto"/>
                <w:sz w:val="21"/>
                <w:szCs w:val="21"/>
              </w:rPr>
            </w:pPr>
            <w:r>
              <w:rPr>
                <w:rFonts w:hint="eastAsia" w:ascii="仿宋" w:hAnsi="仿宋" w:eastAsia="仿宋" w:cs="仿宋"/>
                <w:color w:val="auto"/>
                <w:sz w:val="21"/>
                <w:szCs w:val="21"/>
              </w:rPr>
              <w:t>本工程施工图纸及工程量清单内的全部内容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860" w:type="dxa"/>
            <w:vAlign w:val="center"/>
          </w:tcPr>
          <w:p>
            <w:pPr>
              <w:pStyle w:val="14"/>
              <w:topLinePunct/>
              <w:spacing w:line="400" w:lineRule="exact"/>
              <w:jc w:val="center"/>
              <w:rPr>
                <w:rFonts w:ascii="仿宋" w:hAnsi="仿宋" w:eastAsia="仿宋" w:cs="仿宋"/>
                <w:bCs/>
                <w:color w:val="auto"/>
                <w:sz w:val="21"/>
                <w:szCs w:val="21"/>
              </w:rPr>
            </w:pPr>
            <w:r>
              <w:rPr>
                <w:rFonts w:hint="eastAsia" w:ascii="仿宋" w:hAnsi="仿宋" w:eastAsia="仿宋" w:cs="仿宋"/>
                <w:bCs/>
                <w:color w:val="auto"/>
                <w:sz w:val="21"/>
                <w:szCs w:val="21"/>
              </w:rPr>
              <w:t>1.3.2</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计划工期</w:t>
            </w:r>
          </w:p>
        </w:tc>
        <w:tc>
          <w:tcPr>
            <w:tcW w:w="5367" w:type="dxa"/>
            <w:vAlign w:val="center"/>
          </w:tcPr>
          <w:p>
            <w:pPr>
              <w:pStyle w:val="49"/>
              <w:spacing w:line="360" w:lineRule="auto"/>
              <w:rPr>
                <w:rFonts w:ascii="仿宋" w:hAnsi="仿宋" w:eastAsia="仿宋" w:cs="仿宋"/>
                <w:color w:val="auto"/>
                <w:sz w:val="21"/>
                <w:szCs w:val="21"/>
              </w:rPr>
            </w:pPr>
            <w:r>
              <w:rPr>
                <w:rFonts w:hint="eastAsia" w:ascii="仿宋" w:hAnsi="仿宋" w:eastAsia="仿宋" w:cs="仿宋"/>
                <w:color w:val="auto"/>
                <w:sz w:val="21"/>
                <w:szCs w:val="21"/>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bCs/>
                <w:color w:val="auto"/>
                <w:sz w:val="21"/>
                <w:szCs w:val="21"/>
              </w:rPr>
            </w:pPr>
            <w:r>
              <w:rPr>
                <w:rFonts w:hint="eastAsia" w:ascii="仿宋" w:hAnsi="仿宋" w:eastAsia="仿宋" w:cs="仿宋"/>
                <w:bCs/>
                <w:color w:val="auto"/>
                <w:sz w:val="21"/>
                <w:szCs w:val="21"/>
              </w:rPr>
              <w:t>1.3.3</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质量要求</w:t>
            </w:r>
          </w:p>
        </w:tc>
        <w:tc>
          <w:tcPr>
            <w:tcW w:w="5367" w:type="dxa"/>
            <w:vAlign w:val="center"/>
          </w:tcPr>
          <w:p>
            <w:pPr>
              <w:snapToGrid w:val="0"/>
              <w:spacing w:line="360" w:lineRule="auto"/>
              <w:rPr>
                <w:rFonts w:ascii="仿宋" w:hAnsi="仿宋" w:eastAsia="仿宋" w:cs="仿宋"/>
                <w:color w:val="auto"/>
                <w:szCs w:val="21"/>
              </w:rPr>
            </w:pPr>
            <w:r>
              <w:rPr>
                <w:rFonts w:hint="eastAsia" w:ascii="仿宋" w:hAnsi="仿宋" w:eastAsia="仿宋" w:cs="仿宋"/>
                <w:color w:val="auto"/>
                <w:szCs w:val="21"/>
              </w:rPr>
              <w:t>符合国家质量验收备案标准。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bCs/>
                <w:color w:val="auto"/>
                <w:sz w:val="21"/>
                <w:szCs w:val="21"/>
              </w:rPr>
              <w:t>1.4.1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申请人资格要求</w:t>
            </w:r>
          </w:p>
        </w:tc>
        <w:tc>
          <w:tcPr>
            <w:tcW w:w="5367" w:type="dxa"/>
            <w:vAlign w:val="center"/>
          </w:tcPr>
          <w:p>
            <w:pPr>
              <w:pStyle w:val="14"/>
              <w:topLinePunct/>
              <w:spacing w:line="400" w:lineRule="exact"/>
              <w:rPr>
                <w:rFonts w:ascii="仿宋" w:hAnsi="仿宋" w:eastAsia="仿宋" w:cs="仿宋"/>
                <w:color w:val="auto"/>
                <w:szCs w:val="21"/>
              </w:rPr>
            </w:pPr>
            <w:r>
              <w:rPr>
                <w:rFonts w:hint="eastAsia" w:ascii="仿宋" w:hAnsi="仿宋" w:eastAsia="仿宋" w:cs="仿宋"/>
                <w:color w:val="auto"/>
                <w:sz w:val="21"/>
                <w:szCs w:val="21"/>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bCs/>
                <w:color w:val="auto"/>
                <w:sz w:val="21"/>
                <w:szCs w:val="21"/>
              </w:rPr>
            </w:pPr>
            <w:r>
              <w:rPr>
                <w:rFonts w:hint="eastAsia" w:ascii="仿宋" w:hAnsi="仿宋" w:eastAsia="仿宋" w:cs="仿宋"/>
                <w:bCs/>
                <w:color w:val="auto"/>
                <w:sz w:val="21"/>
                <w:szCs w:val="21"/>
              </w:rPr>
              <w:t>1.4.2</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是否接受联合体资格预审申请</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2.2</w:t>
            </w:r>
            <w:r>
              <w:rPr>
                <w:rFonts w:hint="eastAsia" w:ascii="仿宋" w:hAnsi="仿宋" w:eastAsia="仿宋" w:cs="仿宋"/>
                <w:bCs/>
                <w:color w:val="auto"/>
                <w:sz w:val="21"/>
                <w:szCs w:val="21"/>
              </w:rPr>
              <w:t>.1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申请人要求澄清</w:t>
            </w:r>
          </w:p>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资格预审文件的截止时间</w:t>
            </w:r>
          </w:p>
        </w:tc>
        <w:tc>
          <w:tcPr>
            <w:tcW w:w="5367" w:type="dxa"/>
            <w:vAlign w:val="center"/>
          </w:tcPr>
          <w:p>
            <w:pPr>
              <w:pStyle w:val="49"/>
              <w:spacing w:line="380" w:lineRule="exact"/>
              <w:jc w:val="both"/>
              <w:rPr>
                <w:rFonts w:ascii="仿宋" w:hAnsi="仿宋" w:eastAsia="仿宋" w:cs="仿宋"/>
                <w:color w:val="auto"/>
                <w:sz w:val="21"/>
                <w:szCs w:val="21"/>
              </w:rPr>
            </w:pPr>
            <w:r>
              <w:rPr>
                <w:rFonts w:hint="eastAsia" w:ascii="仿宋" w:hAnsi="仿宋" w:eastAsia="仿宋" w:cs="仿宋"/>
                <w:color w:val="auto"/>
                <w:sz w:val="21"/>
              </w:rPr>
              <w:t>递交资格预审申请文件的截止之日3日前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2.2</w:t>
            </w:r>
            <w:r>
              <w:rPr>
                <w:rFonts w:hint="eastAsia" w:ascii="仿宋" w:hAnsi="仿宋" w:eastAsia="仿宋" w:cs="仿宋"/>
                <w:bCs/>
                <w:color w:val="auto"/>
                <w:sz w:val="21"/>
                <w:szCs w:val="21"/>
              </w:rPr>
              <w:t>.2</w:t>
            </w:r>
          </w:p>
        </w:tc>
        <w:tc>
          <w:tcPr>
            <w:tcW w:w="2833" w:type="dxa"/>
            <w:vAlign w:val="center"/>
          </w:tcPr>
          <w:p>
            <w:pPr>
              <w:jc w:val="center"/>
              <w:rPr>
                <w:rFonts w:ascii="仿宋" w:hAnsi="仿宋" w:eastAsia="仿宋" w:cs="仿宋"/>
                <w:color w:val="auto"/>
                <w:szCs w:val="21"/>
              </w:rPr>
            </w:pPr>
            <w:r>
              <w:rPr>
                <w:rFonts w:hint="eastAsia" w:ascii="仿宋" w:hAnsi="仿宋" w:eastAsia="仿宋" w:cs="仿宋"/>
                <w:color w:val="auto"/>
                <w:szCs w:val="21"/>
              </w:rPr>
              <w:t>招标人澄清</w:t>
            </w:r>
          </w:p>
          <w:p>
            <w:pPr>
              <w:jc w:val="center"/>
              <w:rPr>
                <w:rFonts w:ascii="仿宋" w:hAnsi="仿宋" w:eastAsia="仿宋" w:cs="仿宋"/>
                <w:color w:val="auto"/>
                <w:szCs w:val="21"/>
              </w:rPr>
            </w:pPr>
            <w:r>
              <w:rPr>
                <w:rFonts w:hint="eastAsia" w:ascii="仿宋" w:hAnsi="仿宋" w:eastAsia="仿宋" w:cs="仿宋"/>
                <w:color w:val="auto"/>
                <w:szCs w:val="21"/>
              </w:rPr>
              <w:t>资格预审文件的截止时间</w:t>
            </w:r>
          </w:p>
        </w:tc>
        <w:tc>
          <w:tcPr>
            <w:tcW w:w="5367" w:type="dxa"/>
            <w:vAlign w:val="center"/>
          </w:tcPr>
          <w:p>
            <w:pPr>
              <w:pStyle w:val="49"/>
              <w:spacing w:line="380" w:lineRule="exact"/>
              <w:jc w:val="both"/>
              <w:rPr>
                <w:rFonts w:ascii="仿宋" w:hAnsi="仿宋" w:eastAsia="仿宋" w:cs="仿宋"/>
                <w:color w:val="auto"/>
                <w:sz w:val="21"/>
                <w:szCs w:val="21"/>
              </w:rPr>
            </w:pPr>
            <w:r>
              <w:rPr>
                <w:rFonts w:hint="eastAsia" w:ascii="仿宋" w:hAnsi="仿宋" w:eastAsia="仿宋" w:cs="仿宋"/>
                <w:color w:val="auto"/>
                <w:sz w:val="21"/>
              </w:rPr>
              <w:t>递交资格预审申请文件的截止之日3日前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2.2</w:t>
            </w:r>
            <w:r>
              <w:rPr>
                <w:rFonts w:hint="eastAsia" w:ascii="仿宋" w:hAnsi="仿宋" w:eastAsia="仿宋" w:cs="仿宋"/>
                <w:bCs/>
                <w:color w:val="auto"/>
                <w:sz w:val="21"/>
                <w:szCs w:val="21"/>
              </w:rPr>
              <w:t>.3</w:t>
            </w:r>
          </w:p>
        </w:tc>
        <w:tc>
          <w:tcPr>
            <w:tcW w:w="2833" w:type="dxa"/>
            <w:vAlign w:val="center"/>
          </w:tcPr>
          <w:p>
            <w:pPr>
              <w:jc w:val="center"/>
              <w:rPr>
                <w:rFonts w:ascii="仿宋" w:hAnsi="仿宋" w:eastAsia="仿宋" w:cs="仿宋"/>
                <w:color w:val="auto"/>
                <w:szCs w:val="21"/>
              </w:rPr>
            </w:pPr>
            <w:r>
              <w:rPr>
                <w:rFonts w:hint="eastAsia" w:ascii="仿宋" w:hAnsi="仿宋" w:eastAsia="仿宋" w:cs="仿宋"/>
                <w:color w:val="auto"/>
                <w:szCs w:val="21"/>
              </w:rPr>
              <w:t>申请人确认收到</w:t>
            </w:r>
          </w:p>
          <w:p>
            <w:pPr>
              <w:jc w:val="center"/>
              <w:rPr>
                <w:rFonts w:ascii="仿宋" w:hAnsi="仿宋" w:eastAsia="仿宋" w:cs="仿宋"/>
                <w:color w:val="auto"/>
                <w:szCs w:val="21"/>
              </w:rPr>
            </w:pPr>
            <w:r>
              <w:rPr>
                <w:rFonts w:hint="eastAsia" w:ascii="仿宋" w:hAnsi="仿宋" w:eastAsia="仿宋" w:cs="仿宋"/>
                <w:color w:val="auto"/>
                <w:szCs w:val="21"/>
              </w:rPr>
              <w:t>资格预审文件澄清的时间</w:t>
            </w:r>
          </w:p>
        </w:tc>
        <w:tc>
          <w:tcPr>
            <w:tcW w:w="5367" w:type="dxa"/>
            <w:vAlign w:val="center"/>
          </w:tcPr>
          <w:p>
            <w:pPr>
              <w:pStyle w:val="49"/>
              <w:spacing w:line="380" w:lineRule="exact"/>
              <w:jc w:val="both"/>
              <w:rPr>
                <w:rFonts w:ascii="仿宋" w:hAnsi="仿宋" w:eastAsia="仿宋" w:cs="仿宋"/>
                <w:color w:val="auto"/>
                <w:sz w:val="21"/>
                <w:szCs w:val="21"/>
              </w:rPr>
            </w:pPr>
            <w:r>
              <w:rPr>
                <w:rFonts w:hint="eastAsia" w:ascii="仿宋" w:hAnsi="仿宋" w:eastAsia="仿宋" w:cs="仿宋"/>
                <w:color w:val="auto"/>
                <w:sz w:val="21"/>
              </w:rPr>
              <w:t>申请人收到资格预审文件澄清文件后 24 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2.3</w:t>
            </w:r>
            <w:r>
              <w:rPr>
                <w:rFonts w:hint="eastAsia" w:ascii="仿宋" w:hAnsi="仿宋" w:eastAsia="仿宋" w:cs="仿宋"/>
                <w:bCs/>
                <w:color w:val="auto"/>
                <w:sz w:val="21"/>
                <w:szCs w:val="21"/>
              </w:rPr>
              <w:t>.1</w:t>
            </w:r>
          </w:p>
        </w:tc>
        <w:tc>
          <w:tcPr>
            <w:tcW w:w="2833" w:type="dxa"/>
            <w:vAlign w:val="center"/>
          </w:tcPr>
          <w:p>
            <w:pPr>
              <w:jc w:val="center"/>
              <w:rPr>
                <w:rFonts w:ascii="仿宋" w:hAnsi="仿宋" w:eastAsia="仿宋" w:cs="仿宋"/>
                <w:color w:val="auto"/>
                <w:szCs w:val="21"/>
              </w:rPr>
            </w:pPr>
            <w:r>
              <w:rPr>
                <w:rFonts w:hint="eastAsia" w:ascii="仿宋" w:hAnsi="仿宋" w:eastAsia="仿宋" w:cs="仿宋"/>
                <w:color w:val="auto"/>
                <w:szCs w:val="21"/>
              </w:rPr>
              <w:t>招标人修改</w:t>
            </w:r>
          </w:p>
          <w:p>
            <w:pPr>
              <w:jc w:val="center"/>
              <w:rPr>
                <w:rFonts w:ascii="仿宋" w:hAnsi="仿宋" w:eastAsia="仿宋" w:cs="仿宋"/>
                <w:color w:val="auto"/>
                <w:szCs w:val="21"/>
              </w:rPr>
            </w:pPr>
            <w:r>
              <w:rPr>
                <w:rFonts w:hint="eastAsia" w:ascii="仿宋" w:hAnsi="仿宋" w:eastAsia="仿宋" w:cs="仿宋"/>
                <w:color w:val="auto"/>
                <w:szCs w:val="21"/>
              </w:rPr>
              <w:t>资格预审文件的截止时间</w:t>
            </w:r>
          </w:p>
        </w:tc>
        <w:tc>
          <w:tcPr>
            <w:tcW w:w="5367" w:type="dxa"/>
            <w:vAlign w:val="center"/>
          </w:tcPr>
          <w:p>
            <w:pPr>
              <w:pStyle w:val="49"/>
              <w:spacing w:line="380" w:lineRule="exact"/>
              <w:jc w:val="both"/>
              <w:rPr>
                <w:rFonts w:ascii="仿宋" w:hAnsi="仿宋" w:eastAsia="仿宋" w:cs="仿宋"/>
                <w:color w:val="auto"/>
                <w:sz w:val="21"/>
                <w:szCs w:val="21"/>
              </w:rPr>
            </w:pPr>
            <w:r>
              <w:rPr>
                <w:rFonts w:hint="eastAsia" w:ascii="仿宋" w:hAnsi="仿宋" w:eastAsia="仿宋" w:cs="仿宋"/>
                <w:color w:val="auto"/>
                <w:sz w:val="21"/>
              </w:rPr>
              <w:t>递交资格预审申请文件的截止之日3日前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2.3.2</w:t>
            </w:r>
          </w:p>
        </w:tc>
        <w:tc>
          <w:tcPr>
            <w:tcW w:w="2833" w:type="dxa"/>
            <w:vAlign w:val="center"/>
          </w:tcPr>
          <w:p>
            <w:pPr>
              <w:jc w:val="center"/>
              <w:rPr>
                <w:rFonts w:ascii="仿宋" w:hAnsi="仿宋" w:eastAsia="仿宋" w:cs="仿宋"/>
                <w:color w:val="auto"/>
                <w:szCs w:val="21"/>
              </w:rPr>
            </w:pPr>
            <w:r>
              <w:rPr>
                <w:rFonts w:hint="eastAsia" w:ascii="仿宋" w:hAnsi="仿宋" w:eastAsia="仿宋" w:cs="仿宋"/>
                <w:color w:val="auto"/>
                <w:szCs w:val="21"/>
              </w:rPr>
              <w:t>申请人确认收到</w:t>
            </w:r>
          </w:p>
          <w:p>
            <w:pPr>
              <w:jc w:val="center"/>
              <w:rPr>
                <w:rFonts w:ascii="仿宋" w:hAnsi="仿宋" w:eastAsia="仿宋" w:cs="仿宋"/>
                <w:color w:val="auto"/>
                <w:szCs w:val="21"/>
              </w:rPr>
            </w:pPr>
            <w:r>
              <w:rPr>
                <w:rFonts w:hint="eastAsia" w:ascii="仿宋" w:hAnsi="仿宋" w:eastAsia="仿宋" w:cs="仿宋"/>
                <w:color w:val="auto"/>
                <w:szCs w:val="21"/>
              </w:rPr>
              <w:t>资格预审文件修改的时间</w:t>
            </w:r>
          </w:p>
        </w:tc>
        <w:tc>
          <w:tcPr>
            <w:tcW w:w="5367" w:type="dxa"/>
            <w:vAlign w:val="center"/>
          </w:tcPr>
          <w:p>
            <w:pPr>
              <w:pStyle w:val="49"/>
              <w:spacing w:line="380" w:lineRule="exact"/>
              <w:jc w:val="both"/>
              <w:rPr>
                <w:rFonts w:ascii="仿宋" w:hAnsi="仿宋" w:eastAsia="仿宋" w:cs="仿宋"/>
                <w:color w:val="auto"/>
                <w:sz w:val="21"/>
                <w:szCs w:val="21"/>
              </w:rPr>
            </w:pPr>
            <w:r>
              <w:rPr>
                <w:rFonts w:hint="eastAsia" w:ascii="仿宋" w:hAnsi="仿宋" w:eastAsia="仿宋" w:cs="仿宋"/>
                <w:color w:val="auto"/>
                <w:sz w:val="21"/>
              </w:rPr>
              <w:t>申请人收到资格预审文件澄清文件后 24 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3.2.4</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近年财务状况的年份要求</w:t>
            </w:r>
          </w:p>
        </w:tc>
        <w:tc>
          <w:tcPr>
            <w:tcW w:w="5367" w:type="dxa"/>
            <w:vAlign w:val="center"/>
          </w:tcPr>
          <w:p>
            <w:pPr>
              <w:pStyle w:val="14"/>
              <w:topLinePunct/>
              <w:spacing w:line="400" w:lineRule="exact"/>
              <w:rPr>
                <w:rFonts w:ascii="仿宋" w:hAnsi="仿宋" w:eastAsia="仿宋" w:cs="仿宋"/>
                <w:color w:val="auto"/>
                <w:sz w:val="21"/>
                <w:szCs w:val="21"/>
              </w:rPr>
            </w:pPr>
            <w:r>
              <w:rPr>
                <w:rFonts w:hint="eastAsia" w:ascii="仿宋" w:hAnsi="仿宋" w:eastAsia="仿宋" w:cs="仿宋"/>
                <w:color w:val="auto"/>
                <w:sz w:val="21"/>
                <w:szCs w:val="21"/>
                <w:lang w:val="en-US" w:eastAsia="zh-CN"/>
              </w:rPr>
              <w:t>2021</w:t>
            </w:r>
            <w:r>
              <w:rPr>
                <w:rFonts w:hint="eastAsia" w:ascii="仿宋" w:hAnsi="仿宋" w:eastAsia="仿宋" w:cs="仿宋"/>
                <w:color w:val="auto"/>
                <w:sz w:val="21"/>
                <w:szCs w:val="21"/>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rPr>
                <w:rFonts w:ascii="仿宋" w:hAnsi="仿宋" w:eastAsia="仿宋" w:cs="仿宋"/>
                <w:color w:val="auto"/>
                <w:szCs w:val="21"/>
              </w:rPr>
            </w:pPr>
            <w:r>
              <w:rPr>
                <w:rFonts w:hint="eastAsia" w:ascii="仿宋" w:hAnsi="仿宋" w:eastAsia="仿宋" w:cs="仿宋"/>
                <w:color w:val="auto"/>
                <w:szCs w:val="21"/>
              </w:rPr>
              <w:t>3.2.5</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近年完成的类似项目的</w:t>
            </w:r>
          </w:p>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年份要求</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201</w:t>
            </w:r>
            <w:r>
              <w:rPr>
                <w:rFonts w:hint="eastAsia" w:ascii="仿宋" w:hAnsi="仿宋" w:eastAsia="仿宋" w:cs="仿宋"/>
                <w:color w:val="auto"/>
                <w:szCs w:val="21"/>
                <w:lang w:val="en-US" w:eastAsia="zh-CN"/>
              </w:rPr>
              <w:t>9</w:t>
            </w:r>
            <w:r>
              <w:rPr>
                <w:rFonts w:hint="eastAsia" w:ascii="仿宋" w:hAnsi="仿宋" w:eastAsia="仿宋" w:cs="仿宋"/>
                <w:color w:val="auto"/>
                <w:szCs w:val="21"/>
              </w:rPr>
              <w:t>年1月1日以来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rPr>
                <w:rFonts w:ascii="仿宋" w:hAnsi="仿宋" w:eastAsia="仿宋" w:cs="仿宋"/>
                <w:color w:val="auto"/>
                <w:szCs w:val="21"/>
              </w:rPr>
            </w:pPr>
            <w:r>
              <w:rPr>
                <w:rFonts w:hint="eastAsia" w:ascii="仿宋" w:hAnsi="仿宋" w:eastAsia="仿宋" w:cs="仿宋"/>
                <w:color w:val="auto"/>
                <w:szCs w:val="21"/>
              </w:rPr>
              <w:t>3.2.7</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近年发生的诉讼及仲裁情况的年份要求</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201</w:t>
            </w:r>
            <w:r>
              <w:rPr>
                <w:rFonts w:hint="eastAsia" w:ascii="仿宋" w:hAnsi="仿宋" w:eastAsia="仿宋" w:cs="仿宋"/>
                <w:color w:val="auto"/>
                <w:szCs w:val="21"/>
                <w:lang w:val="en-US" w:eastAsia="zh-CN"/>
              </w:rPr>
              <w:t>9</w:t>
            </w:r>
            <w:r>
              <w:rPr>
                <w:rFonts w:hint="eastAsia" w:ascii="仿宋" w:hAnsi="仿宋" w:eastAsia="仿宋" w:cs="仿宋"/>
                <w:color w:val="auto"/>
                <w:szCs w:val="21"/>
              </w:rPr>
              <w:t>年1月1日以来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rPr>
                <w:rFonts w:ascii="仿宋" w:hAnsi="仿宋" w:eastAsia="仿宋" w:cs="仿宋"/>
                <w:color w:val="auto"/>
                <w:szCs w:val="21"/>
              </w:rPr>
            </w:pPr>
            <w:r>
              <w:rPr>
                <w:rFonts w:hint="eastAsia" w:ascii="仿宋" w:hAnsi="仿宋" w:eastAsia="仿宋" w:cs="仿宋"/>
                <w:color w:val="auto"/>
                <w:szCs w:val="21"/>
              </w:rPr>
              <w:t>3.3.1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签字或盖章要求</w:t>
            </w:r>
          </w:p>
        </w:tc>
        <w:tc>
          <w:tcPr>
            <w:tcW w:w="5367" w:type="dxa"/>
            <w:vAlign w:val="center"/>
          </w:tcPr>
          <w:p>
            <w:pPr>
              <w:rPr>
                <w:rFonts w:ascii="仿宋" w:hAnsi="仿宋" w:eastAsia="仿宋" w:cs="仿宋"/>
                <w:color w:val="auto"/>
                <w:szCs w:val="21"/>
                <w:u w:val="single"/>
              </w:rPr>
            </w:pPr>
            <w:r>
              <w:rPr>
                <w:rFonts w:hint="eastAsia" w:ascii="仿宋" w:hAnsi="仿宋" w:eastAsia="仿宋" w:cs="仿宋"/>
                <w:color w:val="auto"/>
                <w:szCs w:val="21"/>
              </w:rPr>
              <w:t>申请文件格式中要求盖单位章和（或）签字的地方，申请均应使用 CA 数字证书加盖申请人的单位电子签章和（或）法定代表人的个人电子签章。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3.3.2</w:t>
            </w:r>
          </w:p>
        </w:tc>
        <w:tc>
          <w:tcPr>
            <w:tcW w:w="2833" w:type="dxa"/>
            <w:vAlign w:val="center"/>
          </w:tcPr>
          <w:p>
            <w:pPr>
              <w:rPr>
                <w:rFonts w:ascii="仿宋" w:hAnsi="仿宋" w:eastAsia="仿宋" w:cs="仿宋"/>
                <w:color w:val="auto"/>
                <w:szCs w:val="21"/>
              </w:rPr>
            </w:pPr>
            <w:r>
              <w:rPr>
                <w:rFonts w:hint="eastAsia" w:ascii="仿宋" w:hAnsi="仿宋" w:eastAsia="仿宋" w:cs="仿宋"/>
                <w:color w:val="auto"/>
                <w:szCs w:val="21"/>
              </w:rPr>
              <w:t>资格预审申请文件份数</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1、加密的电子响应文件一份（*.lytf 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4.2.1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申请截止时间</w:t>
            </w:r>
          </w:p>
        </w:tc>
        <w:tc>
          <w:tcPr>
            <w:tcW w:w="5367" w:type="dxa"/>
            <w:vAlign w:val="center"/>
          </w:tcPr>
          <w:p>
            <w:pPr>
              <w:pStyle w:val="14"/>
              <w:topLinePunct/>
              <w:spacing w:line="400" w:lineRule="exact"/>
              <w:rPr>
                <w:rFonts w:ascii="仿宋" w:hAnsi="仿宋" w:eastAsia="仿宋" w:cs="仿宋"/>
                <w:color w:val="auto"/>
                <w:sz w:val="21"/>
                <w:szCs w:val="21"/>
              </w:rPr>
            </w:pPr>
            <w:r>
              <w:rPr>
                <w:rFonts w:hint="eastAsia" w:ascii="仿宋" w:hAnsi="仿宋" w:eastAsia="仿宋" w:cs="仿宋"/>
                <w:color w:val="auto"/>
                <w:sz w:val="21"/>
                <w:szCs w:val="21"/>
                <w:lang w:val="en-US" w:eastAsia="zh-CN"/>
              </w:rPr>
              <w:t>2022</w:t>
            </w:r>
            <w:r>
              <w:rPr>
                <w:rFonts w:hint="eastAsia" w:ascii="仿宋" w:hAnsi="仿宋" w:eastAsia="仿宋" w:cs="仿宋"/>
                <w:color w:val="auto"/>
                <w:sz w:val="21"/>
                <w:szCs w:val="21"/>
              </w:rPr>
              <w:t>年</w:t>
            </w:r>
            <w:r>
              <w:rPr>
                <w:rFonts w:hint="eastAsia" w:ascii="仿宋" w:hAnsi="仿宋" w:eastAsia="仿宋" w:cs="仿宋"/>
                <w:color w:val="auto"/>
                <w:sz w:val="21"/>
                <w:szCs w:val="21"/>
                <w:lang w:val="en-US" w:eastAsia="zh-CN"/>
              </w:rPr>
              <w:t>5</w:t>
            </w:r>
            <w:r>
              <w:rPr>
                <w:rFonts w:hint="eastAsia" w:ascii="仿宋" w:hAnsi="仿宋" w:eastAsia="仿宋" w:cs="仿宋"/>
                <w:color w:val="auto"/>
                <w:sz w:val="21"/>
                <w:szCs w:val="21"/>
              </w:rPr>
              <w:t>月</w:t>
            </w:r>
            <w:r>
              <w:rPr>
                <w:rFonts w:hint="eastAsia" w:ascii="仿宋" w:hAnsi="仿宋" w:eastAsia="仿宋" w:cs="仿宋"/>
                <w:color w:val="auto"/>
                <w:sz w:val="21"/>
                <w:szCs w:val="21"/>
                <w:lang w:val="en-US" w:eastAsia="zh-CN"/>
              </w:rPr>
              <w:t xml:space="preserve"> 24</w:t>
            </w:r>
            <w:r>
              <w:rPr>
                <w:rFonts w:hint="eastAsia" w:ascii="仿宋" w:hAnsi="仿宋" w:eastAsia="仿宋" w:cs="仿宋"/>
                <w:color w:val="auto"/>
                <w:sz w:val="21"/>
                <w:szCs w:val="21"/>
              </w:rPr>
              <w:t>日</w:t>
            </w:r>
            <w:r>
              <w:rPr>
                <w:rFonts w:hint="eastAsia" w:ascii="仿宋" w:hAnsi="仿宋" w:eastAsia="仿宋" w:cs="仿宋"/>
                <w:color w:val="auto"/>
                <w:sz w:val="21"/>
                <w:szCs w:val="21"/>
                <w:lang w:val="en-US" w:eastAsia="zh-CN"/>
              </w:rPr>
              <w:t>09</w:t>
            </w:r>
            <w:r>
              <w:rPr>
                <w:rFonts w:hint="eastAsia" w:ascii="仿宋" w:hAnsi="仿宋" w:eastAsia="仿宋" w:cs="仿宋"/>
                <w:color w:val="auto"/>
                <w:sz w:val="21"/>
                <w:szCs w:val="21"/>
              </w:rPr>
              <w:t>时</w:t>
            </w:r>
            <w:r>
              <w:rPr>
                <w:rFonts w:hint="eastAsia" w:ascii="仿宋" w:hAnsi="仿宋" w:eastAsia="仿宋" w:cs="仿宋"/>
                <w:color w:val="auto"/>
                <w:sz w:val="21"/>
                <w:szCs w:val="21"/>
                <w:lang w:val="en-US" w:eastAsia="zh-CN"/>
              </w:rPr>
              <w:t>30</w:t>
            </w:r>
            <w:r>
              <w:rPr>
                <w:rFonts w:hint="eastAsia" w:ascii="仿宋" w:hAnsi="仿宋" w:eastAsia="仿宋" w:cs="仿宋"/>
                <w:color w:val="auto"/>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4.2.2</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递交资格预审申请文件的地点</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kern w:val="0"/>
                <w:szCs w:val="21"/>
              </w:rPr>
              <w:t>洛阳市</w:t>
            </w:r>
            <w:r>
              <w:rPr>
                <w:rFonts w:hint="eastAsia" w:ascii="仿宋" w:hAnsi="仿宋" w:eastAsia="仿宋" w:cs="仿宋"/>
                <w:color w:val="auto"/>
                <w:kern w:val="0"/>
                <w:szCs w:val="21"/>
                <w:lang w:val="en-US" w:eastAsia="zh-CN"/>
              </w:rPr>
              <w:t>涧西区公共资源交易中心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4.2.3</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是否退还资格预审申请文件</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5.1.2</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审查委员会人数</w:t>
            </w:r>
          </w:p>
        </w:tc>
        <w:tc>
          <w:tcPr>
            <w:tcW w:w="5367" w:type="dxa"/>
            <w:vAlign w:val="center"/>
          </w:tcPr>
          <w:p>
            <w:pPr>
              <w:pStyle w:val="14"/>
              <w:topLinePunct/>
              <w:spacing w:line="400" w:lineRule="exact"/>
              <w:rPr>
                <w:rFonts w:ascii="仿宋" w:hAnsi="仿宋" w:eastAsia="仿宋" w:cs="仿宋"/>
                <w:color w:val="auto"/>
                <w:sz w:val="21"/>
                <w:szCs w:val="21"/>
              </w:rPr>
            </w:pPr>
            <w:r>
              <w:rPr>
                <w:rFonts w:hint="eastAsia" w:ascii="仿宋" w:hAnsi="仿宋" w:eastAsia="仿宋" w:cs="仿宋"/>
                <w:color w:val="auto"/>
                <w:sz w:val="21"/>
                <w:szCs w:val="21"/>
              </w:rPr>
              <w:t>审查委员会构成：9人，其中招标人代表 3人，专家 6人；</w:t>
            </w:r>
          </w:p>
          <w:p>
            <w:pPr>
              <w:pStyle w:val="14"/>
              <w:topLinePunct/>
              <w:spacing w:line="400" w:lineRule="exact"/>
              <w:rPr>
                <w:rFonts w:ascii="仿宋" w:hAnsi="仿宋" w:eastAsia="仿宋" w:cs="仿宋"/>
                <w:color w:val="auto"/>
                <w:sz w:val="21"/>
                <w:szCs w:val="21"/>
              </w:rPr>
            </w:pPr>
            <w:r>
              <w:rPr>
                <w:rFonts w:hint="eastAsia" w:ascii="仿宋" w:hAnsi="仿宋" w:eastAsia="仿宋" w:cs="仿宋"/>
                <w:color w:val="auto"/>
                <w:sz w:val="21"/>
                <w:szCs w:val="21"/>
              </w:rPr>
              <w:t>审查专家确定方式：在河南省综合评标专家库中随机抽取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5.2</w:t>
            </w:r>
          </w:p>
        </w:tc>
        <w:tc>
          <w:tcPr>
            <w:tcW w:w="2833" w:type="dxa"/>
            <w:vAlign w:val="center"/>
          </w:tcPr>
          <w:p>
            <w:pPr>
              <w:rPr>
                <w:rFonts w:ascii="仿宋" w:hAnsi="仿宋" w:eastAsia="仿宋" w:cs="仿宋"/>
                <w:color w:val="auto"/>
                <w:szCs w:val="21"/>
              </w:rPr>
            </w:pPr>
            <w:r>
              <w:rPr>
                <w:rFonts w:hint="eastAsia" w:ascii="仿宋" w:hAnsi="仿宋" w:eastAsia="仿宋" w:cs="仿宋"/>
                <w:color w:val="auto"/>
                <w:szCs w:val="21"/>
              </w:rPr>
              <w:t>资格审查方法</w:t>
            </w:r>
          </w:p>
        </w:tc>
        <w:tc>
          <w:tcPr>
            <w:tcW w:w="5367" w:type="dxa"/>
            <w:vAlign w:val="center"/>
          </w:tcPr>
          <w:p>
            <w:pPr>
              <w:rPr>
                <w:rFonts w:ascii="仿宋" w:hAnsi="仿宋" w:eastAsia="仿宋" w:cs="仿宋"/>
                <w:color w:val="auto"/>
                <w:szCs w:val="21"/>
              </w:rPr>
            </w:pPr>
            <w:r>
              <w:rPr>
                <w:rFonts w:hint="eastAsia" w:ascii="仿宋" w:hAnsi="仿宋" w:eastAsia="仿宋" w:cs="仿宋"/>
                <w:color w:val="auto"/>
                <w:szCs w:val="21"/>
              </w:rPr>
              <w:t>本次资格预审采用有限数量制。当通过详细审查的申请人数多于</w:t>
            </w:r>
            <w:r>
              <w:rPr>
                <w:rFonts w:hint="eastAsia" w:ascii="仿宋" w:hAnsi="仿宋" w:eastAsia="仿宋" w:cs="仿宋"/>
                <w:color w:val="auto"/>
                <w:szCs w:val="21"/>
                <w:lang w:val="en-US" w:eastAsia="zh-CN"/>
              </w:rPr>
              <w:t>7</w:t>
            </w:r>
            <w:r>
              <w:rPr>
                <w:rFonts w:hint="eastAsia" w:ascii="仿宋" w:hAnsi="仿宋" w:eastAsia="仿宋" w:cs="仿宋"/>
                <w:color w:val="auto"/>
                <w:szCs w:val="21"/>
              </w:rPr>
              <w:t>家时，通过资格预审的申请人限定为</w:t>
            </w:r>
            <w:r>
              <w:rPr>
                <w:rFonts w:hint="eastAsia" w:ascii="仿宋" w:hAnsi="仿宋" w:eastAsia="仿宋" w:cs="仿宋"/>
                <w:color w:val="auto"/>
                <w:szCs w:val="21"/>
                <w:lang w:val="en-US" w:eastAsia="zh-CN"/>
              </w:rPr>
              <w:t>7</w:t>
            </w:r>
            <w:r>
              <w:rPr>
                <w:rFonts w:hint="eastAsia" w:ascii="仿宋" w:hAnsi="仿宋" w:eastAsia="仿宋" w:cs="仿宋"/>
                <w:color w:val="auto"/>
                <w:szCs w:val="21"/>
              </w:rPr>
              <w:t>家；当通过详细审查的申请人不少于3家且没有超过</w:t>
            </w:r>
            <w:r>
              <w:rPr>
                <w:rFonts w:hint="eastAsia" w:ascii="仿宋" w:hAnsi="仿宋" w:eastAsia="仿宋" w:cs="仿宋"/>
                <w:color w:val="auto"/>
                <w:szCs w:val="21"/>
                <w:lang w:val="en-US" w:eastAsia="zh-CN"/>
              </w:rPr>
              <w:t>7</w:t>
            </w:r>
            <w:r>
              <w:rPr>
                <w:rFonts w:hint="eastAsia" w:ascii="仿宋" w:hAnsi="仿宋" w:eastAsia="仿宋" w:cs="仿宋"/>
                <w:color w:val="auto"/>
                <w:szCs w:val="21"/>
              </w:rPr>
              <w:t>家时，通过详细审查的申请人全部通过资格预审，不再进行打分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3" w:hRule="atLeas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6.1</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资格预审结果的通知时间</w:t>
            </w:r>
          </w:p>
        </w:tc>
        <w:tc>
          <w:tcPr>
            <w:tcW w:w="5367" w:type="dxa"/>
          </w:tcPr>
          <w:p>
            <w:pPr>
              <w:pStyle w:val="49"/>
              <w:spacing w:line="380" w:lineRule="exact"/>
              <w:rPr>
                <w:rFonts w:ascii="仿宋" w:hAnsi="仿宋" w:eastAsia="仿宋" w:cs="仿宋"/>
                <w:color w:val="auto"/>
                <w:sz w:val="21"/>
                <w:szCs w:val="21"/>
              </w:rPr>
            </w:pPr>
            <w:r>
              <w:rPr>
                <w:rFonts w:hint="eastAsia" w:ascii="仿宋" w:hAnsi="仿宋" w:eastAsia="仿宋" w:cs="仿宋"/>
                <w:color w:val="auto"/>
                <w:sz w:val="21"/>
                <w:szCs w:val="21"/>
              </w:rPr>
              <w:t xml:space="preserve">资格预审后三日内招标人在全国公共资源交易平台（河南省·洛 阳市）系统通知合格的申请人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3" w:hRule="exac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6.3</w:t>
            </w:r>
          </w:p>
        </w:tc>
        <w:tc>
          <w:tcPr>
            <w:tcW w:w="2833"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资格预审结果的确认时间</w:t>
            </w:r>
          </w:p>
        </w:tc>
        <w:tc>
          <w:tcPr>
            <w:tcW w:w="5367" w:type="dxa"/>
          </w:tcPr>
          <w:p>
            <w:pPr>
              <w:pStyle w:val="49"/>
              <w:spacing w:line="380" w:lineRule="exact"/>
              <w:rPr>
                <w:rFonts w:hint="eastAsia" w:ascii="仿宋" w:hAnsi="仿宋" w:eastAsia="仿宋" w:cs="仿宋"/>
                <w:color w:val="auto"/>
                <w:sz w:val="21"/>
                <w:szCs w:val="21"/>
                <w:lang w:eastAsia="zh-CN"/>
              </w:rPr>
            </w:pPr>
            <w:r>
              <w:rPr>
                <w:rFonts w:hint="eastAsia" w:ascii="仿宋" w:hAnsi="仿宋" w:eastAsia="仿宋" w:cs="仿宋"/>
                <w:color w:val="auto"/>
                <w:sz w:val="21"/>
                <w:szCs w:val="21"/>
              </w:rPr>
              <w:t>申请人收到书面形式审查结果通知后两日内在全国公共资源交 平台（河南省·洛阳市）系统回复招标人是否参与投标</w:t>
            </w:r>
            <w:r>
              <w:rPr>
                <w:rFonts w:hint="eastAsia" w:ascii="仿宋" w:hAnsi="仿宋" w:eastAsia="仿宋" w:cs="仿宋"/>
                <w:color w:val="auto"/>
                <w:sz w:val="21"/>
                <w:szCs w:val="21"/>
                <w:lang w:eastAsia="zh-CN"/>
              </w:rPr>
              <w:t>；</w:t>
            </w:r>
          </w:p>
          <w:p>
            <w:pPr>
              <w:pStyle w:val="49"/>
              <w:spacing w:line="380" w:lineRule="exact"/>
              <w:rPr>
                <w:rFonts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77" w:hRule="exact"/>
          <w:jc w:val="center"/>
        </w:trPr>
        <w:tc>
          <w:tcPr>
            <w:tcW w:w="860" w:type="dxa"/>
            <w:vAlign w:val="center"/>
          </w:tcPr>
          <w:p>
            <w:pPr>
              <w:pStyle w:val="14"/>
              <w:topLinePunct/>
              <w:spacing w:line="400" w:lineRule="exact"/>
              <w:jc w:val="center"/>
              <w:rPr>
                <w:rFonts w:ascii="仿宋" w:hAnsi="仿宋" w:eastAsia="仿宋" w:cs="仿宋"/>
                <w:color w:val="auto"/>
                <w:sz w:val="21"/>
                <w:szCs w:val="21"/>
              </w:rPr>
            </w:pPr>
            <w:r>
              <w:rPr>
                <w:rFonts w:hint="eastAsia" w:ascii="仿宋" w:hAnsi="仿宋" w:eastAsia="仿宋" w:cs="仿宋"/>
                <w:color w:val="auto"/>
                <w:sz w:val="21"/>
                <w:szCs w:val="21"/>
              </w:rPr>
              <w:t>9</w:t>
            </w:r>
          </w:p>
        </w:tc>
        <w:tc>
          <w:tcPr>
            <w:tcW w:w="2833" w:type="dxa"/>
            <w:vAlign w:val="center"/>
          </w:tcPr>
          <w:p>
            <w:pPr>
              <w:adjustRightInd w:val="0"/>
              <w:snapToGrid w:val="0"/>
              <w:jc w:val="center"/>
              <w:textAlignment w:val="baseline"/>
              <w:rPr>
                <w:rFonts w:ascii="仿宋" w:hAnsi="仿宋" w:eastAsia="仿宋" w:cs="仿宋"/>
                <w:color w:val="auto"/>
                <w:kern w:val="0"/>
                <w:szCs w:val="21"/>
              </w:rPr>
            </w:pPr>
            <w:r>
              <w:rPr>
                <w:rFonts w:hint="eastAsia" w:ascii="仿宋" w:hAnsi="仿宋" w:eastAsia="仿宋" w:cs="仿宋"/>
                <w:bCs/>
                <w:color w:val="auto"/>
                <w:kern w:val="0"/>
                <w:szCs w:val="21"/>
              </w:rPr>
              <w:t>电子投标文件雷同认定与处理</w:t>
            </w:r>
          </w:p>
        </w:tc>
        <w:tc>
          <w:tcPr>
            <w:tcW w:w="5367" w:type="dxa"/>
            <w:vAlign w:val="center"/>
          </w:tcPr>
          <w:p>
            <w:pPr>
              <w:snapToGrid w:val="0"/>
              <w:jc w:val="left"/>
              <w:rPr>
                <w:rFonts w:ascii="仿宋" w:hAnsi="仿宋" w:eastAsia="仿宋" w:cs="仿宋"/>
                <w:color w:val="auto"/>
                <w:szCs w:val="21"/>
              </w:rPr>
            </w:pPr>
            <w:r>
              <w:rPr>
                <w:rFonts w:hint="eastAsia" w:ascii="仿宋" w:hAnsi="仿宋" w:eastAsia="仿宋" w:cs="仿宋"/>
                <w:color w:val="auto"/>
                <w:szCs w:val="21"/>
              </w:rPr>
              <w:t>为进一步规范招标投标市场秩序，有效遏制打击串通投标行为，根据《中华人民共和国招标投标法》《中华人民共和国招标投标法实施条例》《电子招标投标办法》《房屋建筑和市政基础设施工程施工招标串（围）标行为认定和处理的暂行规定》（豫建〔</w:t>
            </w:r>
            <w:r>
              <w:rPr>
                <w:rFonts w:ascii="仿宋" w:hAnsi="仿宋" w:eastAsia="仿宋" w:cs="仿宋"/>
                <w:color w:val="auto"/>
                <w:szCs w:val="21"/>
              </w:rPr>
              <w:t>2011〕179</w:t>
            </w:r>
            <w:r>
              <w:rPr>
                <w:rFonts w:hint="eastAsia" w:ascii="仿宋" w:hAnsi="仿宋" w:eastAsia="仿宋" w:cs="仿宋"/>
                <w:color w:val="auto"/>
                <w:szCs w:val="21"/>
              </w:rPr>
              <w:t>号）的规定，结合我市电子招标投标开展情况，现对房屋建筑和市政基础设施工程采用数据电文形式的投标文件（包含资格预审申请文件和投标文件，以下简称“电子投标文件”）雷同认定及处理明确如下：</w:t>
            </w:r>
          </w:p>
          <w:p>
            <w:pPr>
              <w:snapToGrid w:val="0"/>
              <w:jc w:val="left"/>
              <w:rPr>
                <w:rFonts w:ascii="仿宋" w:hAnsi="仿宋" w:eastAsia="仿宋" w:cs="仿宋"/>
                <w:color w:val="auto"/>
                <w:szCs w:val="21"/>
              </w:rPr>
            </w:pPr>
            <w:r>
              <w:rPr>
                <w:rFonts w:hint="eastAsia" w:ascii="仿宋" w:hAnsi="仿宋" w:eastAsia="仿宋" w:cs="仿宋"/>
                <w:color w:val="auto"/>
                <w:szCs w:val="21"/>
              </w:rPr>
              <w:t>一、电子开评标系统提示不同申请人的电子投标文件的文件制作机器码、文件创建标识码等软硬件信息，有一条及以上相同的，应认定为《中华人民共和国招标投标法实施条例》第四十条第（一）项“不同申请人的投标文件由同一单位或者个人编制”的情形。</w:t>
            </w:r>
          </w:p>
          <w:p>
            <w:pPr>
              <w:snapToGrid w:val="0"/>
              <w:jc w:val="left"/>
              <w:rPr>
                <w:rFonts w:ascii="仿宋" w:hAnsi="仿宋" w:eastAsia="仿宋" w:cs="仿宋"/>
                <w:color w:val="auto"/>
                <w:szCs w:val="21"/>
              </w:rPr>
            </w:pPr>
            <w:r>
              <w:rPr>
                <w:rFonts w:hint="eastAsia" w:ascii="仿宋" w:hAnsi="仿宋" w:eastAsia="仿宋" w:cs="仿宋"/>
                <w:color w:val="auto"/>
                <w:szCs w:val="21"/>
              </w:rPr>
              <w:t>二、电子开评标系统提示不同申请人的已标价工程量清单的文件制作机器码、造价软件锁号、文件创建标识码等软硬件信息中有一条及以上相同的，应认定为《中华人民共和国招标投标法实施条例》第四十条第（一）项“不同申请人的投标文件由同一单位或者个人编制”的情形。</w:t>
            </w:r>
          </w:p>
          <w:p>
            <w:pPr>
              <w:snapToGrid w:val="0"/>
              <w:jc w:val="left"/>
              <w:rPr>
                <w:rFonts w:ascii="仿宋" w:hAnsi="仿宋" w:eastAsia="仿宋" w:cs="仿宋"/>
                <w:color w:val="auto"/>
                <w:szCs w:val="21"/>
              </w:rPr>
            </w:pPr>
            <w:r>
              <w:rPr>
                <w:rFonts w:hint="eastAsia" w:ascii="仿宋" w:hAnsi="仿宋" w:eastAsia="仿宋" w:cs="仿宋"/>
                <w:color w:val="auto"/>
                <w:szCs w:val="21"/>
              </w:rPr>
              <w:t>三、电子开评标系统提示不同申请人的已标价工程量清单的软件加密锁使用人全称、统一社会信用代码（或身份证号码）等造价软件锁实名信息中有一条及以上相同的，应认定为《中华人民共和国招标投标法实施条例》第四十条第（一）项</w:t>
            </w:r>
            <w:r>
              <w:rPr>
                <w:rFonts w:ascii="仿宋" w:hAnsi="仿宋" w:eastAsia="仿宋" w:cs="仿宋"/>
                <w:color w:val="auto"/>
                <w:szCs w:val="21"/>
              </w:rPr>
              <w:t>“</w:t>
            </w:r>
            <w:r>
              <w:rPr>
                <w:rFonts w:hint="eastAsia" w:ascii="仿宋" w:hAnsi="仿宋" w:eastAsia="仿宋" w:cs="仿宋"/>
                <w:color w:val="auto"/>
                <w:szCs w:val="21"/>
              </w:rPr>
              <w:t>不同申请人的投标文件由同一单位或者个人编制</w:t>
            </w:r>
            <w:r>
              <w:rPr>
                <w:rFonts w:ascii="仿宋" w:hAnsi="仿宋" w:eastAsia="仿宋" w:cs="仿宋"/>
                <w:color w:val="auto"/>
                <w:szCs w:val="21"/>
              </w:rPr>
              <w:t>”</w:t>
            </w:r>
            <w:r>
              <w:rPr>
                <w:rFonts w:hint="eastAsia" w:ascii="仿宋" w:hAnsi="仿宋" w:eastAsia="仿宋" w:cs="仿宋"/>
                <w:color w:val="auto"/>
                <w:szCs w:val="21"/>
              </w:rPr>
              <w:t>的情形。</w:t>
            </w:r>
          </w:p>
          <w:p>
            <w:pPr>
              <w:snapToGrid w:val="0"/>
              <w:jc w:val="left"/>
              <w:rPr>
                <w:rFonts w:ascii="仿宋" w:hAnsi="仿宋" w:eastAsia="仿宋" w:cs="仿宋"/>
                <w:color w:val="auto"/>
                <w:szCs w:val="21"/>
              </w:rPr>
            </w:pPr>
            <w:r>
              <w:rPr>
                <w:rFonts w:hint="eastAsia" w:ascii="仿宋" w:hAnsi="仿宋" w:eastAsia="仿宋" w:cs="仿宋"/>
                <w:color w:val="auto"/>
                <w:szCs w:val="21"/>
              </w:rPr>
              <w:t>四、电子开评标系统提示不同申请人的投标技术文件存在内容高度一致的、投标报价或报价组成出现非正常一致或者呈规律性变化的，审查委员会可以要求申请人作出澄清，审查委员会应当集体认定是否属于《中华人民共和国招标投标法实施条例》第四十条第（四）项</w:t>
            </w:r>
            <w:r>
              <w:rPr>
                <w:rFonts w:ascii="仿宋" w:hAnsi="仿宋" w:eastAsia="仿宋" w:cs="仿宋"/>
                <w:color w:val="auto"/>
                <w:szCs w:val="21"/>
              </w:rPr>
              <w:t>“不同申请人的投标文件异常一致或者投标报价呈规律性差异”</w:t>
            </w:r>
            <w:r>
              <w:rPr>
                <w:rFonts w:hint="eastAsia" w:ascii="仿宋" w:hAnsi="仿宋" w:eastAsia="仿宋" w:cs="仿宋"/>
                <w:color w:val="auto"/>
                <w:szCs w:val="21"/>
              </w:rPr>
              <w:t>的情形。</w:t>
            </w:r>
          </w:p>
          <w:p>
            <w:pPr>
              <w:snapToGrid w:val="0"/>
              <w:jc w:val="left"/>
              <w:rPr>
                <w:rFonts w:ascii="仿宋" w:hAnsi="仿宋" w:eastAsia="仿宋" w:cs="仿宋"/>
                <w:color w:val="auto"/>
                <w:szCs w:val="21"/>
              </w:rPr>
            </w:pPr>
            <w:r>
              <w:rPr>
                <w:rFonts w:hint="eastAsia" w:ascii="仿宋" w:hAnsi="仿宋" w:eastAsia="仿宋" w:cs="仿宋"/>
                <w:color w:val="auto"/>
                <w:szCs w:val="21"/>
              </w:rPr>
              <w:t>五、电子开评标系统对不同申请人的电子投标文件作出雷同性提示或预警的，资格评审委员会或审查委员会应当集体表决认定是否属于《中华人民共和国招标投标法实施条例》第四十条</w:t>
            </w:r>
            <w:r>
              <w:rPr>
                <w:rFonts w:ascii="仿宋" w:hAnsi="仿宋" w:eastAsia="仿宋" w:cs="仿宋"/>
                <w:color w:val="auto"/>
                <w:szCs w:val="21"/>
              </w:rPr>
              <w:t>“视为申请人相互串通投标”</w:t>
            </w:r>
            <w:r>
              <w:rPr>
                <w:rFonts w:hint="eastAsia" w:ascii="仿宋" w:hAnsi="仿宋" w:eastAsia="仿宋" w:cs="仿宋"/>
                <w:color w:val="auto"/>
                <w:szCs w:val="21"/>
              </w:rPr>
              <w:t>的情形，同时写出串（围）标行为认定报告并签字。</w:t>
            </w:r>
          </w:p>
          <w:p>
            <w:pPr>
              <w:snapToGrid w:val="0"/>
              <w:jc w:val="left"/>
              <w:rPr>
                <w:rFonts w:ascii="仿宋" w:hAnsi="仿宋" w:eastAsia="仿宋" w:cs="仿宋"/>
                <w:color w:val="auto"/>
                <w:szCs w:val="21"/>
              </w:rPr>
            </w:pPr>
            <w:r>
              <w:rPr>
                <w:rFonts w:hint="eastAsia" w:ascii="仿宋" w:hAnsi="仿宋" w:eastAsia="仿宋" w:cs="仿宋"/>
                <w:color w:val="auto"/>
                <w:szCs w:val="21"/>
              </w:rPr>
              <w:t>六、申请人递交的已标价工程量清单未记录软硬件信息或造价软件锁实名信息的，或者经认定，记录的软硬件信息或造价软件锁实名信息被篡改的，按无效投标处理。</w:t>
            </w:r>
          </w:p>
          <w:p>
            <w:pPr>
              <w:snapToGrid w:val="0"/>
              <w:jc w:val="left"/>
              <w:rPr>
                <w:rFonts w:ascii="仿宋" w:hAnsi="仿宋" w:eastAsia="仿宋" w:cs="仿宋"/>
                <w:color w:val="auto"/>
                <w:szCs w:val="21"/>
              </w:rPr>
            </w:pPr>
            <w:r>
              <w:rPr>
                <w:rFonts w:hint="eastAsia" w:ascii="仿宋" w:hAnsi="仿宋" w:eastAsia="仿宋" w:cs="仿宋"/>
                <w:color w:val="auto"/>
                <w:szCs w:val="21"/>
              </w:rPr>
              <w:t>七、市住建局将建立计价软件电子加密锁实名信息管理库，对参与洛阳市房屋建筑和市政基础设施项目的，实行计价软件电子加密锁进行实名管理（具体要求详见附件）。申请人原则上应使用本单位的计价软件加密锁编制已标价工程量清单。行政监督部门对使用非本单位或个人计价软件加密锁编制已标价工程量清单的申请人，以及频繁变更加密锁信息的单位或个人，予以列入重点监管对象，同时对其参与投标的项目进行重点监管。</w:t>
            </w:r>
          </w:p>
        </w:tc>
      </w:tr>
    </w:tbl>
    <w:p>
      <w:pPr>
        <w:pStyle w:val="61"/>
        <w:rPr>
          <w:rFonts w:ascii="仿宋" w:hAnsi="仿宋" w:eastAsia="仿宋" w:cs="仿宋"/>
          <w:color w:val="auto"/>
          <w:sz w:val="21"/>
          <w:szCs w:val="21"/>
        </w:rPr>
      </w:pPr>
      <w:bookmarkStart w:id="9" w:name="_Toc179715693"/>
      <w:bookmarkStart w:id="10" w:name="_Toc144974404"/>
      <w:bookmarkStart w:id="11" w:name="_Toc152047200"/>
      <w:r>
        <w:rPr>
          <w:rFonts w:hint="eastAsia" w:ascii="仿宋" w:hAnsi="仿宋" w:eastAsia="仿宋" w:cs="仿宋"/>
          <w:color w:val="auto"/>
          <w:sz w:val="21"/>
          <w:szCs w:val="21"/>
        </w:rPr>
        <w:t>1. 总则</w:t>
      </w:r>
      <w:bookmarkEnd w:id="9"/>
      <w:bookmarkEnd w:id="10"/>
      <w:bookmarkEnd w:id="11"/>
    </w:p>
    <w:p>
      <w:pPr>
        <w:pStyle w:val="63"/>
        <w:rPr>
          <w:rFonts w:ascii="仿宋" w:hAnsi="仿宋" w:eastAsia="仿宋" w:cs="仿宋"/>
          <w:color w:val="auto"/>
          <w:sz w:val="21"/>
          <w:szCs w:val="21"/>
        </w:rPr>
      </w:pPr>
      <w:bookmarkStart w:id="12" w:name="_Toc144974405"/>
      <w:bookmarkStart w:id="13" w:name="_Toc152047201"/>
      <w:bookmarkStart w:id="14" w:name="_Toc179715694"/>
      <w:r>
        <w:rPr>
          <w:rFonts w:hint="eastAsia" w:ascii="仿宋" w:hAnsi="仿宋" w:eastAsia="仿宋" w:cs="仿宋"/>
          <w:color w:val="auto"/>
          <w:sz w:val="21"/>
          <w:szCs w:val="21"/>
        </w:rPr>
        <w:t>1.1 项目概况</w:t>
      </w:r>
      <w:bookmarkEnd w:id="12"/>
      <w:bookmarkEnd w:id="13"/>
      <w:bookmarkEnd w:id="14"/>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1.1.1根据《中华人民共和国招标投标法》等有关法律、法规和规章的规定，本招标项目已具备招标条件，现进行公开招标，特邀请有兴趣承担本项目的申请人提出资格预审申请。</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1.1.2 本招标项目招标人：见申请人须知前附表。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1.1.3 本招标项目招标代理机构：见申请人须知前附表。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1.1.4 本招标项目名称：见申请人须知前附表。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1.1.5 本招标项目建设地点：见申请人须知前附表。</w:t>
      </w:r>
    </w:p>
    <w:p>
      <w:pPr>
        <w:pStyle w:val="63"/>
        <w:rPr>
          <w:rFonts w:ascii="仿宋" w:hAnsi="仿宋" w:eastAsia="仿宋" w:cs="仿宋"/>
          <w:color w:val="auto"/>
          <w:sz w:val="21"/>
          <w:szCs w:val="21"/>
        </w:rPr>
      </w:pPr>
      <w:bookmarkStart w:id="15" w:name="_Toc179715695"/>
      <w:bookmarkStart w:id="16" w:name="_Toc144974406"/>
      <w:bookmarkStart w:id="17" w:name="_Toc152047202"/>
      <w:r>
        <w:rPr>
          <w:rFonts w:hint="eastAsia" w:ascii="仿宋" w:hAnsi="仿宋" w:eastAsia="仿宋" w:cs="仿宋"/>
          <w:color w:val="auto"/>
          <w:sz w:val="21"/>
          <w:szCs w:val="21"/>
        </w:rPr>
        <w:t>1.2 资金来源和落实情况</w:t>
      </w:r>
      <w:bookmarkEnd w:id="15"/>
      <w:bookmarkEnd w:id="16"/>
      <w:bookmarkEnd w:id="17"/>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1.2.1 本招标项目的资金来源：见申请人须知前附表。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1.2.3 本招标项目的资金落实情况：见申请人须知前附表。</w:t>
      </w:r>
    </w:p>
    <w:p>
      <w:pPr>
        <w:pStyle w:val="63"/>
        <w:rPr>
          <w:rFonts w:ascii="仿宋" w:hAnsi="仿宋" w:eastAsia="仿宋" w:cs="仿宋"/>
          <w:color w:val="auto"/>
          <w:sz w:val="21"/>
          <w:szCs w:val="21"/>
        </w:rPr>
      </w:pPr>
      <w:bookmarkStart w:id="18" w:name="_Toc144974407"/>
      <w:bookmarkStart w:id="19" w:name="_Toc152047203"/>
      <w:bookmarkStart w:id="20" w:name="_Toc179715696"/>
      <w:r>
        <w:rPr>
          <w:rFonts w:hint="eastAsia" w:ascii="仿宋" w:hAnsi="仿宋" w:eastAsia="仿宋" w:cs="仿宋"/>
          <w:color w:val="auto"/>
          <w:sz w:val="21"/>
          <w:szCs w:val="21"/>
        </w:rPr>
        <w:t>1.3 招标范围、计划工期和质量要求</w:t>
      </w:r>
      <w:bookmarkEnd w:id="18"/>
      <w:bookmarkEnd w:id="19"/>
      <w:bookmarkEnd w:id="20"/>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1.3.1 本招标项目招标范围：见申请人须知前附表。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1.3.2 本招标项目的计划工期：见申请人须知前附表。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1.3.3 本招标项目的质量要求：见申请人须知前附表。</w:t>
      </w:r>
    </w:p>
    <w:p>
      <w:pPr>
        <w:pStyle w:val="63"/>
        <w:rPr>
          <w:rFonts w:ascii="仿宋" w:hAnsi="仿宋" w:eastAsia="仿宋" w:cs="仿宋"/>
          <w:color w:val="auto"/>
          <w:sz w:val="21"/>
          <w:szCs w:val="21"/>
        </w:rPr>
      </w:pPr>
      <w:bookmarkStart w:id="21" w:name="_Toc179715697"/>
      <w:bookmarkStart w:id="22" w:name="_Toc152047204"/>
      <w:bookmarkStart w:id="23" w:name="_Toc144974408"/>
      <w:r>
        <w:rPr>
          <w:rFonts w:hint="eastAsia" w:ascii="仿宋" w:hAnsi="仿宋" w:eastAsia="仿宋" w:cs="仿宋"/>
          <w:color w:val="auto"/>
          <w:sz w:val="21"/>
          <w:szCs w:val="21"/>
        </w:rPr>
        <w:t>1.4 申请人资格要求</w:t>
      </w:r>
      <w:bookmarkEnd w:id="21"/>
      <w:bookmarkEnd w:id="22"/>
      <w:bookmarkEnd w:id="23"/>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1.4.1申请人应具备承担本项目施工的资质条件、能力和信誉并符合申请人前附表1.4.1项规定。</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1.4.2申请人不得存在下列情形之一：</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 xml:space="preserve">（1）为招标人不具有独立法人资格的附属机构（单位）； </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 xml:space="preserve">（2）为本项目前期提供咨询服务的，但设计施工总承包的除外； </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（3）为本项目的监理人；</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 xml:space="preserve">（4）为本项目的代建人； </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 xml:space="preserve">（5）为本项目提供招标代理服务的； </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（6）与本项目的监理人或代建人或招标代理机构同为一个法定代表人的；</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（7）与本项目的监理人或代建人或招标代理机构相互控股或参股的；</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（8）与本项目的监理人或代建人或招标代理机构相互任职或工作的；</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 xml:space="preserve">（9）被责令停业的； </w:t>
      </w:r>
    </w:p>
    <w:p>
      <w:pPr>
        <w:spacing w:line="400" w:lineRule="exact"/>
        <w:ind w:firstLine="718" w:firstLineChars="342"/>
        <w:rPr>
          <w:rFonts w:ascii="仿宋" w:hAnsi="仿宋" w:eastAsia="仿宋" w:cs="仿宋"/>
          <w:color w:val="auto"/>
          <w:szCs w:val="21"/>
        </w:rPr>
      </w:pPr>
      <w:bookmarkStart w:id="24" w:name="_Toc152047205"/>
      <w:bookmarkStart w:id="25" w:name="_Toc179715698"/>
      <w:bookmarkStart w:id="26" w:name="_Toc144974409"/>
      <w:r>
        <w:rPr>
          <w:rFonts w:hint="eastAsia" w:ascii="仿宋" w:hAnsi="仿宋" w:eastAsia="仿宋" w:cs="仿宋"/>
          <w:color w:val="auto"/>
          <w:szCs w:val="21"/>
        </w:rPr>
        <w:t>（10）被暂停或取消投标资格的；</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（11）财产被接管或冻结的；</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（12）在最近三年内有骗取中标或严重违约或重大工程质量问题的（重大工程质量问题以相关行业主管部门的行政处罚决定或司法机关出具的有关法律文书为准）。</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（13）被市场监督管理机关在全国企业信用信息公示系统中列入严重违法失信企业名单；</w:t>
      </w:r>
    </w:p>
    <w:p>
      <w:pPr>
        <w:spacing w:line="400" w:lineRule="exact"/>
        <w:ind w:firstLine="718" w:firstLineChars="342"/>
        <w:rPr>
          <w:rFonts w:ascii="仿宋" w:hAnsi="仿宋" w:eastAsia="仿宋" w:cs="仿宋"/>
          <w:color w:val="auto"/>
          <w:szCs w:val="21"/>
        </w:rPr>
      </w:pPr>
      <w:r>
        <w:rPr>
          <w:rFonts w:hint="eastAsia" w:ascii="仿宋" w:hAnsi="仿宋" w:eastAsia="仿宋" w:cs="仿宋"/>
          <w:color w:val="auto"/>
          <w:szCs w:val="21"/>
        </w:rPr>
        <w:t>（14）被最高人民法院在“信用中国”网站（www.creditchina.gov.cn）或各级信用信息共享平台中列入失信被执行人名单。</w:t>
      </w:r>
    </w:p>
    <w:p>
      <w:pPr>
        <w:pStyle w:val="63"/>
        <w:rPr>
          <w:rFonts w:ascii="仿宋" w:hAnsi="仿宋" w:eastAsia="仿宋" w:cs="仿宋"/>
          <w:color w:val="auto"/>
          <w:sz w:val="21"/>
          <w:szCs w:val="21"/>
        </w:rPr>
      </w:pPr>
      <w:r>
        <w:rPr>
          <w:rFonts w:hint="eastAsia" w:ascii="仿宋" w:hAnsi="仿宋" w:eastAsia="仿宋" w:cs="仿宋"/>
          <w:color w:val="auto"/>
          <w:sz w:val="21"/>
          <w:szCs w:val="21"/>
        </w:rPr>
        <w:t>1.5 语言文字</w:t>
      </w:r>
      <w:bookmarkEnd w:id="24"/>
      <w:bookmarkEnd w:id="25"/>
      <w:bookmarkEnd w:id="26"/>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除专用术语外，来往文件均使用中文。必要时专用术语应附有中文注释。</w:t>
      </w:r>
    </w:p>
    <w:p>
      <w:pPr>
        <w:pStyle w:val="63"/>
        <w:rPr>
          <w:rFonts w:ascii="仿宋" w:hAnsi="仿宋" w:eastAsia="仿宋" w:cs="仿宋"/>
          <w:color w:val="auto"/>
          <w:sz w:val="21"/>
          <w:szCs w:val="21"/>
        </w:rPr>
      </w:pPr>
      <w:bookmarkStart w:id="27" w:name="_Toc152047206"/>
      <w:bookmarkStart w:id="28" w:name="_Toc179715699"/>
      <w:bookmarkStart w:id="29" w:name="_Toc144974410"/>
      <w:r>
        <w:rPr>
          <w:rFonts w:hint="eastAsia" w:ascii="仿宋" w:hAnsi="仿宋" w:eastAsia="仿宋" w:cs="仿宋"/>
          <w:color w:val="auto"/>
          <w:sz w:val="21"/>
          <w:szCs w:val="21"/>
        </w:rPr>
        <w:t>1.6 费用承担</w:t>
      </w:r>
      <w:bookmarkEnd w:id="27"/>
      <w:bookmarkEnd w:id="28"/>
      <w:bookmarkEnd w:id="29"/>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申请人准备和参加资格预审发生的费用自理。</w:t>
      </w:r>
    </w:p>
    <w:p>
      <w:pPr>
        <w:pStyle w:val="61"/>
        <w:rPr>
          <w:rFonts w:ascii="仿宋" w:hAnsi="仿宋" w:eastAsia="仿宋" w:cs="仿宋"/>
          <w:color w:val="auto"/>
          <w:sz w:val="21"/>
          <w:szCs w:val="21"/>
        </w:rPr>
      </w:pPr>
      <w:bookmarkStart w:id="30" w:name="_Toc152047207"/>
      <w:bookmarkStart w:id="31" w:name="_Toc179715700"/>
      <w:bookmarkStart w:id="32" w:name="_Toc144974411"/>
      <w:r>
        <w:rPr>
          <w:rFonts w:hint="eastAsia" w:ascii="仿宋" w:hAnsi="仿宋" w:eastAsia="仿宋" w:cs="仿宋"/>
          <w:color w:val="auto"/>
          <w:sz w:val="21"/>
          <w:szCs w:val="21"/>
        </w:rPr>
        <w:t>2. 资格预审文件</w:t>
      </w:r>
      <w:bookmarkEnd w:id="30"/>
      <w:bookmarkEnd w:id="31"/>
      <w:bookmarkEnd w:id="32"/>
    </w:p>
    <w:p>
      <w:pPr>
        <w:pStyle w:val="63"/>
        <w:rPr>
          <w:rFonts w:ascii="仿宋" w:hAnsi="仿宋" w:eastAsia="仿宋" w:cs="仿宋"/>
          <w:color w:val="auto"/>
          <w:sz w:val="21"/>
          <w:szCs w:val="21"/>
        </w:rPr>
      </w:pPr>
      <w:bookmarkStart w:id="33" w:name="_Toc144974412"/>
      <w:bookmarkStart w:id="34" w:name="_Toc179715701"/>
      <w:bookmarkStart w:id="35" w:name="_Toc152047208"/>
      <w:bookmarkStart w:id="36" w:name="_Toc152047211"/>
      <w:bookmarkStart w:id="37" w:name="_Toc144974415"/>
      <w:bookmarkStart w:id="38" w:name="_Toc179715704"/>
      <w:r>
        <w:rPr>
          <w:rFonts w:hint="eastAsia" w:ascii="仿宋" w:hAnsi="仿宋" w:eastAsia="仿宋" w:cs="仿宋"/>
          <w:color w:val="auto"/>
          <w:sz w:val="21"/>
          <w:szCs w:val="21"/>
        </w:rPr>
        <w:t>2.1 资格预审文件的组成</w:t>
      </w:r>
      <w:bookmarkEnd w:id="33"/>
      <w:bookmarkEnd w:id="34"/>
      <w:bookmarkEnd w:id="35"/>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2.1.1 本次资格预审文件包括资格预审公告、申请人须知、资格审查办法、资格预审申请文件格式，以及根据本章第2.2款对资格预审文件的澄清和第2.3款对资格预审文件的修改。</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2.1.2 当资格预审文件、资格预审文件的澄清或修改等在同一内容的表述上不一致时，以最后发出的文件为准。</w:t>
      </w:r>
    </w:p>
    <w:p>
      <w:pPr>
        <w:pStyle w:val="63"/>
        <w:rPr>
          <w:rFonts w:ascii="仿宋" w:hAnsi="仿宋" w:eastAsia="仿宋" w:cs="仿宋"/>
          <w:color w:val="auto"/>
          <w:sz w:val="21"/>
          <w:szCs w:val="21"/>
        </w:rPr>
      </w:pPr>
      <w:bookmarkStart w:id="39" w:name="_Toc152047209"/>
      <w:bookmarkStart w:id="40" w:name="_Toc179715702"/>
      <w:bookmarkStart w:id="41" w:name="_Toc144974413"/>
      <w:r>
        <w:rPr>
          <w:rFonts w:hint="eastAsia" w:ascii="仿宋" w:hAnsi="仿宋" w:eastAsia="仿宋" w:cs="仿宋"/>
          <w:color w:val="auto"/>
          <w:sz w:val="21"/>
          <w:szCs w:val="21"/>
        </w:rPr>
        <w:t>2.2 资格预审文件的澄清</w:t>
      </w:r>
      <w:bookmarkEnd w:id="39"/>
      <w:bookmarkEnd w:id="40"/>
      <w:bookmarkEnd w:id="41"/>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2.2.1 申请人应仔细阅读和检查资格预审文件的全部内容。如有疑问，应在申请人须知前附表规定的时间前以书面形式（包括信函、电报、传真等可以有形表现所载内容的形式，下同），要求招标人对资格预审文件进行澄清。</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2.2.2 招标人应在申请人须知前附表规定的时间前，通过与招标公告同步的网站上发布发布澄清内容，但不指明澄清问题的来源。</w:t>
      </w:r>
    </w:p>
    <w:p>
      <w:pPr>
        <w:spacing w:line="360" w:lineRule="auto"/>
        <w:ind w:firstLine="420" w:firstLineChars="200"/>
        <w:rPr>
          <w:color w:val="auto"/>
        </w:rPr>
      </w:pPr>
      <w:r>
        <w:rPr>
          <w:rFonts w:hint="eastAsia" w:ascii="仿宋" w:hAnsi="仿宋" w:eastAsia="仿宋" w:cs="仿宋"/>
          <w:color w:val="auto"/>
          <w:szCs w:val="21"/>
        </w:rPr>
        <w:t>2.2.3 因洛阳市电子招投标交易平台在开标前具有保密性，申请人在投标文件递交截止时间前须自行查看项目进展、变更通知、澄清及回复，因申请人未及时查看而造成的后果自负。</w:t>
      </w:r>
    </w:p>
    <w:p>
      <w:pPr>
        <w:pStyle w:val="63"/>
        <w:rPr>
          <w:rFonts w:ascii="仿宋" w:hAnsi="仿宋" w:eastAsia="仿宋" w:cs="仿宋"/>
          <w:color w:val="auto"/>
          <w:sz w:val="21"/>
          <w:szCs w:val="21"/>
        </w:rPr>
      </w:pPr>
      <w:bookmarkStart w:id="42" w:name="_Toc179715703"/>
      <w:bookmarkStart w:id="43" w:name="_Toc144974414"/>
      <w:bookmarkStart w:id="44" w:name="_Toc152047210"/>
      <w:r>
        <w:rPr>
          <w:rFonts w:hint="eastAsia" w:ascii="仿宋" w:hAnsi="仿宋" w:eastAsia="仿宋" w:cs="仿宋"/>
          <w:color w:val="auto"/>
          <w:sz w:val="21"/>
          <w:szCs w:val="21"/>
        </w:rPr>
        <w:t>2.3 资格预审文件的修改</w:t>
      </w:r>
      <w:bookmarkEnd w:id="42"/>
      <w:bookmarkEnd w:id="43"/>
      <w:bookmarkEnd w:id="44"/>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 xml:space="preserve">2.3.1 在申请人须知前附表规定的时间前，如需修改资格预审文件，资格预审文件的澄清与修改将在与招标公告同步的网站上发布“变更公告”，同时在洛阳市电子招投标交易平台发布“答疑文件”（答疑文件指修改后最新的资格预审文件）。对于各项目中已经成功报名并下载资格预审文件的申请人，将通过第三方短信群发方式提醒申请人进行查询。各申请人须重新下载最新的“答疑文件”，并以此编制投标文件。如不以最新发布的“答疑文件”编制投标文件，造成投标无效的后果由申请人自己承担。在申请人须知前附表规定的时间后修改资格预审文件的，招标人应相应顺延申请截止时间。 </w:t>
      </w:r>
    </w:p>
    <w:p>
      <w:pPr>
        <w:pStyle w:val="61"/>
        <w:ind w:firstLine="420" w:firstLineChars="200"/>
        <w:rPr>
          <w:rFonts w:ascii="仿宋" w:hAnsi="仿宋" w:eastAsia="仿宋" w:cs="仿宋"/>
          <w:color w:val="auto"/>
          <w:sz w:val="21"/>
          <w:szCs w:val="21"/>
        </w:rPr>
      </w:pPr>
      <w:r>
        <w:rPr>
          <w:rFonts w:hint="eastAsia" w:ascii="仿宋" w:hAnsi="仿宋" w:eastAsia="仿宋" w:cs="仿宋"/>
          <w:color w:val="auto"/>
          <w:sz w:val="21"/>
          <w:szCs w:val="21"/>
        </w:rPr>
        <w:t>2.3.2 因洛阳市电子招投标交易平台在开标前具有保密性，申请人在投标文件递交截止时间前须自行查看项目进展、变更通知、澄清及回复，因申请人未及时查看而造成的后果自负。</w:t>
      </w:r>
    </w:p>
    <w:p>
      <w:pPr>
        <w:pStyle w:val="61"/>
        <w:rPr>
          <w:rFonts w:ascii="仿宋" w:hAnsi="仿宋" w:eastAsia="仿宋" w:cs="仿宋"/>
          <w:color w:val="auto"/>
          <w:sz w:val="21"/>
          <w:szCs w:val="21"/>
        </w:rPr>
      </w:pPr>
      <w:r>
        <w:rPr>
          <w:rFonts w:hint="eastAsia" w:ascii="仿宋" w:hAnsi="仿宋" w:eastAsia="仿宋" w:cs="仿宋"/>
          <w:color w:val="auto"/>
          <w:sz w:val="21"/>
          <w:szCs w:val="21"/>
        </w:rPr>
        <w:t>3. 资格预审申请文件的编制</w:t>
      </w:r>
      <w:bookmarkEnd w:id="36"/>
      <w:bookmarkEnd w:id="37"/>
      <w:bookmarkEnd w:id="38"/>
    </w:p>
    <w:p>
      <w:pPr>
        <w:pStyle w:val="63"/>
        <w:rPr>
          <w:rFonts w:ascii="仿宋" w:hAnsi="仿宋" w:eastAsia="仿宋" w:cs="仿宋"/>
          <w:color w:val="auto"/>
          <w:sz w:val="21"/>
          <w:szCs w:val="21"/>
        </w:rPr>
      </w:pPr>
      <w:bookmarkStart w:id="45" w:name="_Toc152047212"/>
      <w:bookmarkStart w:id="46" w:name="_Toc179715705"/>
      <w:bookmarkStart w:id="47" w:name="_Toc144974416"/>
      <w:r>
        <w:rPr>
          <w:rFonts w:hint="eastAsia" w:ascii="仿宋" w:hAnsi="仿宋" w:eastAsia="仿宋" w:cs="仿宋"/>
          <w:color w:val="auto"/>
          <w:sz w:val="21"/>
          <w:szCs w:val="21"/>
        </w:rPr>
        <w:t>3.1 资格预审申请文件的组成</w:t>
      </w:r>
      <w:bookmarkEnd w:id="45"/>
      <w:bookmarkEnd w:id="46"/>
      <w:bookmarkEnd w:id="47"/>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3.1.1 资格预审申请文件应包括下列内容：</w:t>
      </w:r>
    </w:p>
    <w:p>
      <w:pPr>
        <w:adjustRightInd w:val="0"/>
        <w:snapToGrid w:val="0"/>
        <w:spacing w:line="360" w:lineRule="auto"/>
        <w:ind w:firstLine="420" w:firstLineChars="200"/>
        <w:rPr>
          <w:rFonts w:ascii="仿宋" w:hAnsi="仿宋" w:eastAsia="仿宋" w:cs="仿宋"/>
          <w:color w:val="auto"/>
          <w:szCs w:val="21"/>
        </w:rPr>
      </w:pPr>
      <w:bookmarkStart w:id="48" w:name="_Toc144974417"/>
      <w:bookmarkStart w:id="49" w:name="_Toc179715706"/>
      <w:bookmarkStart w:id="50" w:name="_Toc152047213"/>
      <w:r>
        <w:rPr>
          <w:rFonts w:hint="eastAsia" w:ascii="仿宋" w:hAnsi="仿宋" w:eastAsia="仿宋" w:cs="仿宋"/>
          <w:color w:val="auto"/>
          <w:szCs w:val="21"/>
        </w:rPr>
        <w:t>1、资格预审申请函</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2、法定代表人身份证明及授权委托书</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3、申请人基本情况表</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4、近年财务状况表</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5、201</w:t>
      </w:r>
      <w:r>
        <w:rPr>
          <w:rFonts w:hint="eastAsia" w:ascii="仿宋" w:hAnsi="仿宋" w:eastAsia="仿宋" w:cs="仿宋"/>
          <w:color w:val="auto"/>
          <w:szCs w:val="21"/>
          <w:lang w:val="en-US" w:eastAsia="zh-CN"/>
        </w:rPr>
        <w:t>9</w:t>
      </w:r>
      <w:r>
        <w:rPr>
          <w:rFonts w:hint="eastAsia" w:ascii="仿宋" w:hAnsi="仿宋" w:eastAsia="仿宋" w:cs="仿宋"/>
          <w:color w:val="auto"/>
          <w:szCs w:val="21"/>
        </w:rPr>
        <w:t>年1月1日以来承担的类似项目情况表</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6、近年发生的诉讼及仲裁情况</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7、获奖证明材料</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8、</w:t>
      </w:r>
      <w:r>
        <w:rPr>
          <w:rFonts w:hint="eastAsia" w:ascii="仿宋" w:hAnsi="仿宋" w:eastAsia="仿宋" w:cs="仿宋"/>
          <w:color w:val="auto"/>
          <w:spacing w:val="-9"/>
          <w:kern w:val="0"/>
          <w:szCs w:val="21"/>
        </w:rPr>
        <w:t xml:space="preserve">扬尘污染防治和建筑垃圾处置方案 </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9、其他工程技术管理要素</w:t>
      </w:r>
    </w:p>
    <w:p>
      <w:pPr>
        <w:adjustRightInd w:val="0"/>
        <w:snapToGrid w:val="0"/>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10、其他资料</w:t>
      </w:r>
    </w:p>
    <w:p>
      <w:pPr>
        <w:spacing w:line="360" w:lineRule="auto"/>
        <w:rPr>
          <w:rFonts w:ascii="仿宋" w:hAnsi="仿宋" w:eastAsia="仿宋" w:cs="仿宋"/>
          <w:color w:val="auto"/>
          <w:szCs w:val="21"/>
        </w:rPr>
      </w:pPr>
      <w:r>
        <w:rPr>
          <w:rFonts w:hint="eastAsia" w:ascii="仿宋" w:hAnsi="仿宋" w:eastAsia="仿宋" w:cs="仿宋"/>
          <w:color w:val="auto"/>
          <w:szCs w:val="21"/>
        </w:rPr>
        <w:t>3.2 资格预审申请文件的编制要求</w:t>
      </w:r>
      <w:bookmarkEnd w:id="48"/>
      <w:bookmarkEnd w:id="49"/>
      <w:bookmarkEnd w:id="50"/>
      <w:bookmarkStart w:id="51" w:name="_Toc144974418"/>
      <w:bookmarkStart w:id="52" w:name="_Toc152047214"/>
      <w:bookmarkStart w:id="53" w:name="_Toc179715707"/>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3.2.1 资格预审申请文件应按第四章“资格预审申请文件格式”进行编写，如有必要，可以增加附页，并作为资格预审申请文件的组成部分。</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3.2.2 法定代表人授权委托书必须由法定代表人电子签章。</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3.2.3 “申请人基本情况表”应附申请人营业执照副本证明材料、资质证书副本和安全</w:t>
      </w:r>
    </w:p>
    <w:p>
      <w:pPr>
        <w:spacing w:line="400" w:lineRule="exact"/>
        <w:rPr>
          <w:rFonts w:ascii="仿宋" w:hAnsi="仿宋" w:eastAsia="仿宋" w:cs="仿宋"/>
          <w:color w:val="auto"/>
          <w:szCs w:val="21"/>
        </w:rPr>
      </w:pPr>
      <w:r>
        <w:rPr>
          <w:rFonts w:hint="eastAsia" w:ascii="仿宋" w:hAnsi="仿宋" w:eastAsia="仿宋" w:cs="仿宋"/>
          <w:color w:val="auto"/>
          <w:szCs w:val="21"/>
        </w:rPr>
        <w:t>生产许可证等材料的扫描件。</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3.2.4 “近年财务状况表”应附经会计师事务所或审计机构审计的财务会计报表的扫描件，具体年份要求见申请人须知前附表。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3.2.5 “近年完成的类似项目情况表”应附中标通知书和合同的扫描件，具体年份要求见申请人须知前附表。每张表格只填写一个项目，并标明序号。</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3.2.6 “近年发生的诉讼及仲裁情况”，如有应说明相关情况，并附法院或仲裁机构作出的判决、裁决等有关法律文书扫描件，具体年份要求见申请人须知前附表。</w:t>
      </w:r>
    </w:p>
    <w:p>
      <w:pPr>
        <w:spacing w:line="400" w:lineRule="exact"/>
        <w:rPr>
          <w:rFonts w:ascii="仿宋" w:hAnsi="仿宋" w:eastAsia="仿宋" w:cs="仿宋"/>
          <w:color w:val="auto"/>
          <w:szCs w:val="21"/>
        </w:rPr>
      </w:pPr>
      <w:r>
        <w:rPr>
          <w:rFonts w:hint="eastAsia" w:ascii="仿宋" w:hAnsi="仿宋" w:eastAsia="仿宋" w:cs="仿宋"/>
          <w:color w:val="auto"/>
          <w:szCs w:val="21"/>
        </w:rPr>
        <w:t>3.3 资格预审申请文件的</w:t>
      </w:r>
      <w:bookmarkEnd w:id="51"/>
      <w:bookmarkEnd w:id="52"/>
      <w:bookmarkEnd w:id="53"/>
      <w:r>
        <w:rPr>
          <w:rFonts w:hint="eastAsia" w:ascii="仿宋" w:hAnsi="仿宋" w:eastAsia="仿宋" w:cs="仿宋"/>
          <w:color w:val="auto"/>
          <w:szCs w:val="21"/>
        </w:rPr>
        <w:t>编制</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3.3.1申请人应按本章第3.1款和第3.2款的要求，编制完整的资格预审申请文件，申请文件格式中要求盖单位章和（或）签字的地方，申请均应使用 CA 数字证书加盖申请人的单位电子签章和（或）法定代表人的个人电子签章。（联合体投标的，仅需牵头人加盖电子签章）。签字或盖章的具体要求见申请人须知前附表。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3.3.2 资格预审申请文件加密的电子响应文件一份（*.lytf 格式）。</w:t>
      </w:r>
    </w:p>
    <w:p>
      <w:pPr>
        <w:pStyle w:val="61"/>
        <w:rPr>
          <w:rFonts w:ascii="仿宋" w:hAnsi="仿宋" w:eastAsia="仿宋" w:cs="仿宋"/>
          <w:color w:val="auto"/>
          <w:sz w:val="21"/>
          <w:szCs w:val="21"/>
        </w:rPr>
      </w:pPr>
      <w:bookmarkStart w:id="54" w:name="_Toc179715708"/>
      <w:bookmarkStart w:id="55" w:name="_Toc152047215"/>
      <w:bookmarkStart w:id="56" w:name="_Toc144974419"/>
      <w:r>
        <w:rPr>
          <w:rFonts w:hint="eastAsia" w:ascii="仿宋" w:hAnsi="仿宋" w:eastAsia="仿宋" w:cs="仿宋"/>
          <w:color w:val="auto"/>
          <w:sz w:val="21"/>
          <w:szCs w:val="21"/>
        </w:rPr>
        <w:t>4. 资格预审申请文件的递交</w:t>
      </w:r>
      <w:bookmarkEnd w:id="54"/>
      <w:bookmarkEnd w:id="55"/>
      <w:bookmarkEnd w:id="56"/>
    </w:p>
    <w:p>
      <w:pPr>
        <w:pStyle w:val="63"/>
        <w:rPr>
          <w:rFonts w:ascii="仿宋" w:hAnsi="仿宋" w:eastAsia="仿宋" w:cs="仿宋"/>
          <w:color w:val="auto"/>
          <w:sz w:val="21"/>
          <w:szCs w:val="21"/>
        </w:rPr>
      </w:pPr>
      <w:bookmarkStart w:id="57" w:name="_Toc144974421"/>
      <w:bookmarkStart w:id="58" w:name="_Toc152047217"/>
      <w:bookmarkStart w:id="59" w:name="_Toc179715710"/>
      <w:r>
        <w:rPr>
          <w:rFonts w:hint="eastAsia" w:ascii="仿宋" w:hAnsi="仿宋" w:eastAsia="仿宋" w:cs="仿宋"/>
          <w:color w:val="auto"/>
          <w:sz w:val="21"/>
          <w:szCs w:val="21"/>
        </w:rPr>
        <w:t>4.1 资格预审申请文件的递交</w:t>
      </w:r>
      <w:bookmarkEnd w:id="57"/>
      <w:bookmarkEnd w:id="58"/>
      <w:bookmarkEnd w:id="59"/>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4.1.1 申请截止时间：见申请人须知前附表。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4.1.2 申请人递交资格预审申请文件的地点：见申请人须知前附表。</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4.1.3 除申请人须知前附表另有规定的外，申请人所递交的资格预审申请文件不予退还。</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4.1.4申请人应在投标截止时间前上传加密的电子资格预审申请文件（*.lytf）到洛阳市电子招投标交易平台指定位置。上传时申请人须使用制作该资格预审申请文件的同一CA锁进行上传操作。请申请人在上传时认真检查上传资格预审申请文件是否完整、正确。申请人应充分考虑上传文件时的不可预见因素，未在投标截止时间前完成上传的，视为逾期送达，洛阳市电子招投标交易平台将拒绝接收。上传成功后将得到上传成功的确认。</w:t>
      </w:r>
    </w:p>
    <w:p>
      <w:pPr>
        <w:spacing w:line="400" w:lineRule="exact"/>
        <w:ind w:firstLine="420" w:firstLineChars="200"/>
        <w:rPr>
          <w:rFonts w:ascii="仿宋" w:hAnsi="仿宋" w:eastAsia="仿宋" w:cs="仿宋"/>
          <w:color w:val="auto"/>
          <w:szCs w:val="21"/>
        </w:rPr>
      </w:pPr>
      <w:bookmarkStart w:id="60" w:name="_Toc152047218"/>
      <w:bookmarkStart w:id="61" w:name="_Toc144974422"/>
      <w:bookmarkStart w:id="62" w:name="_Toc179715711"/>
      <w:r>
        <w:rPr>
          <w:rFonts w:hint="eastAsia" w:ascii="仿宋" w:hAnsi="仿宋" w:eastAsia="仿宋" w:cs="仿宋"/>
          <w:color w:val="auto"/>
          <w:szCs w:val="21"/>
        </w:rPr>
        <w:t>4.1.5申请人因洛阳市电子招投标交易平台问题无法上传电子资格预审申请文件时，请在工作时间与交易中心联系。联系方式见资格预审公告。</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4.1.6 除申请人须知前附表另有规定外，申请人所提交的资格预审申请文件不予退还。</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4.1.7 逾期送达的资格预审申请文件，电子招标投标交易平台将予以拒收。</w:t>
      </w:r>
    </w:p>
    <w:p>
      <w:pPr>
        <w:pStyle w:val="63"/>
        <w:spacing w:line="360" w:lineRule="auto"/>
        <w:rPr>
          <w:rFonts w:ascii="仿宋" w:hAnsi="仿宋" w:eastAsia="仿宋" w:cs="仿宋"/>
          <w:color w:val="auto"/>
        </w:rPr>
      </w:pPr>
      <w:bookmarkStart w:id="63" w:name="_Toc1622"/>
      <w:r>
        <w:rPr>
          <w:rFonts w:hint="eastAsia" w:ascii="仿宋" w:hAnsi="仿宋" w:eastAsia="仿宋" w:cs="仿宋"/>
          <w:color w:val="auto"/>
        </w:rPr>
        <w:t>4.2资格预审申请文件的修改与撤回</w:t>
      </w:r>
      <w:bookmarkEnd w:id="63"/>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4.2.1 在投标截止时间前，申请人可以修改或撤回已递交的资格预审申请文件。申请人对加密的资格预审申请文件进行撤回的，应在洛阳市公共资源交易网（http://www.lyggzyjy.cn）-“洛阳市电子招投标交易平台”直接进行撤回操作；申请人对加密的资格预审申请文件进行修改的，应在投标截止时间前完成上传。</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4.2.2 申请人修改资格预审申请文件的，应使用规定的资格预审申请文件制作工具制作成完整的资格预审申请文件，并按照规定进行编制、加密和递交。对采用网上递交的加密的资格预审申请文件，以投标截止时间前最后完成上传的文件为准。</w:t>
      </w:r>
    </w:p>
    <w:p>
      <w:pPr>
        <w:pStyle w:val="61"/>
        <w:rPr>
          <w:rFonts w:ascii="仿宋" w:hAnsi="仿宋" w:eastAsia="仿宋" w:cs="仿宋"/>
          <w:color w:val="auto"/>
          <w:sz w:val="21"/>
          <w:szCs w:val="21"/>
        </w:rPr>
      </w:pPr>
      <w:r>
        <w:rPr>
          <w:rFonts w:hint="eastAsia" w:ascii="仿宋" w:hAnsi="仿宋" w:eastAsia="仿宋" w:cs="仿宋"/>
          <w:color w:val="auto"/>
          <w:sz w:val="21"/>
          <w:szCs w:val="21"/>
        </w:rPr>
        <w:t>5．资格预审申请文件的审查</w:t>
      </w:r>
      <w:bookmarkEnd w:id="60"/>
      <w:bookmarkEnd w:id="61"/>
      <w:bookmarkEnd w:id="62"/>
    </w:p>
    <w:p>
      <w:pPr>
        <w:pStyle w:val="63"/>
        <w:rPr>
          <w:rFonts w:ascii="仿宋" w:hAnsi="仿宋" w:eastAsia="仿宋" w:cs="仿宋"/>
          <w:color w:val="auto"/>
          <w:sz w:val="21"/>
          <w:szCs w:val="21"/>
        </w:rPr>
      </w:pPr>
      <w:bookmarkStart w:id="64" w:name="_Toc179715712"/>
      <w:bookmarkStart w:id="65" w:name="_Toc144974423"/>
      <w:bookmarkStart w:id="66" w:name="_Toc152047219"/>
      <w:r>
        <w:rPr>
          <w:rFonts w:hint="eastAsia" w:ascii="仿宋" w:hAnsi="仿宋" w:eastAsia="仿宋" w:cs="仿宋"/>
          <w:color w:val="auto"/>
          <w:sz w:val="21"/>
          <w:szCs w:val="21"/>
        </w:rPr>
        <w:t>5.1 审查委员会</w:t>
      </w:r>
      <w:bookmarkEnd w:id="64"/>
      <w:bookmarkEnd w:id="65"/>
      <w:bookmarkEnd w:id="66"/>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5.1.1资格预审申请文件由招标人组建的审查委员会负责审查。审查委员会参照《中华人民共和国招标投标法》第三十七条规定组建。</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5.1.2 审查委员会人数：见申请人须知前附表。</w:t>
      </w:r>
    </w:p>
    <w:p>
      <w:pPr>
        <w:pStyle w:val="63"/>
        <w:rPr>
          <w:rFonts w:ascii="仿宋" w:hAnsi="仿宋" w:eastAsia="仿宋" w:cs="仿宋"/>
          <w:color w:val="auto"/>
          <w:sz w:val="21"/>
          <w:szCs w:val="21"/>
        </w:rPr>
      </w:pPr>
      <w:bookmarkStart w:id="67" w:name="_Toc152047220"/>
      <w:bookmarkStart w:id="68" w:name="_Toc179715713"/>
      <w:bookmarkStart w:id="69" w:name="_Toc144974424"/>
      <w:r>
        <w:rPr>
          <w:rFonts w:hint="eastAsia" w:ascii="仿宋" w:hAnsi="仿宋" w:eastAsia="仿宋" w:cs="仿宋"/>
          <w:color w:val="auto"/>
          <w:sz w:val="21"/>
          <w:szCs w:val="21"/>
        </w:rPr>
        <w:t>5.2 资格审查</w:t>
      </w:r>
      <w:bookmarkEnd w:id="67"/>
      <w:bookmarkEnd w:id="68"/>
      <w:bookmarkEnd w:id="69"/>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审查委员会根据申请人须知前附表规定的方法和第三章“资格审查办法”中规定的审查标准，对所有已受理的资格预审申请文件进行审查。没有规定的方法和标准不得作为审查依据。</w:t>
      </w:r>
    </w:p>
    <w:p>
      <w:pPr>
        <w:spacing w:line="360" w:lineRule="auto"/>
        <w:ind w:firstLine="209" w:firstLineChars="99"/>
        <w:rPr>
          <w:rFonts w:ascii="仿宋" w:hAnsi="仿宋" w:eastAsia="仿宋" w:cs="仿宋"/>
          <w:b/>
          <w:bCs/>
          <w:color w:val="auto"/>
          <w:szCs w:val="21"/>
        </w:rPr>
      </w:pPr>
      <w:r>
        <w:rPr>
          <w:rFonts w:hint="eastAsia" w:ascii="仿宋" w:hAnsi="仿宋" w:eastAsia="仿宋" w:cs="仿宋"/>
          <w:b/>
          <w:bCs/>
          <w:color w:val="auto"/>
          <w:szCs w:val="21"/>
        </w:rPr>
        <w:t>5.3 资格审查时申请人出现下列情况之一者为，取消参加预审资格：</w:t>
      </w:r>
    </w:p>
    <w:p>
      <w:pPr>
        <w:spacing w:line="360" w:lineRule="auto"/>
        <w:ind w:firstLine="209" w:firstLineChars="99"/>
        <w:rPr>
          <w:rFonts w:ascii="仿宋" w:hAnsi="仿宋" w:eastAsia="仿宋" w:cs="仿宋"/>
          <w:b/>
          <w:color w:val="auto"/>
          <w:szCs w:val="21"/>
        </w:rPr>
      </w:pPr>
      <w:r>
        <w:rPr>
          <w:rFonts w:hint="eastAsia" w:ascii="仿宋" w:hAnsi="仿宋" w:eastAsia="仿宋" w:cs="仿宋"/>
          <w:b/>
          <w:color w:val="auto"/>
          <w:szCs w:val="21"/>
        </w:rPr>
        <w:t>(1) 开标时，因申请人自身原因而导致投标文件无法导入“全国公共资源交易平台（河南省·洛阳市）”（http://www.lyggzyjy.cn）-“洛阳市电子招投标交易平台”电子开标、评标系统的；；</w:t>
      </w:r>
    </w:p>
    <w:p>
      <w:pPr>
        <w:spacing w:line="360" w:lineRule="auto"/>
        <w:ind w:left="94" w:leftChars="45" w:firstLine="103" w:firstLineChars="49"/>
        <w:rPr>
          <w:rFonts w:ascii="仿宋" w:hAnsi="仿宋" w:eastAsia="仿宋" w:cs="仿宋"/>
          <w:b/>
          <w:color w:val="auto"/>
          <w:szCs w:val="21"/>
        </w:rPr>
      </w:pPr>
      <w:r>
        <w:rPr>
          <w:rFonts w:hint="eastAsia" w:ascii="仿宋" w:hAnsi="仿宋" w:eastAsia="仿宋" w:cs="仿宋"/>
          <w:b/>
          <w:color w:val="auto"/>
          <w:szCs w:val="21"/>
        </w:rPr>
        <w:t>(2) 资格预审申请文件不按规定加盖电子签章的；</w:t>
      </w:r>
    </w:p>
    <w:p>
      <w:pPr>
        <w:spacing w:line="360" w:lineRule="auto"/>
        <w:ind w:left="107" w:leftChars="51" w:firstLine="103" w:firstLineChars="49"/>
        <w:rPr>
          <w:rFonts w:ascii="仿宋" w:hAnsi="仿宋" w:eastAsia="仿宋" w:cs="仿宋"/>
          <w:b/>
          <w:color w:val="auto"/>
          <w:szCs w:val="21"/>
        </w:rPr>
      </w:pPr>
      <w:r>
        <w:rPr>
          <w:rFonts w:hint="eastAsia" w:ascii="仿宋" w:hAnsi="仿宋" w:eastAsia="仿宋" w:cs="仿宋"/>
          <w:b/>
          <w:color w:val="auto"/>
          <w:szCs w:val="21"/>
        </w:rPr>
        <w:t>(3) 资格预审申请文件的关键内容字迹模糊，无法辩认的；</w:t>
      </w:r>
    </w:p>
    <w:p>
      <w:pPr>
        <w:spacing w:line="360" w:lineRule="auto"/>
        <w:rPr>
          <w:rFonts w:ascii="仿宋" w:hAnsi="仿宋" w:eastAsia="仿宋" w:cs="仿宋"/>
          <w:color w:val="auto"/>
          <w:szCs w:val="21"/>
        </w:rPr>
      </w:pPr>
      <w:bookmarkStart w:id="70" w:name="_Toc179715714"/>
      <w:bookmarkStart w:id="71" w:name="_Toc152047221"/>
      <w:bookmarkStart w:id="72" w:name="_Toc144974425"/>
      <w:r>
        <w:rPr>
          <w:rFonts w:hint="eastAsia" w:ascii="仿宋" w:hAnsi="仿宋" w:eastAsia="仿宋" w:cs="仿宋"/>
          <w:color w:val="auto"/>
          <w:szCs w:val="21"/>
        </w:rPr>
        <w:t>6. 通知和确认</w:t>
      </w:r>
      <w:bookmarkEnd w:id="70"/>
      <w:bookmarkEnd w:id="71"/>
      <w:bookmarkEnd w:id="72"/>
      <w:bookmarkStart w:id="73" w:name="_Toc152047222"/>
      <w:bookmarkStart w:id="74" w:name="_Toc179715715"/>
      <w:bookmarkStart w:id="75" w:name="_Toc144974426"/>
    </w:p>
    <w:p>
      <w:pPr>
        <w:spacing w:line="360" w:lineRule="auto"/>
        <w:rPr>
          <w:rFonts w:ascii="仿宋" w:hAnsi="仿宋" w:eastAsia="仿宋" w:cs="仿宋"/>
          <w:color w:val="auto"/>
          <w:szCs w:val="21"/>
        </w:rPr>
      </w:pPr>
      <w:r>
        <w:rPr>
          <w:rFonts w:hint="eastAsia" w:ascii="仿宋" w:hAnsi="仿宋" w:eastAsia="仿宋" w:cs="仿宋"/>
          <w:color w:val="auto"/>
          <w:szCs w:val="21"/>
        </w:rPr>
        <w:t>6.1 通知</w:t>
      </w:r>
      <w:bookmarkEnd w:id="73"/>
      <w:bookmarkEnd w:id="74"/>
      <w:bookmarkEnd w:id="75"/>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招标人在申请人须知前附表规定的时间内以书面形式将资格预审结果通知申请人，并向通过资格预审的申请人发出投标邀请书。</w:t>
      </w:r>
    </w:p>
    <w:p>
      <w:pPr>
        <w:pStyle w:val="63"/>
        <w:rPr>
          <w:rFonts w:ascii="仿宋" w:hAnsi="仿宋" w:eastAsia="仿宋" w:cs="仿宋"/>
          <w:color w:val="auto"/>
          <w:sz w:val="21"/>
          <w:szCs w:val="21"/>
        </w:rPr>
      </w:pPr>
      <w:bookmarkStart w:id="76" w:name="_Toc152047223"/>
      <w:bookmarkStart w:id="77" w:name="_Toc179715716"/>
      <w:bookmarkStart w:id="78" w:name="_Toc144974427"/>
      <w:r>
        <w:rPr>
          <w:rFonts w:hint="eastAsia" w:ascii="仿宋" w:hAnsi="仿宋" w:eastAsia="仿宋" w:cs="仿宋"/>
          <w:color w:val="auto"/>
          <w:sz w:val="21"/>
          <w:szCs w:val="21"/>
        </w:rPr>
        <w:t>6.2 解释</w:t>
      </w:r>
      <w:bookmarkEnd w:id="76"/>
      <w:bookmarkEnd w:id="77"/>
      <w:bookmarkEnd w:id="78"/>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应申请人书面要求，招标人应对资格预审结果作出解释，但不保证申请人对解释内容满意。</w:t>
      </w:r>
    </w:p>
    <w:p>
      <w:pPr>
        <w:pStyle w:val="63"/>
        <w:rPr>
          <w:rFonts w:ascii="仿宋" w:hAnsi="仿宋" w:eastAsia="仿宋" w:cs="仿宋"/>
          <w:color w:val="auto"/>
          <w:sz w:val="21"/>
          <w:szCs w:val="21"/>
        </w:rPr>
      </w:pPr>
      <w:bookmarkStart w:id="79" w:name="_Toc152047224"/>
      <w:bookmarkStart w:id="80" w:name="_Toc144974428"/>
      <w:bookmarkStart w:id="81" w:name="_Toc179715717"/>
      <w:r>
        <w:rPr>
          <w:rFonts w:hint="eastAsia" w:ascii="仿宋" w:hAnsi="仿宋" w:eastAsia="仿宋" w:cs="仿宋"/>
          <w:color w:val="auto"/>
          <w:sz w:val="21"/>
          <w:szCs w:val="21"/>
        </w:rPr>
        <w:t>6.3 确认</w:t>
      </w:r>
      <w:bookmarkEnd w:id="79"/>
      <w:bookmarkEnd w:id="80"/>
      <w:bookmarkEnd w:id="81"/>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通过资格预审的申请人收到投标邀请书后，应在申请人须知前附表规定的时间内以书面形式明确表示是否参加投标。在申请人须知前附表规定时间内未表示是否参加投标或明确表示不参加投标的，不得再参加投标。因此造成潜在申请人数量不足3个的，招标人重新组织资格预审或不再组织资格预审而直接招标。</w:t>
      </w:r>
    </w:p>
    <w:p>
      <w:pPr>
        <w:pStyle w:val="61"/>
        <w:rPr>
          <w:rFonts w:ascii="仿宋" w:hAnsi="仿宋" w:eastAsia="仿宋" w:cs="仿宋"/>
          <w:color w:val="auto"/>
          <w:sz w:val="21"/>
          <w:szCs w:val="21"/>
        </w:rPr>
      </w:pPr>
      <w:bookmarkStart w:id="82" w:name="_Toc144974429"/>
      <w:bookmarkStart w:id="83" w:name="_Toc152047225"/>
      <w:bookmarkStart w:id="84" w:name="_Toc179715718"/>
      <w:r>
        <w:rPr>
          <w:rFonts w:hint="eastAsia" w:ascii="仿宋" w:hAnsi="仿宋" w:eastAsia="仿宋" w:cs="仿宋"/>
          <w:color w:val="auto"/>
          <w:sz w:val="21"/>
          <w:szCs w:val="21"/>
        </w:rPr>
        <w:t>7. 申请人的资格改变</w:t>
      </w:r>
      <w:bookmarkEnd w:id="82"/>
      <w:bookmarkEnd w:id="83"/>
      <w:bookmarkEnd w:id="84"/>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通过资格预审的申请人组织机构、财务能力、信誉情况等资格条件发生变化，使其不再实质上满足第三章“资格审查办法”规定标准的，其投标不被接受。</w:t>
      </w:r>
    </w:p>
    <w:p>
      <w:pPr>
        <w:pStyle w:val="61"/>
        <w:rPr>
          <w:rFonts w:ascii="仿宋" w:hAnsi="仿宋" w:eastAsia="仿宋" w:cs="仿宋"/>
          <w:color w:val="auto"/>
          <w:sz w:val="21"/>
          <w:szCs w:val="21"/>
        </w:rPr>
      </w:pPr>
      <w:bookmarkStart w:id="85" w:name="_Toc144974430"/>
      <w:bookmarkStart w:id="86" w:name="_Toc152047226"/>
      <w:bookmarkStart w:id="87" w:name="_Toc179715719"/>
      <w:r>
        <w:rPr>
          <w:rFonts w:hint="eastAsia" w:ascii="仿宋" w:hAnsi="仿宋" w:eastAsia="仿宋" w:cs="仿宋"/>
          <w:color w:val="auto"/>
          <w:sz w:val="21"/>
          <w:szCs w:val="21"/>
        </w:rPr>
        <w:t>8. 纪律与监督</w:t>
      </w:r>
      <w:bookmarkEnd w:id="85"/>
      <w:bookmarkEnd w:id="86"/>
      <w:bookmarkEnd w:id="87"/>
    </w:p>
    <w:p>
      <w:pPr>
        <w:pStyle w:val="63"/>
        <w:rPr>
          <w:rFonts w:ascii="仿宋" w:hAnsi="仿宋" w:eastAsia="仿宋" w:cs="仿宋"/>
          <w:color w:val="auto"/>
          <w:sz w:val="21"/>
          <w:szCs w:val="21"/>
        </w:rPr>
      </w:pPr>
      <w:bookmarkStart w:id="88" w:name="_Toc144974431"/>
      <w:bookmarkStart w:id="89" w:name="_Toc179715720"/>
      <w:bookmarkStart w:id="90" w:name="_Toc152047227"/>
      <w:r>
        <w:rPr>
          <w:rFonts w:hint="eastAsia" w:ascii="仿宋" w:hAnsi="仿宋" w:eastAsia="仿宋" w:cs="仿宋"/>
          <w:color w:val="auto"/>
          <w:sz w:val="21"/>
          <w:szCs w:val="21"/>
        </w:rPr>
        <w:t>8.1 严禁贿赂</w:t>
      </w:r>
      <w:bookmarkEnd w:id="88"/>
      <w:bookmarkEnd w:id="89"/>
      <w:bookmarkEnd w:id="90"/>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严禁申请人向招标人、审查委员会成员和与审查活动有关的其他工作人员行贿。在资格预审期间，不得邀请招标人、审查委员会成员以及与审查活动有关的其他工作人员到申请人单位参观考察，或出席申请人主办、赞助的任何活动。</w:t>
      </w:r>
    </w:p>
    <w:p>
      <w:pPr>
        <w:pStyle w:val="63"/>
        <w:rPr>
          <w:rFonts w:ascii="仿宋" w:hAnsi="仿宋" w:eastAsia="仿宋" w:cs="仿宋"/>
          <w:color w:val="auto"/>
          <w:sz w:val="21"/>
          <w:szCs w:val="21"/>
        </w:rPr>
      </w:pPr>
      <w:bookmarkStart w:id="91" w:name="_Toc152047228"/>
      <w:bookmarkStart w:id="92" w:name="_Toc179715721"/>
      <w:bookmarkStart w:id="93" w:name="_Toc144974432"/>
      <w:r>
        <w:rPr>
          <w:rFonts w:hint="eastAsia" w:ascii="仿宋" w:hAnsi="仿宋" w:eastAsia="仿宋" w:cs="仿宋"/>
          <w:color w:val="auto"/>
          <w:sz w:val="21"/>
          <w:szCs w:val="21"/>
        </w:rPr>
        <w:t>8.2 不得干扰资格审查工作</w:t>
      </w:r>
      <w:bookmarkEnd w:id="91"/>
      <w:bookmarkEnd w:id="92"/>
      <w:bookmarkEnd w:id="93"/>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申请人不得以任何方式干扰、影响资格预审的审查工作，否则将导致其不能通过资格预审。</w:t>
      </w:r>
    </w:p>
    <w:p>
      <w:pPr>
        <w:pStyle w:val="63"/>
        <w:rPr>
          <w:rFonts w:ascii="仿宋" w:hAnsi="仿宋" w:eastAsia="仿宋" w:cs="仿宋"/>
          <w:color w:val="auto"/>
          <w:sz w:val="21"/>
          <w:szCs w:val="21"/>
        </w:rPr>
      </w:pPr>
      <w:bookmarkStart w:id="94" w:name="_Toc152047229"/>
      <w:bookmarkStart w:id="95" w:name="_Toc144974433"/>
      <w:bookmarkStart w:id="96" w:name="_Toc179715722"/>
      <w:r>
        <w:rPr>
          <w:rFonts w:hint="eastAsia" w:ascii="仿宋" w:hAnsi="仿宋" w:eastAsia="仿宋" w:cs="仿宋"/>
          <w:color w:val="auto"/>
          <w:sz w:val="21"/>
          <w:szCs w:val="21"/>
        </w:rPr>
        <w:t>8.3 保密</w:t>
      </w:r>
      <w:bookmarkEnd w:id="94"/>
      <w:bookmarkEnd w:id="95"/>
      <w:bookmarkEnd w:id="96"/>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 xml:space="preserve">招标人、审查委员会成员，以及与审查活动有关的其他工作人员应对资格预审申请文件的审查、比较进行保密，不得在资格预审结果公布前透露资格预审结果，不得向他人透露可能影响公平竞争的有关情况。 </w:t>
      </w:r>
    </w:p>
    <w:p>
      <w:pPr>
        <w:pStyle w:val="63"/>
        <w:rPr>
          <w:rFonts w:ascii="仿宋" w:hAnsi="仿宋" w:eastAsia="仿宋" w:cs="仿宋"/>
          <w:color w:val="auto"/>
          <w:sz w:val="21"/>
          <w:szCs w:val="21"/>
        </w:rPr>
      </w:pPr>
      <w:bookmarkStart w:id="97" w:name="_Toc144974434"/>
      <w:bookmarkStart w:id="98" w:name="_Toc152047230"/>
      <w:bookmarkStart w:id="99" w:name="_Toc179715723"/>
      <w:r>
        <w:rPr>
          <w:rFonts w:hint="eastAsia" w:ascii="仿宋" w:hAnsi="仿宋" w:eastAsia="仿宋" w:cs="仿宋"/>
          <w:color w:val="auto"/>
          <w:sz w:val="21"/>
          <w:szCs w:val="21"/>
        </w:rPr>
        <w:t>8.4 投诉</w:t>
      </w:r>
      <w:bookmarkEnd w:id="97"/>
      <w:bookmarkEnd w:id="98"/>
      <w:bookmarkEnd w:id="99"/>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申请人和其他利害关系人认为本次资格预审活动违反法律、法规和规章规定的，有权向有关行政监督部门投诉。</w:t>
      </w:r>
    </w:p>
    <w:p>
      <w:pPr>
        <w:pStyle w:val="61"/>
        <w:rPr>
          <w:rFonts w:ascii="仿宋" w:hAnsi="仿宋" w:eastAsia="仿宋" w:cs="仿宋"/>
          <w:color w:val="auto"/>
          <w:sz w:val="21"/>
          <w:szCs w:val="21"/>
        </w:rPr>
      </w:pPr>
      <w:bookmarkStart w:id="100" w:name="_Toc179715724"/>
      <w:bookmarkStart w:id="101" w:name="_Toc152047231"/>
      <w:bookmarkStart w:id="102" w:name="_Toc144974435"/>
      <w:r>
        <w:rPr>
          <w:rFonts w:hint="eastAsia" w:ascii="仿宋" w:hAnsi="仿宋" w:eastAsia="仿宋" w:cs="仿宋"/>
          <w:color w:val="auto"/>
          <w:sz w:val="21"/>
          <w:szCs w:val="21"/>
        </w:rPr>
        <w:t>9. 需要补充的其他内容</w:t>
      </w:r>
      <w:bookmarkEnd w:id="100"/>
      <w:bookmarkEnd w:id="101"/>
      <w:bookmarkEnd w:id="102"/>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需要补充的其他内容：见申请人须知前附表。</w:t>
      </w:r>
    </w:p>
    <w:p>
      <w:pPr>
        <w:spacing w:line="400" w:lineRule="exact"/>
        <w:ind w:firstLine="420" w:firstLineChars="200"/>
        <w:jc w:val="center"/>
        <w:outlineLvl w:val="0"/>
        <w:rPr>
          <w:rFonts w:ascii="仿宋" w:hAnsi="仿宋" w:eastAsia="仿宋" w:cs="仿宋"/>
          <w:color w:val="auto"/>
        </w:rPr>
      </w:pPr>
      <w:r>
        <w:rPr>
          <w:rFonts w:hint="eastAsia" w:ascii="仿宋" w:hAnsi="仿宋" w:eastAsia="仿宋" w:cs="仿宋"/>
          <w:color w:val="auto"/>
        </w:rPr>
        <w:br w:type="page"/>
      </w:r>
      <w:bookmarkStart w:id="103" w:name="_Toc152047245"/>
      <w:bookmarkStart w:id="104" w:name="_Toc144974449"/>
      <w:bookmarkStart w:id="105" w:name="_Toc179715738"/>
      <w:bookmarkStart w:id="106" w:name="_Toc179715740"/>
      <w:bookmarkStart w:id="107" w:name="_Toc152047247"/>
      <w:bookmarkStart w:id="108" w:name="_Toc144974451"/>
      <w:r>
        <w:rPr>
          <w:rFonts w:hint="eastAsia" w:ascii="仿宋" w:hAnsi="仿宋" w:eastAsia="仿宋" w:cs="仿宋"/>
          <w:b/>
          <w:bCs/>
          <w:color w:val="auto"/>
          <w:sz w:val="32"/>
        </w:rPr>
        <w:t>第三章 资格审查办法（有限数量制）</w:t>
      </w:r>
      <w:bookmarkEnd w:id="103"/>
      <w:bookmarkEnd w:id="104"/>
      <w:bookmarkEnd w:id="105"/>
    </w:p>
    <w:p>
      <w:pPr>
        <w:pStyle w:val="61"/>
        <w:jc w:val="center"/>
        <w:rPr>
          <w:rFonts w:ascii="仿宋" w:hAnsi="仿宋" w:eastAsia="仿宋" w:cs="仿宋"/>
          <w:color w:val="auto"/>
          <w:sz w:val="24"/>
          <w:szCs w:val="16"/>
        </w:rPr>
      </w:pPr>
      <w:bookmarkStart w:id="109" w:name="_Toc144974450"/>
      <w:bookmarkStart w:id="110" w:name="_Toc179715739"/>
      <w:bookmarkStart w:id="111" w:name="_Toc152047246"/>
      <w:r>
        <w:rPr>
          <w:rFonts w:hint="eastAsia" w:ascii="仿宋" w:hAnsi="仿宋" w:eastAsia="仿宋" w:cs="仿宋"/>
          <w:color w:val="auto"/>
          <w:sz w:val="24"/>
          <w:szCs w:val="16"/>
        </w:rPr>
        <w:t>资格审查办法前附表</w:t>
      </w:r>
      <w:bookmarkEnd w:id="109"/>
      <w:bookmarkEnd w:id="110"/>
      <w:bookmarkEnd w:id="111"/>
    </w:p>
    <w:tbl>
      <w:tblPr>
        <w:tblStyle w:val="32"/>
        <w:tblW w:w="95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601"/>
        <w:gridCol w:w="2403"/>
        <w:gridCol w:w="6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1130" w:type="dxa"/>
            <w:gridSpan w:val="2"/>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条款号</w:t>
            </w:r>
          </w:p>
        </w:tc>
        <w:tc>
          <w:tcPr>
            <w:tcW w:w="2403" w:type="dxa"/>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条款名称</w:t>
            </w:r>
          </w:p>
        </w:tc>
        <w:tc>
          <w:tcPr>
            <w:tcW w:w="6026" w:type="dxa"/>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1130" w:type="dxa"/>
            <w:gridSpan w:val="2"/>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1</w:t>
            </w:r>
          </w:p>
        </w:tc>
        <w:tc>
          <w:tcPr>
            <w:tcW w:w="2403" w:type="dxa"/>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通过资格预审的人数</w:t>
            </w:r>
          </w:p>
        </w:tc>
        <w:tc>
          <w:tcPr>
            <w:tcW w:w="6026" w:type="dxa"/>
          </w:tcPr>
          <w:p>
            <w:pPr>
              <w:spacing w:line="440" w:lineRule="exact"/>
              <w:rPr>
                <w:rFonts w:ascii="仿宋" w:hAnsi="仿宋" w:eastAsia="仿宋" w:cs="仿宋"/>
                <w:color w:val="auto"/>
                <w:szCs w:val="21"/>
              </w:rPr>
            </w:pPr>
            <w:r>
              <w:rPr>
                <w:rFonts w:hint="eastAsia" w:ascii="仿宋" w:hAnsi="仿宋" w:eastAsia="仿宋" w:cs="仿宋"/>
                <w:color w:val="auto"/>
                <w:szCs w:val="21"/>
              </w:rPr>
              <w:t>有限数量制，通过资格预审的申请人限定为7家。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1130" w:type="dxa"/>
            <w:gridSpan w:val="2"/>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2</w:t>
            </w:r>
          </w:p>
        </w:tc>
        <w:tc>
          <w:tcPr>
            <w:tcW w:w="2403" w:type="dxa"/>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审查因素</w:t>
            </w:r>
          </w:p>
        </w:tc>
        <w:tc>
          <w:tcPr>
            <w:tcW w:w="6026" w:type="dxa"/>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529" w:type="dxa"/>
            <w:vMerge w:val="restart"/>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2.1</w:t>
            </w:r>
          </w:p>
        </w:tc>
        <w:tc>
          <w:tcPr>
            <w:tcW w:w="601" w:type="dxa"/>
            <w:vMerge w:val="restart"/>
            <w:vAlign w:val="center"/>
          </w:tcPr>
          <w:p>
            <w:pPr>
              <w:spacing w:line="340" w:lineRule="exact"/>
              <w:jc w:val="center"/>
              <w:rPr>
                <w:rFonts w:ascii="仿宋" w:hAnsi="仿宋" w:eastAsia="仿宋" w:cs="仿宋"/>
                <w:color w:val="auto"/>
                <w:szCs w:val="21"/>
              </w:rPr>
            </w:pPr>
            <w:r>
              <w:rPr>
                <w:rFonts w:hint="eastAsia" w:ascii="仿宋" w:hAnsi="仿宋" w:eastAsia="仿宋" w:cs="仿宋"/>
                <w:color w:val="auto"/>
                <w:szCs w:val="21"/>
              </w:rPr>
              <w:t>初</w:t>
            </w:r>
          </w:p>
          <w:p>
            <w:pPr>
              <w:spacing w:line="340" w:lineRule="exact"/>
              <w:jc w:val="center"/>
              <w:rPr>
                <w:rFonts w:ascii="仿宋" w:hAnsi="仿宋" w:eastAsia="仿宋" w:cs="仿宋"/>
                <w:color w:val="auto"/>
                <w:szCs w:val="21"/>
              </w:rPr>
            </w:pPr>
            <w:r>
              <w:rPr>
                <w:rFonts w:hint="eastAsia" w:ascii="仿宋" w:hAnsi="仿宋" w:eastAsia="仿宋" w:cs="仿宋"/>
                <w:color w:val="auto"/>
                <w:szCs w:val="21"/>
              </w:rPr>
              <w:t>步</w:t>
            </w:r>
          </w:p>
          <w:p>
            <w:pPr>
              <w:spacing w:line="340" w:lineRule="exact"/>
              <w:jc w:val="center"/>
              <w:rPr>
                <w:rFonts w:ascii="仿宋" w:hAnsi="仿宋" w:eastAsia="仿宋" w:cs="仿宋"/>
                <w:color w:val="auto"/>
                <w:szCs w:val="21"/>
              </w:rPr>
            </w:pPr>
            <w:r>
              <w:rPr>
                <w:rFonts w:hint="eastAsia" w:ascii="仿宋" w:hAnsi="仿宋" w:eastAsia="仿宋" w:cs="仿宋"/>
                <w:color w:val="auto"/>
                <w:szCs w:val="21"/>
              </w:rPr>
              <w:t>审</w:t>
            </w:r>
          </w:p>
          <w:p>
            <w:pPr>
              <w:spacing w:line="340" w:lineRule="exact"/>
              <w:jc w:val="center"/>
              <w:rPr>
                <w:rFonts w:ascii="仿宋" w:hAnsi="仿宋" w:eastAsia="仿宋" w:cs="仿宋"/>
                <w:color w:val="auto"/>
                <w:szCs w:val="21"/>
              </w:rPr>
            </w:pPr>
            <w:r>
              <w:rPr>
                <w:rFonts w:hint="eastAsia" w:ascii="仿宋" w:hAnsi="仿宋" w:eastAsia="仿宋" w:cs="仿宋"/>
                <w:color w:val="auto"/>
                <w:szCs w:val="21"/>
              </w:rPr>
              <w:t>查</w:t>
            </w:r>
          </w:p>
          <w:p>
            <w:pPr>
              <w:spacing w:line="340" w:lineRule="exact"/>
              <w:jc w:val="center"/>
              <w:rPr>
                <w:rFonts w:ascii="仿宋" w:hAnsi="仿宋" w:eastAsia="仿宋" w:cs="仿宋"/>
                <w:color w:val="auto"/>
                <w:szCs w:val="21"/>
              </w:rPr>
            </w:pPr>
            <w:r>
              <w:rPr>
                <w:rFonts w:hint="eastAsia" w:ascii="仿宋" w:hAnsi="仿宋" w:eastAsia="仿宋" w:cs="仿宋"/>
                <w:color w:val="auto"/>
                <w:szCs w:val="21"/>
              </w:rPr>
              <w:t>标</w:t>
            </w:r>
          </w:p>
          <w:p>
            <w:pPr>
              <w:spacing w:line="340" w:lineRule="exact"/>
              <w:jc w:val="center"/>
              <w:rPr>
                <w:rFonts w:ascii="仿宋" w:hAnsi="仿宋" w:eastAsia="仿宋" w:cs="仿宋"/>
                <w:color w:val="auto"/>
                <w:szCs w:val="21"/>
              </w:rPr>
            </w:pPr>
            <w:r>
              <w:rPr>
                <w:rFonts w:hint="eastAsia" w:ascii="仿宋" w:hAnsi="仿宋" w:eastAsia="仿宋" w:cs="仿宋"/>
                <w:color w:val="auto"/>
                <w:szCs w:val="21"/>
              </w:rPr>
              <w:t>准</w:t>
            </w:r>
          </w:p>
        </w:tc>
        <w:tc>
          <w:tcPr>
            <w:tcW w:w="2403" w:type="dxa"/>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申请人名称</w:t>
            </w:r>
          </w:p>
        </w:tc>
        <w:tc>
          <w:tcPr>
            <w:tcW w:w="6026" w:type="dxa"/>
          </w:tcPr>
          <w:p>
            <w:pPr>
              <w:spacing w:line="440" w:lineRule="exact"/>
              <w:jc w:val="left"/>
              <w:rPr>
                <w:rFonts w:ascii="仿宋" w:hAnsi="仿宋" w:eastAsia="仿宋" w:cs="仿宋"/>
                <w:color w:val="auto"/>
                <w:szCs w:val="21"/>
              </w:rPr>
            </w:pPr>
            <w:r>
              <w:rPr>
                <w:rFonts w:hint="eastAsia" w:ascii="仿宋" w:hAnsi="仿宋" w:eastAsia="仿宋" w:cs="仿宋"/>
                <w:color w:val="auto"/>
                <w:szCs w:val="21"/>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申请函签字盖章</w:t>
            </w:r>
          </w:p>
        </w:tc>
        <w:tc>
          <w:tcPr>
            <w:tcW w:w="6026" w:type="dxa"/>
          </w:tcPr>
          <w:p>
            <w:pPr>
              <w:spacing w:line="440" w:lineRule="exact"/>
              <w:jc w:val="left"/>
              <w:rPr>
                <w:rFonts w:ascii="仿宋" w:hAnsi="仿宋" w:eastAsia="仿宋" w:cs="仿宋"/>
                <w:color w:val="auto"/>
                <w:szCs w:val="21"/>
              </w:rPr>
            </w:pPr>
            <w:r>
              <w:rPr>
                <w:rFonts w:hint="eastAsia" w:ascii="仿宋" w:hAnsi="仿宋" w:eastAsia="仿宋" w:cs="仿宋"/>
                <w:color w:val="auto"/>
                <w:szCs w:val="21"/>
              </w:rPr>
              <w:t>有法定代表人或其委托代理人签字和加盖单位章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申请文件格式</w:t>
            </w:r>
          </w:p>
        </w:tc>
        <w:tc>
          <w:tcPr>
            <w:tcW w:w="6026" w:type="dxa"/>
          </w:tcPr>
          <w:p>
            <w:pPr>
              <w:spacing w:line="440" w:lineRule="exact"/>
              <w:jc w:val="left"/>
              <w:rPr>
                <w:rFonts w:ascii="仿宋" w:hAnsi="仿宋" w:eastAsia="仿宋" w:cs="仿宋"/>
                <w:color w:val="auto"/>
                <w:szCs w:val="21"/>
              </w:rPr>
            </w:pPr>
            <w:r>
              <w:rPr>
                <w:rFonts w:hint="eastAsia" w:ascii="仿宋" w:hAnsi="仿宋" w:eastAsia="仿宋" w:cs="仿宋"/>
                <w:color w:val="auto"/>
                <w:szCs w:val="21"/>
              </w:rPr>
              <w:t>符合第四章“资格预审申请文件格式”的要求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tcPr>
          <w:p>
            <w:pPr>
              <w:spacing w:line="440" w:lineRule="exact"/>
              <w:jc w:val="center"/>
              <w:rPr>
                <w:rFonts w:ascii="仿宋" w:hAnsi="仿宋" w:eastAsia="仿宋" w:cs="仿宋"/>
                <w:color w:val="auto"/>
                <w:szCs w:val="21"/>
              </w:rPr>
            </w:pPr>
            <w:r>
              <w:rPr>
                <w:rFonts w:hint="eastAsia" w:ascii="仿宋" w:hAnsi="仿宋" w:eastAsia="仿宋" w:cs="仿宋"/>
                <w:bCs/>
                <w:color w:val="auto"/>
                <w:kern w:val="0"/>
                <w:szCs w:val="21"/>
              </w:rPr>
              <w:t>是否存在“电子投标文件雷同认定与处理”中的情形</w:t>
            </w:r>
          </w:p>
        </w:tc>
        <w:tc>
          <w:tcPr>
            <w:tcW w:w="6026" w:type="dxa"/>
          </w:tcPr>
          <w:p>
            <w:pPr>
              <w:spacing w:line="440" w:lineRule="exact"/>
              <w:jc w:val="left"/>
              <w:rPr>
                <w:rFonts w:ascii="仿宋" w:hAnsi="仿宋" w:eastAsia="仿宋" w:cs="仿宋"/>
                <w:color w:val="auto"/>
                <w:szCs w:val="21"/>
              </w:rPr>
            </w:pPr>
            <w:r>
              <w:rPr>
                <w:rFonts w:hint="eastAsia" w:ascii="仿宋" w:hAnsi="仿宋" w:eastAsia="仿宋" w:cs="仿宋"/>
                <w:color w:val="auto"/>
              </w:rPr>
              <w:t>资格评审委员会集体表决认定是否属于“相互串通投标”的情形，按照第二章“申请人须知前附表”第9条规定处理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restart"/>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2.2</w:t>
            </w:r>
          </w:p>
        </w:tc>
        <w:tc>
          <w:tcPr>
            <w:tcW w:w="601" w:type="dxa"/>
            <w:vMerge w:val="restart"/>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资格审查标准</w:t>
            </w: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营业执照</w:t>
            </w:r>
          </w:p>
        </w:tc>
        <w:tc>
          <w:tcPr>
            <w:tcW w:w="6026" w:type="dxa"/>
          </w:tcPr>
          <w:p>
            <w:pPr>
              <w:spacing w:line="440" w:lineRule="exact"/>
              <w:rPr>
                <w:rFonts w:ascii="仿宋" w:hAnsi="仿宋" w:eastAsia="仿宋" w:cs="仿宋"/>
                <w:color w:val="auto"/>
                <w:szCs w:val="21"/>
              </w:rPr>
            </w:pPr>
            <w:r>
              <w:rPr>
                <w:rFonts w:hint="eastAsia" w:ascii="仿宋" w:hAnsi="仿宋" w:eastAsia="仿宋" w:cs="仿宋"/>
                <w:color w:val="auto"/>
                <w:spacing w:val="-7"/>
              </w:rPr>
              <w:t xml:space="preserve">符合第二章“申请人须知前附表”第 </w:t>
            </w:r>
            <w:r>
              <w:rPr>
                <w:rFonts w:hint="eastAsia" w:ascii="仿宋" w:hAnsi="仿宋" w:eastAsia="仿宋" w:cs="仿宋"/>
                <w:color w:val="auto"/>
              </w:rPr>
              <w:t>1.4.1</w:t>
            </w:r>
            <w:r>
              <w:rPr>
                <w:rFonts w:hint="eastAsia" w:ascii="仿宋" w:hAnsi="仿宋" w:eastAsia="仿宋" w:cs="仿宋"/>
                <w:color w:val="auto"/>
                <w:spacing w:val="-8"/>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vAlign w:val="center"/>
          </w:tcPr>
          <w:p>
            <w:pPr>
              <w:spacing w:line="440" w:lineRule="exact"/>
              <w:jc w:val="center"/>
              <w:rPr>
                <w:rFonts w:ascii="仿宋" w:hAnsi="仿宋" w:eastAsia="仿宋" w:cs="仿宋"/>
                <w:color w:val="auto"/>
                <w:szCs w:val="21"/>
              </w:rPr>
            </w:pPr>
          </w:p>
        </w:tc>
        <w:tc>
          <w:tcPr>
            <w:tcW w:w="601" w:type="dxa"/>
            <w:vMerge w:val="continue"/>
            <w:vAlign w:val="center"/>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rPr>
              <w:t>安全生产许可证</w:t>
            </w:r>
          </w:p>
        </w:tc>
        <w:tc>
          <w:tcPr>
            <w:tcW w:w="6026" w:type="dxa"/>
          </w:tcPr>
          <w:p>
            <w:pPr>
              <w:spacing w:line="440" w:lineRule="exact"/>
              <w:rPr>
                <w:rFonts w:ascii="仿宋" w:hAnsi="仿宋" w:eastAsia="仿宋" w:cs="仿宋"/>
                <w:color w:val="auto"/>
                <w:szCs w:val="21"/>
              </w:rPr>
            </w:pPr>
            <w:r>
              <w:rPr>
                <w:rFonts w:hint="eastAsia" w:ascii="仿宋" w:hAnsi="仿宋" w:eastAsia="仿宋" w:cs="仿宋"/>
                <w:color w:val="auto"/>
                <w:spacing w:val="-7"/>
              </w:rPr>
              <w:t xml:space="preserve">符合第二章“申请人须知前附表”第 </w:t>
            </w:r>
            <w:r>
              <w:rPr>
                <w:rFonts w:hint="eastAsia" w:ascii="仿宋" w:hAnsi="仿宋" w:eastAsia="仿宋" w:cs="仿宋"/>
                <w:color w:val="auto"/>
              </w:rPr>
              <w:t>1.4.1</w:t>
            </w:r>
            <w:r>
              <w:rPr>
                <w:rFonts w:hint="eastAsia" w:ascii="仿宋" w:hAnsi="仿宋" w:eastAsia="仿宋" w:cs="仿宋"/>
                <w:color w:val="auto"/>
                <w:spacing w:val="-8"/>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资质证书</w:t>
            </w:r>
          </w:p>
        </w:tc>
        <w:tc>
          <w:tcPr>
            <w:tcW w:w="6026" w:type="dxa"/>
          </w:tcPr>
          <w:p>
            <w:pPr>
              <w:spacing w:line="440" w:lineRule="exact"/>
              <w:jc w:val="left"/>
              <w:rPr>
                <w:rFonts w:ascii="仿宋" w:hAnsi="仿宋" w:eastAsia="仿宋" w:cs="仿宋"/>
                <w:color w:val="auto"/>
                <w:szCs w:val="21"/>
              </w:rPr>
            </w:pPr>
            <w:r>
              <w:rPr>
                <w:rFonts w:hint="eastAsia" w:ascii="仿宋" w:hAnsi="仿宋" w:eastAsia="仿宋" w:cs="仿宋"/>
                <w:color w:val="auto"/>
                <w:spacing w:val="-7"/>
              </w:rPr>
              <w:t xml:space="preserve">符合第二章“申请人须知前附表”第 </w:t>
            </w:r>
            <w:r>
              <w:rPr>
                <w:rFonts w:hint="eastAsia" w:ascii="仿宋" w:hAnsi="仿宋" w:eastAsia="仿宋" w:cs="仿宋"/>
                <w:color w:val="auto"/>
              </w:rPr>
              <w:t>1.4.1</w:t>
            </w:r>
            <w:r>
              <w:rPr>
                <w:rFonts w:hint="eastAsia" w:ascii="仿宋" w:hAnsi="仿宋" w:eastAsia="仿宋" w:cs="仿宋"/>
                <w:color w:val="auto"/>
                <w:spacing w:val="-8"/>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项目经理</w:t>
            </w:r>
          </w:p>
        </w:tc>
        <w:tc>
          <w:tcPr>
            <w:tcW w:w="6026" w:type="dxa"/>
            <w:vAlign w:val="center"/>
          </w:tcPr>
          <w:p>
            <w:pPr>
              <w:spacing w:line="440" w:lineRule="exact"/>
              <w:rPr>
                <w:rFonts w:ascii="仿宋" w:hAnsi="仿宋" w:eastAsia="仿宋" w:cs="仿宋"/>
                <w:color w:val="auto"/>
                <w:szCs w:val="21"/>
              </w:rPr>
            </w:pPr>
            <w:r>
              <w:rPr>
                <w:rFonts w:hint="eastAsia" w:ascii="仿宋" w:hAnsi="仿宋" w:eastAsia="仿宋" w:cs="仿宋"/>
                <w:color w:val="auto"/>
                <w:spacing w:val="-7"/>
              </w:rPr>
              <w:t xml:space="preserve">符合第二章“申请人须知前附表”第 </w:t>
            </w:r>
            <w:r>
              <w:rPr>
                <w:rFonts w:hint="eastAsia" w:ascii="仿宋" w:hAnsi="仿宋" w:eastAsia="仿宋" w:cs="仿宋"/>
                <w:color w:val="auto"/>
              </w:rPr>
              <w:t>1.4.1</w:t>
            </w:r>
            <w:r>
              <w:rPr>
                <w:rFonts w:hint="eastAsia" w:ascii="仿宋" w:hAnsi="仿宋" w:eastAsia="仿宋" w:cs="仿宋"/>
                <w:color w:val="auto"/>
                <w:spacing w:val="-8"/>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技术负责人</w:t>
            </w:r>
          </w:p>
        </w:tc>
        <w:tc>
          <w:tcPr>
            <w:tcW w:w="6026" w:type="dxa"/>
            <w:vAlign w:val="center"/>
          </w:tcPr>
          <w:p>
            <w:pPr>
              <w:spacing w:line="440" w:lineRule="exact"/>
              <w:rPr>
                <w:rFonts w:ascii="仿宋" w:hAnsi="仿宋" w:eastAsia="仿宋" w:cs="仿宋"/>
                <w:color w:val="auto"/>
                <w:szCs w:val="21"/>
              </w:rPr>
            </w:pPr>
            <w:r>
              <w:rPr>
                <w:rFonts w:hint="eastAsia" w:ascii="仿宋" w:hAnsi="仿宋" w:eastAsia="仿宋" w:cs="仿宋"/>
                <w:color w:val="auto"/>
                <w:spacing w:val="-7"/>
              </w:rPr>
              <w:t xml:space="preserve">符合第二章“申请人须知前附表”第 </w:t>
            </w:r>
            <w:r>
              <w:rPr>
                <w:rFonts w:hint="eastAsia" w:ascii="仿宋" w:hAnsi="仿宋" w:eastAsia="仿宋" w:cs="仿宋"/>
                <w:color w:val="auto"/>
              </w:rPr>
              <w:t>1.4.1</w:t>
            </w:r>
            <w:r>
              <w:rPr>
                <w:rFonts w:hint="eastAsia" w:ascii="仿宋" w:hAnsi="仿宋" w:eastAsia="仿宋" w:cs="仿宋"/>
                <w:color w:val="auto"/>
                <w:spacing w:val="-8"/>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委托代理人</w:t>
            </w:r>
          </w:p>
        </w:tc>
        <w:tc>
          <w:tcPr>
            <w:tcW w:w="6026" w:type="dxa"/>
            <w:vAlign w:val="center"/>
          </w:tcPr>
          <w:p>
            <w:pPr>
              <w:spacing w:line="440" w:lineRule="exact"/>
              <w:rPr>
                <w:rFonts w:ascii="仿宋" w:hAnsi="仿宋" w:eastAsia="仿宋" w:cs="仿宋"/>
                <w:color w:val="auto"/>
                <w:spacing w:val="-7"/>
              </w:rPr>
            </w:pPr>
            <w:r>
              <w:rPr>
                <w:rFonts w:hint="eastAsia" w:ascii="仿宋" w:hAnsi="仿宋" w:eastAsia="仿宋" w:cs="仿宋"/>
                <w:color w:val="auto"/>
                <w:spacing w:val="-7"/>
              </w:rPr>
              <w:t xml:space="preserve">符合第二章“申请人须知前附表”第 </w:t>
            </w:r>
            <w:r>
              <w:rPr>
                <w:rFonts w:hint="eastAsia" w:ascii="仿宋" w:hAnsi="仿宋" w:eastAsia="仿宋" w:cs="仿宋"/>
                <w:color w:val="auto"/>
              </w:rPr>
              <w:t>1.4.1</w:t>
            </w:r>
            <w:r>
              <w:rPr>
                <w:rFonts w:hint="eastAsia" w:ascii="仿宋" w:hAnsi="仿宋" w:eastAsia="仿宋" w:cs="仿宋"/>
                <w:color w:val="auto"/>
                <w:spacing w:val="-8"/>
              </w:rPr>
              <w:t xml:space="preserve">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财务状况</w:t>
            </w:r>
          </w:p>
        </w:tc>
        <w:tc>
          <w:tcPr>
            <w:tcW w:w="6026" w:type="dxa"/>
            <w:vAlign w:val="center"/>
          </w:tcPr>
          <w:p>
            <w:pPr>
              <w:adjustRightInd w:val="0"/>
              <w:snapToGrid w:val="0"/>
              <w:spacing w:line="440" w:lineRule="exact"/>
              <w:rPr>
                <w:rFonts w:ascii="仿宋" w:hAnsi="仿宋" w:eastAsia="仿宋" w:cs="仿宋"/>
                <w:color w:val="auto"/>
                <w:szCs w:val="21"/>
              </w:rPr>
            </w:pPr>
            <w:r>
              <w:rPr>
                <w:rFonts w:hint="eastAsia" w:ascii="仿宋" w:hAnsi="仿宋" w:eastAsia="仿宋" w:cs="仿宋"/>
                <w:color w:val="auto"/>
                <w:szCs w:val="21"/>
              </w:rPr>
              <w:t>符合第二章“申请人须知前附表”第 1.4.1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信誉</w:t>
            </w:r>
          </w:p>
        </w:tc>
        <w:tc>
          <w:tcPr>
            <w:tcW w:w="6026" w:type="dxa"/>
          </w:tcPr>
          <w:p>
            <w:pPr>
              <w:spacing w:line="440" w:lineRule="exact"/>
              <w:rPr>
                <w:rFonts w:ascii="仿宋" w:hAnsi="仿宋" w:eastAsia="仿宋" w:cs="仿宋"/>
                <w:color w:val="auto"/>
                <w:szCs w:val="21"/>
              </w:rPr>
            </w:pPr>
            <w:r>
              <w:rPr>
                <w:rFonts w:hint="eastAsia" w:ascii="仿宋" w:hAnsi="仿宋" w:eastAsia="仿宋" w:cs="仿宋"/>
                <w:color w:val="auto"/>
                <w:szCs w:val="21"/>
              </w:rPr>
              <w:t>符合第二章“申请人须知前附表”第 1.4.1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外省企业进豫截图</w:t>
            </w:r>
          </w:p>
        </w:tc>
        <w:tc>
          <w:tcPr>
            <w:tcW w:w="6026" w:type="dxa"/>
            <w:vAlign w:val="center"/>
          </w:tcPr>
          <w:p>
            <w:pPr>
              <w:spacing w:line="440" w:lineRule="exact"/>
              <w:jc w:val="left"/>
              <w:rPr>
                <w:rFonts w:ascii="仿宋" w:hAnsi="仿宋" w:eastAsia="仿宋" w:cs="仿宋"/>
                <w:color w:val="auto"/>
                <w:szCs w:val="21"/>
              </w:rPr>
            </w:pPr>
            <w:r>
              <w:rPr>
                <w:rFonts w:hint="eastAsia" w:ascii="仿宋" w:hAnsi="仿宋" w:eastAsia="仿宋" w:cs="仿宋"/>
                <w:color w:val="auto"/>
                <w:kern w:val="0"/>
                <w:szCs w:val="21"/>
              </w:rPr>
              <w:t>外省企业进豫承揽业务的需通过“河南省建筑市场监管公共服务平台”登记报送企业基本信息（申请文件中附网页查询截图扫描件）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restart"/>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2.3</w:t>
            </w:r>
          </w:p>
        </w:tc>
        <w:tc>
          <w:tcPr>
            <w:tcW w:w="601" w:type="dxa"/>
            <w:vMerge w:val="restart"/>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评分标准</w:t>
            </w:r>
          </w:p>
        </w:tc>
        <w:tc>
          <w:tcPr>
            <w:tcW w:w="2403" w:type="dxa"/>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评分因素</w:t>
            </w:r>
          </w:p>
        </w:tc>
        <w:tc>
          <w:tcPr>
            <w:tcW w:w="6026" w:type="dxa"/>
          </w:tcPr>
          <w:p>
            <w:pPr>
              <w:spacing w:line="440" w:lineRule="exact"/>
              <w:jc w:val="center"/>
              <w:rPr>
                <w:rFonts w:ascii="仿宋" w:hAnsi="仿宋" w:eastAsia="仿宋" w:cs="仿宋"/>
                <w:b/>
                <w:color w:val="auto"/>
                <w:szCs w:val="21"/>
              </w:rPr>
            </w:pPr>
            <w:r>
              <w:rPr>
                <w:rFonts w:hint="eastAsia" w:ascii="仿宋" w:hAnsi="仿宋" w:eastAsia="仿宋" w:cs="仿宋"/>
                <w:b/>
                <w:color w:val="auto"/>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财务状况（</w:t>
            </w:r>
            <w:r>
              <w:rPr>
                <w:rFonts w:hint="eastAsia" w:ascii="仿宋" w:hAnsi="仿宋" w:eastAsia="仿宋" w:cs="仿宋"/>
                <w:color w:val="auto"/>
                <w:szCs w:val="21"/>
                <w:lang w:val="en-US" w:eastAsia="zh-CN"/>
              </w:rPr>
              <w:t>5</w:t>
            </w:r>
            <w:r>
              <w:rPr>
                <w:rFonts w:hint="eastAsia" w:ascii="仿宋" w:hAnsi="仿宋" w:eastAsia="仿宋" w:cs="仿宋"/>
                <w:color w:val="auto"/>
                <w:szCs w:val="21"/>
              </w:rPr>
              <w:t>分）</w:t>
            </w:r>
          </w:p>
        </w:tc>
        <w:tc>
          <w:tcPr>
            <w:tcW w:w="6026" w:type="dxa"/>
          </w:tcPr>
          <w:p>
            <w:pPr>
              <w:numPr>
                <w:ilvl w:val="0"/>
                <w:numId w:val="2"/>
              </w:numPr>
              <w:spacing w:line="360" w:lineRule="auto"/>
              <w:rPr>
                <w:rFonts w:ascii="仿宋" w:hAnsi="仿宋" w:eastAsia="仿宋" w:cs="仿宋"/>
                <w:color w:val="auto"/>
              </w:rPr>
            </w:pPr>
            <w:r>
              <w:rPr>
                <w:rFonts w:hint="eastAsia" w:ascii="仿宋" w:hAnsi="仿宋" w:eastAsia="仿宋" w:cs="仿宋"/>
                <w:color w:val="auto"/>
              </w:rPr>
              <w:t>申请人提交的</w:t>
            </w:r>
            <w:r>
              <w:rPr>
                <w:rFonts w:hint="eastAsia" w:ascii="仿宋" w:hAnsi="仿宋" w:eastAsia="仿宋" w:cs="仿宋"/>
                <w:color w:val="auto"/>
                <w:lang w:val="en-US" w:eastAsia="zh-CN"/>
              </w:rPr>
              <w:t>2021</w:t>
            </w:r>
            <w:r>
              <w:rPr>
                <w:rFonts w:hint="eastAsia" w:ascii="仿宋" w:hAnsi="仿宋" w:eastAsia="仿宋" w:cs="仿宋"/>
                <w:color w:val="auto"/>
              </w:rPr>
              <w:t>年财务审计报告，盈利得</w:t>
            </w:r>
            <w:r>
              <w:rPr>
                <w:rFonts w:hint="eastAsia" w:ascii="仿宋" w:hAnsi="仿宋" w:eastAsia="仿宋" w:cs="仿宋"/>
                <w:color w:val="auto"/>
                <w:lang w:val="en-US" w:eastAsia="zh-CN"/>
              </w:rPr>
              <w:t>5</w:t>
            </w:r>
            <w:r>
              <w:rPr>
                <w:rFonts w:hint="eastAsia" w:ascii="仿宋" w:hAnsi="仿宋" w:eastAsia="仿宋" w:cs="仿宋"/>
                <w:color w:val="auto"/>
              </w:rPr>
              <w:t>分；否则不得分。</w:t>
            </w:r>
          </w:p>
          <w:p>
            <w:pPr>
              <w:spacing w:line="360" w:lineRule="auto"/>
              <w:rPr>
                <w:rFonts w:ascii="仿宋" w:hAnsi="仿宋" w:eastAsia="仿宋" w:cs="仿宋"/>
                <w:color w:val="auto"/>
                <w:sz w:val="21"/>
                <w:szCs w:val="21"/>
                <w:lang w:val="zh-CN"/>
              </w:rPr>
            </w:pPr>
            <w:r>
              <w:rPr>
                <w:rFonts w:hint="eastAsia" w:ascii="仿宋" w:hAnsi="仿宋" w:eastAsia="仿宋" w:cs="仿宋"/>
                <w:color w:val="auto"/>
              </w:rPr>
              <w:t>（须提供财务审计报告，</w:t>
            </w:r>
            <w:r>
              <w:rPr>
                <w:rFonts w:hint="eastAsia" w:ascii="仿宋" w:hAnsi="仿宋" w:eastAsia="仿宋" w:cs="仿宋"/>
                <w:color w:val="auto"/>
                <w:szCs w:val="21"/>
              </w:rPr>
              <w:t>并在申请文件中附扫描件，否则不得分</w:t>
            </w:r>
            <w:r>
              <w:rPr>
                <w:rFonts w:hint="eastAsia" w:ascii="仿宋" w:hAnsi="仿宋" w:eastAsia="仿宋" w:cs="仿宋"/>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9"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企业类似项目业绩（</w:t>
            </w:r>
            <w:r>
              <w:rPr>
                <w:rFonts w:hint="eastAsia" w:ascii="仿宋" w:hAnsi="仿宋" w:eastAsia="仿宋" w:cs="仿宋"/>
                <w:color w:val="auto"/>
                <w:szCs w:val="21"/>
                <w:lang w:val="en-US" w:eastAsia="zh-CN"/>
              </w:rPr>
              <w:t>9</w:t>
            </w:r>
            <w:r>
              <w:rPr>
                <w:rFonts w:hint="eastAsia" w:ascii="仿宋" w:hAnsi="仿宋" w:eastAsia="仿宋" w:cs="仿宋"/>
                <w:color w:val="auto"/>
                <w:szCs w:val="21"/>
              </w:rPr>
              <w:t>分）</w:t>
            </w:r>
          </w:p>
        </w:tc>
        <w:tc>
          <w:tcPr>
            <w:tcW w:w="6026" w:type="dxa"/>
          </w:tcPr>
          <w:p>
            <w:pPr>
              <w:pStyle w:val="49"/>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rPr>
              <w:t>1.201</w:t>
            </w:r>
            <w:r>
              <w:rPr>
                <w:rFonts w:hint="eastAsia" w:ascii="仿宋" w:hAnsi="仿宋" w:eastAsia="仿宋" w:cs="仿宋"/>
                <w:color w:val="auto"/>
                <w:sz w:val="21"/>
                <w:szCs w:val="21"/>
                <w:lang w:val="en-US" w:eastAsia="zh-CN"/>
              </w:rPr>
              <w:t>9</w:t>
            </w:r>
            <w:r>
              <w:rPr>
                <w:rFonts w:hint="eastAsia" w:ascii="仿宋" w:hAnsi="仿宋" w:eastAsia="仿宋" w:cs="仿宋"/>
                <w:color w:val="auto"/>
                <w:sz w:val="21"/>
                <w:szCs w:val="21"/>
              </w:rPr>
              <w:t>年1月1日以来承接过单项合同建筑面积不低于</w:t>
            </w:r>
            <w:r>
              <w:rPr>
                <w:rFonts w:hint="eastAsia" w:ascii="仿宋" w:hAnsi="仿宋" w:eastAsia="仿宋" w:cs="仿宋"/>
                <w:color w:val="auto"/>
                <w:sz w:val="21"/>
                <w:szCs w:val="21"/>
                <w:lang w:val="en-US" w:eastAsia="zh-CN"/>
              </w:rPr>
              <w:t>5</w:t>
            </w:r>
            <w:r>
              <w:rPr>
                <w:rFonts w:hint="eastAsia" w:ascii="仿宋" w:hAnsi="仿宋" w:eastAsia="仿宋" w:cs="仿宋"/>
                <w:color w:val="auto"/>
                <w:sz w:val="21"/>
                <w:szCs w:val="21"/>
              </w:rPr>
              <w:t>万平方米）的建筑项目施工业绩每有一个得</w:t>
            </w:r>
            <w:r>
              <w:rPr>
                <w:rFonts w:hint="eastAsia" w:ascii="仿宋" w:hAnsi="仿宋" w:eastAsia="仿宋" w:cs="仿宋"/>
                <w:color w:val="auto"/>
                <w:sz w:val="21"/>
                <w:szCs w:val="21"/>
                <w:lang w:val="en-US" w:eastAsia="zh-CN"/>
              </w:rPr>
              <w:t>3</w:t>
            </w:r>
            <w:r>
              <w:rPr>
                <w:rFonts w:hint="eastAsia" w:ascii="仿宋" w:hAnsi="仿宋" w:eastAsia="仿宋" w:cs="仿宋"/>
                <w:color w:val="auto"/>
                <w:sz w:val="21"/>
                <w:szCs w:val="21"/>
              </w:rPr>
              <w:t>分，最多得</w:t>
            </w:r>
            <w:r>
              <w:rPr>
                <w:rFonts w:hint="eastAsia" w:ascii="仿宋" w:hAnsi="仿宋" w:eastAsia="仿宋" w:cs="仿宋"/>
                <w:color w:val="auto"/>
                <w:sz w:val="21"/>
                <w:szCs w:val="21"/>
                <w:lang w:val="en-US" w:eastAsia="zh-CN"/>
              </w:rPr>
              <w:t>9</w:t>
            </w:r>
            <w:r>
              <w:rPr>
                <w:rFonts w:hint="eastAsia" w:ascii="仿宋" w:hAnsi="仿宋" w:eastAsia="仿宋" w:cs="仿宋"/>
                <w:color w:val="auto"/>
                <w:sz w:val="21"/>
                <w:szCs w:val="21"/>
              </w:rPr>
              <w:t>分。（①申请文件中附业绩证明材料扫描件，业绩证明材料须以中标通知书、合同为准；②业绩年限以合同签订时间为准）。</w:t>
            </w:r>
          </w:p>
          <w:p>
            <w:pPr>
              <w:pStyle w:val="49"/>
              <w:spacing w:line="360" w:lineRule="auto"/>
              <w:rPr>
                <w:rFonts w:hint="default" w:eastAsia="仿宋"/>
                <w:color w:val="auto"/>
                <w:lang w:val="en-US" w:eastAsia="zh-CN"/>
              </w:rPr>
            </w:pPr>
            <w:r>
              <w:rPr>
                <w:rFonts w:hint="eastAsia" w:ascii="仿宋" w:hAnsi="仿宋" w:eastAsia="仿宋" w:cs="仿宋"/>
                <w:color w:val="auto"/>
                <w:sz w:val="21"/>
                <w:szCs w:val="21"/>
                <w:lang w:val="en-US" w:eastAsia="zh-CN"/>
              </w:rPr>
              <w:t>注：资格项业绩不参与打分；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拟派项目经理（</w:t>
            </w:r>
            <w:r>
              <w:rPr>
                <w:rFonts w:hint="eastAsia" w:ascii="仿宋" w:hAnsi="仿宋" w:eastAsia="仿宋" w:cs="仿宋"/>
                <w:color w:val="auto"/>
                <w:szCs w:val="21"/>
                <w:lang w:val="en-US" w:eastAsia="zh-CN"/>
              </w:rPr>
              <w:t>5</w:t>
            </w:r>
            <w:r>
              <w:rPr>
                <w:rFonts w:hint="eastAsia" w:ascii="仿宋" w:hAnsi="仿宋" w:eastAsia="仿宋" w:cs="仿宋"/>
                <w:color w:val="auto"/>
                <w:szCs w:val="21"/>
              </w:rPr>
              <w:t>分）</w:t>
            </w:r>
          </w:p>
        </w:tc>
        <w:tc>
          <w:tcPr>
            <w:tcW w:w="6026" w:type="dxa"/>
          </w:tcPr>
          <w:p>
            <w:pPr>
              <w:pStyle w:val="49"/>
              <w:spacing w:line="360" w:lineRule="auto"/>
              <w:rPr>
                <w:rFonts w:ascii="仿宋" w:hAnsi="仿宋" w:eastAsia="仿宋" w:cs="仿宋"/>
                <w:color w:val="auto"/>
                <w:sz w:val="21"/>
                <w:szCs w:val="21"/>
              </w:rPr>
            </w:pPr>
            <w:r>
              <w:rPr>
                <w:rFonts w:hint="eastAsia" w:ascii="仿宋" w:hAnsi="仿宋" w:eastAsia="仿宋" w:cs="仿宋"/>
                <w:color w:val="auto"/>
                <w:sz w:val="21"/>
                <w:szCs w:val="21"/>
              </w:rPr>
              <w:t>具有建筑类专业中级</w:t>
            </w:r>
            <w:r>
              <w:rPr>
                <w:rFonts w:hint="eastAsia" w:ascii="仿宋" w:hAnsi="仿宋" w:eastAsia="仿宋" w:cs="仿宋"/>
                <w:color w:val="auto"/>
                <w:sz w:val="21"/>
                <w:szCs w:val="21"/>
                <w:lang w:eastAsia="zh-CN"/>
              </w:rPr>
              <w:t>及以上</w:t>
            </w:r>
            <w:r>
              <w:rPr>
                <w:rFonts w:hint="eastAsia" w:ascii="仿宋" w:hAnsi="仿宋" w:eastAsia="仿宋" w:cs="仿宋"/>
                <w:color w:val="auto"/>
                <w:sz w:val="21"/>
                <w:szCs w:val="21"/>
              </w:rPr>
              <w:t>职称得</w:t>
            </w:r>
            <w:r>
              <w:rPr>
                <w:rFonts w:hint="eastAsia" w:ascii="仿宋" w:hAnsi="仿宋" w:eastAsia="仿宋" w:cs="仿宋"/>
                <w:color w:val="auto"/>
                <w:sz w:val="21"/>
                <w:szCs w:val="21"/>
                <w:lang w:val="en-US" w:eastAsia="zh-CN"/>
              </w:rPr>
              <w:t>5</w:t>
            </w:r>
            <w:r>
              <w:rPr>
                <w:rFonts w:hint="eastAsia" w:ascii="仿宋" w:hAnsi="仿宋" w:eastAsia="仿宋" w:cs="仿宋"/>
                <w:color w:val="auto"/>
                <w:sz w:val="21"/>
                <w:szCs w:val="21"/>
              </w:rPr>
              <w:t>分。</w:t>
            </w:r>
          </w:p>
          <w:p>
            <w:pPr>
              <w:pStyle w:val="49"/>
              <w:rPr>
                <w:rFonts w:ascii="仿宋" w:hAnsi="仿宋" w:eastAsia="仿宋" w:cs="仿宋"/>
                <w:color w:val="auto"/>
                <w:sz w:val="21"/>
                <w:szCs w:val="21"/>
              </w:rPr>
            </w:pPr>
            <w:r>
              <w:rPr>
                <w:rFonts w:hint="eastAsia" w:ascii="仿宋" w:hAnsi="仿宋" w:eastAsia="仿宋" w:cs="仿宋"/>
                <w:color w:val="auto"/>
                <w:sz w:val="21"/>
                <w:szCs w:val="21"/>
              </w:rPr>
              <w:t>（资格预审时须在申请文件中附职称证书扫描件，否则不得分）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4"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项目部人员配备</w:t>
            </w:r>
          </w:p>
          <w:p>
            <w:pPr>
              <w:spacing w:line="440" w:lineRule="exact"/>
              <w:jc w:val="center"/>
              <w:rPr>
                <w:rFonts w:ascii="仿宋" w:hAnsi="仿宋" w:eastAsia="仿宋" w:cs="仿宋"/>
                <w:color w:val="auto"/>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8</w:t>
            </w:r>
            <w:r>
              <w:rPr>
                <w:rFonts w:hint="eastAsia" w:ascii="仿宋" w:hAnsi="仿宋" w:eastAsia="仿宋" w:cs="仿宋"/>
                <w:color w:val="auto"/>
                <w:szCs w:val="21"/>
              </w:rPr>
              <w:t>分）</w:t>
            </w:r>
          </w:p>
        </w:tc>
        <w:tc>
          <w:tcPr>
            <w:tcW w:w="6026" w:type="dxa"/>
          </w:tcPr>
          <w:p>
            <w:pPr>
              <w:snapToGrid w:val="0"/>
              <w:spacing w:line="360" w:lineRule="auto"/>
              <w:rPr>
                <w:rFonts w:ascii="仿宋" w:hAnsi="仿宋" w:eastAsia="仿宋" w:cs="仿宋"/>
                <w:color w:val="auto"/>
                <w:szCs w:val="21"/>
              </w:rPr>
            </w:pPr>
            <w:r>
              <w:rPr>
                <w:rFonts w:hint="eastAsia" w:ascii="仿宋" w:hAnsi="仿宋" w:eastAsia="仿宋" w:cs="仿宋"/>
                <w:color w:val="auto"/>
                <w:szCs w:val="21"/>
              </w:rPr>
              <w:t>拟派人员具有施工员、造价（预算）员、质检（量）员、安全员、材料员、试验员、测量员、资料员等岗位上岗资格，</w:t>
            </w:r>
            <w:r>
              <w:rPr>
                <w:rFonts w:hint="eastAsia" w:ascii="仿宋" w:hAnsi="仿宋" w:eastAsia="仿宋" w:cs="仿宋"/>
                <w:color w:val="auto"/>
              </w:rPr>
              <w:t>人员齐全得</w:t>
            </w:r>
            <w:r>
              <w:rPr>
                <w:rFonts w:hint="eastAsia" w:ascii="仿宋" w:hAnsi="仿宋" w:eastAsia="仿宋" w:cs="仿宋"/>
                <w:color w:val="auto"/>
                <w:lang w:val="en-US" w:eastAsia="zh-CN"/>
              </w:rPr>
              <w:t>8</w:t>
            </w:r>
            <w:r>
              <w:rPr>
                <w:rFonts w:hint="eastAsia" w:ascii="仿宋" w:hAnsi="仿宋" w:eastAsia="仿宋" w:cs="仿宋"/>
                <w:color w:val="auto"/>
              </w:rPr>
              <w:t xml:space="preserve">分，每缺1个扣 </w:t>
            </w:r>
            <w:r>
              <w:rPr>
                <w:rFonts w:hint="eastAsia" w:ascii="仿宋" w:hAnsi="仿宋" w:eastAsia="仿宋" w:cs="仿宋"/>
                <w:color w:val="auto"/>
                <w:lang w:val="en-US" w:eastAsia="zh-CN"/>
              </w:rPr>
              <w:t>1</w:t>
            </w:r>
            <w:r>
              <w:rPr>
                <w:rFonts w:hint="eastAsia" w:ascii="仿宋" w:hAnsi="仿宋" w:eastAsia="仿宋" w:cs="仿宋"/>
                <w:color w:val="auto"/>
              </w:rPr>
              <w:t>分，扣完为止</w:t>
            </w:r>
            <w:r>
              <w:rPr>
                <w:rFonts w:hint="eastAsia" w:ascii="仿宋" w:hAnsi="仿宋" w:eastAsia="仿宋" w:cs="仿宋"/>
                <w:color w:val="auto"/>
                <w:kern w:val="0"/>
                <w:szCs w:val="21"/>
              </w:rPr>
              <w:t>；</w:t>
            </w:r>
            <w:r>
              <w:rPr>
                <w:rFonts w:hint="eastAsia" w:ascii="仿宋" w:hAnsi="仿宋" w:eastAsia="仿宋" w:cs="仿宋"/>
                <w:color w:val="auto"/>
              </w:rPr>
              <w:t>资格预审时须提供岗位证证书扫描件和自202</w:t>
            </w:r>
            <w:r>
              <w:rPr>
                <w:rFonts w:hint="eastAsia" w:ascii="仿宋" w:hAnsi="仿宋" w:eastAsia="仿宋" w:cs="仿宋"/>
                <w:color w:val="auto"/>
                <w:lang w:val="en-US" w:eastAsia="zh-CN"/>
              </w:rPr>
              <w:t>1</w:t>
            </w:r>
            <w:r>
              <w:rPr>
                <w:rFonts w:hint="eastAsia" w:ascii="仿宋" w:hAnsi="仿宋" w:eastAsia="仿宋" w:cs="仿宋"/>
                <w:color w:val="auto"/>
              </w:rPr>
              <w:t>年1月1日以来连续</w:t>
            </w:r>
            <w:r>
              <w:rPr>
                <w:rFonts w:hint="eastAsia" w:ascii="仿宋" w:hAnsi="仿宋" w:eastAsia="仿宋" w:cs="仿宋"/>
                <w:color w:val="auto"/>
                <w:lang w:val="en-US" w:eastAsia="zh-CN"/>
              </w:rPr>
              <w:t>3</w:t>
            </w:r>
            <w:r>
              <w:rPr>
                <w:rFonts w:hint="eastAsia" w:ascii="仿宋" w:hAnsi="仿宋" w:eastAsia="仿宋" w:cs="仿宋"/>
                <w:color w:val="auto"/>
              </w:rPr>
              <w:t>个月本单位为其缴纳的社保证明（以带社保中心印章的社保或加盖申请人公章的社保网页截图为准）。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pacing w:val="-9"/>
                <w:kern w:val="0"/>
                <w:szCs w:val="21"/>
              </w:rPr>
            </w:pPr>
            <w:r>
              <w:rPr>
                <w:rFonts w:hint="eastAsia" w:ascii="仿宋" w:hAnsi="仿宋" w:eastAsia="仿宋" w:cs="仿宋"/>
                <w:color w:val="auto"/>
                <w:spacing w:val="-9"/>
                <w:kern w:val="0"/>
                <w:szCs w:val="21"/>
              </w:rPr>
              <w:t>获奖证书</w:t>
            </w:r>
          </w:p>
          <w:p>
            <w:pPr>
              <w:spacing w:line="440" w:lineRule="exact"/>
              <w:jc w:val="center"/>
              <w:rPr>
                <w:rFonts w:ascii="仿宋" w:hAnsi="仿宋" w:eastAsia="仿宋" w:cs="仿宋"/>
                <w:color w:val="auto"/>
                <w:spacing w:val="-9"/>
                <w:kern w:val="0"/>
                <w:szCs w:val="21"/>
              </w:rPr>
            </w:pPr>
            <w:r>
              <w:rPr>
                <w:rFonts w:hint="eastAsia" w:ascii="仿宋" w:hAnsi="仿宋" w:eastAsia="仿宋" w:cs="仿宋"/>
                <w:color w:val="auto"/>
                <w:spacing w:val="-9"/>
                <w:kern w:val="0"/>
                <w:szCs w:val="21"/>
              </w:rPr>
              <w:t>（</w:t>
            </w:r>
            <w:r>
              <w:rPr>
                <w:rFonts w:hint="eastAsia" w:ascii="仿宋" w:hAnsi="仿宋" w:eastAsia="仿宋" w:cs="仿宋"/>
                <w:color w:val="auto"/>
                <w:spacing w:val="-9"/>
                <w:kern w:val="0"/>
                <w:szCs w:val="21"/>
                <w:lang w:val="en-US" w:eastAsia="zh-CN"/>
              </w:rPr>
              <w:t>9</w:t>
            </w:r>
            <w:r>
              <w:rPr>
                <w:rFonts w:hint="eastAsia" w:ascii="仿宋" w:hAnsi="仿宋" w:eastAsia="仿宋" w:cs="仿宋"/>
                <w:color w:val="auto"/>
                <w:spacing w:val="-9"/>
                <w:kern w:val="0"/>
                <w:szCs w:val="21"/>
              </w:rPr>
              <w:t>分）</w:t>
            </w:r>
          </w:p>
        </w:tc>
        <w:tc>
          <w:tcPr>
            <w:tcW w:w="6026" w:type="dxa"/>
            <w:vAlign w:val="center"/>
          </w:tcPr>
          <w:p>
            <w:pPr>
              <w:spacing w:line="276" w:lineRule="auto"/>
              <w:jc w:val="left"/>
              <w:rPr>
                <w:rFonts w:ascii="仿宋" w:hAnsi="仿宋" w:eastAsia="仿宋" w:cs="仿宋"/>
                <w:color w:val="auto"/>
              </w:rPr>
            </w:pPr>
            <w:r>
              <w:rPr>
                <w:rFonts w:hint="eastAsia" w:ascii="仿宋" w:hAnsi="仿宋" w:eastAsia="仿宋" w:cs="仿宋"/>
                <w:color w:val="auto"/>
                <w:spacing w:val="-9"/>
                <w:kern w:val="0"/>
                <w:szCs w:val="21"/>
              </w:rPr>
              <w:t>1、</w:t>
            </w:r>
            <w:r>
              <w:rPr>
                <w:rFonts w:hint="eastAsia" w:ascii="仿宋" w:hAnsi="仿宋" w:eastAsia="仿宋" w:cs="仿宋"/>
                <w:color w:val="auto"/>
              </w:rPr>
              <w:t>201</w:t>
            </w:r>
            <w:r>
              <w:rPr>
                <w:rFonts w:hint="eastAsia" w:ascii="仿宋" w:hAnsi="仿宋" w:eastAsia="仿宋" w:cs="仿宋"/>
                <w:color w:val="auto"/>
                <w:lang w:val="en-US" w:eastAsia="zh-CN"/>
              </w:rPr>
              <w:t>9</w:t>
            </w:r>
            <w:r>
              <w:rPr>
                <w:rFonts w:hint="eastAsia" w:ascii="仿宋" w:hAnsi="仿宋" w:eastAsia="仿宋" w:cs="仿宋"/>
                <w:color w:val="auto"/>
              </w:rPr>
              <w:t>年1月1日以来企业获得工程质量奖项的</w:t>
            </w:r>
            <w:r>
              <w:rPr>
                <w:rFonts w:hint="eastAsia" w:ascii="仿宋" w:hAnsi="仿宋" w:eastAsia="仿宋" w:cs="仿宋"/>
                <w:color w:val="auto"/>
                <w:lang w:eastAsia="zh-CN"/>
              </w:rPr>
              <w:t>，市</w:t>
            </w:r>
            <w:r>
              <w:rPr>
                <w:rFonts w:hint="eastAsia" w:ascii="仿宋" w:hAnsi="仿宋" w:eastAsia="仿宋" w:cs="仿宋"/>
                <w:color w:val="auto"/>
              </w:rPr>
              <w:t>级</w:t>
            </w:r>
            <w:r>
              <w:rPr>
                <w:rFonts w:hint="eastAsia" w:ascii="仿宋" w:hAnsi="仿宋" w:eastAsia="仿宋" w:cs="仿宋"/>
                <w:color w:val="auto"/>
                <w:lang w:eastAsia="zh-CN"/>
              </w:rPr>
              <w:t>及以上</w:t>
            </w:r>
            <w:r>
              <w:rPr>
                <w:rFonts w:hint="eastAsia" w:ascii="仿宋" w:hAnsi="仿宋" w:eastAsia="仿宋" w:cs="仿宋"/>
                <w:color w:val="auto"/>
              </w:rPr>
              <w:t>得</w:t>
            </w:r>
            <w:r>
              <w:rPr>
                <w:rFonts w:hint="eastAsia" w:ascii="仿宋" w:hAnsi="仿宋" w:eastAsia="仿宋" w:cs="仿宋"/>
                <w:color w:val="auto"/>
                <w:lang w:val="en-US" w:eastAsia="zh-CN"/>
              </w:rPr>
              <w:t>3</w:t>
            </w:r>
            <w:r>
              <w:rPr>
                <w:rFonts w:hint="eastAsia" w:ascii="仿宋" w:hAnsi="仿宋" w:eastAsia="仿宋" w:cs="仿宋"/>
                <w:color w:val="auto"/>
              </w:rPr>
              <w:t>分。</w:t>
            </w:r>
          </w:p>
          <w:p>
            <w:pPr>
              <w:spacing w:line="276" w:lineRule="auto"/>
              <w:jc w:val="left"/>
              <w:rPr>
                <w:rFonts w:ascii="仿宋" w:hAnsi="仿宋" w:eastAsia="仿宋" w:cs="仿宋"/>
                <w:color w:val="auto"/>
              </w:rPr>
            </w:pPr>
            <w:r>
              <w:rPr>
                <w:rFonts w:hint="eastAsia" w:ascii="仿宋" w:hAnsi="仿宋" w:eastAsia="仿宋" w:cs="仿宋"/>
                <w:color w:val="auto"/>
              </w:rPr>
              <w:t>2、201</w:t>
            </w:r>
            <w:r>
              <w:rPr>
                <w:rFonts w:hint="eastAsia" w:ascii="仿宋" w:hAnsi="仿宋" w:eastAsia="仿宋" w:cs="仿宋"/>
                <w:color w:val="auto"/>
                <w:lang w:val="en-US" w:eastAsia="zh-CN"/>
              </w:rPr>
              <w:t>9</w:t>
            </w:r>
            <w:r>
              <w:rPr>
                <w:rFonts w:hint="eastAsia" w:ascii="仿宋" w:hAnsi="仿宋" w:eastAsia="仿宋" w:cs="仿宋"/>
                <w:color w:val="auto"/>
              </w:rPr>
              <w:t>年1月1日以来企业获得安全文明奖项的，</w:t>
            </w:r>
            <w:r>
              <w:rPr>
                <w:rFonts w:hint="eastAsia" w:ascii="仿宋" w:hAnsi="仿宋" w:eastAsia="仿宋" w:cs="仿宋"/>
                <w:color w:val="auto"/>
                <w:lang w:eastAsia="zh-CN"/>
              </w:rPr>
              <w:t>市</w:t>
            </w:r>
            <w:r>
              <w:rPr>
                <w:rFonts w:hint="eastAsia" w:ascii="仿宋" w:hAnsi="仿宋" w:eastAsia="仿宋" w:cs="仿宋"/>
                <w:color w:val="auto"/>
              </w:rPr>
              <w:t>级</w:t>
            </w:r>
            <w:r>
              <w:rPr>
                <w:rFonts w:hint="eastAsia" w:ascii="仿宋" w:hAnsi="仿宋" w:eastAsia="仿宋" w:cs="仿宋"/>
                <w:color w:val="auto"/>
                <w:lang w:eastAsia="zh-CN"/>
              </w:rPr>
              <w:t>及以上</w:t>
            </w:r>
            <w:r>
              <w:rPr>
                <w:rFonts w:hint="eastAsia" w:ascii="仿宋" w:hAnsi="仿宋" w:eastAsia="仿宋" w:cs="仿宋"/>
                <w:color w:val="auto"/>
              </w:rPr>
              <w:t>得</w:t>
            </w:r>
            <w:r>
              <w:rPr>
                <w:rFonts w:hint="eastAsia" w:ascii="仿宋" w:hAnsi="仿宋" w:eastAsia="仿宋" w:cs="仿宋"/>
                <w:color w:val="auto"/>
                <w:lang w:val="en-US" w:eastAsia="zh-CN"/>
              </w:rPr>
              <w:t>3</w:t>
            </w:r>
            <w:r>
              <w:rPr>
                <w:rFonts w:hint="eastAsia" w:ascii="仿宋" w:hAnsi="仿宋" w:eastAsia="仿宋" w:cs="仿宋"/>
                <w:color w:val="auto"/>
              </w:rPr>
              <w:t>分。</w:t>
            </w:r>
          </w:p>
          <w:p>
            <w:pPr>
              <w:spacing w:line="276" w:lineRule="auto"/>
              <w:jc w:val="left"/>
              <w:rPr>
                <w:rFonts w:ascii="仿宋" w:hAnsi="仿宋" w:eastAsia="仿宋" w:cs="仿宋"/>
                <w:color w:val="auto"/>
              </w:rPr>
            </w:pPr>
            <w:r>
              <w:rPr>
                <w:rFonts w:hint="eastAsia" w:ascii="仿宋" w:hAnsi="仿宋" w:eastAsia="仿宋" w:cs="仿宋"/>
                <w:color w:val="auto"/>
              </w:rPr>
              <w:t>3、201</w:t>
            </w:r>
            <w:r>
              <w:rPr>
                <w:rFonts w:hint="eastAsia" w:ascii="仿宋" w:hAnsi="仿宋" w:eastAsia="仿宋" w:cs="仿宋"/>
                <w:color w:val="auto"/>
                <w:lang w:val="en-US" w:eastAsia="zh-CN"/>
              </w:rPr>
              <w:t>9</w:t>
            </w:r>
            <w:r>
              <w:rPr>
                <w:rFonts w:hint="eastAsia" w:ascii="仿宋" w:hAnsi="仿宋" w:eastAsia="仿宋" w:cs="仿宋"/>
                <w:color w:val="auto"/>
              </w:rPr>
              <w:t>年1月1日以来企业获得优秀项目经理奖项的，</w:t>
            </w:r>
            <w:r>
              <w:rPr>
                <w:rFonts w:hint="eastAsia" w:ascii="仿宋" w:hAnsi="仿宋" w:eastAsia="仿宋" w:cs="仿宋"/>
                <w:color w:val="auto"/>
                <w:lang w:eastAsia="zh-CN"/>
              </w:rPr>
              <w:t>市</w:t>
            </w:r>
            <w:r>
              <w:rPr>
                <w:rFonts w:hint="eastAsia" w:ascii="仿宋" w:hAnsi="仿宋" w:eastAsia="仿宋" w:cs="仿宋"/>
                <w:color w:val="auto"/>
              </w:rPr>
              <w:t>级</w:t>
            </w:r>
            <w:r>
              <w:rPr>
                <w:rFonts w:hint="eastAsia" w:ascii="仿宋" w:hAnsi="仿宋" w:eastAsia="仿宋" w:cs="仿宋"/>
                <w:color w:val="auto"/>
                <w:lang w:eastAsia="zh-CN"/>
              </w:rPr>
              <w:t>及以上</w:t>
            </w:r>
            <w:r>
              <w:rPr>
                <w:rFonts w:hint="eastAsia" w:ascii="仿宋" w:hAnsi="仿宋" w:eastAsia="仿宋" w:cs="仿宋"/>
                <w:color w:val="auto"/>
              </w:rPr>
              <w:t>得</w:t>
            </w:r>
            <w:r>
              <w:rPr>
                <w:rFonts w:hint="eastAsia" w:ascii="仿宋" w:hAnsi="仿宋" w:eastAsia="仿宋" w:cs="仿宋"/>
                <w:color w:val="auto"/>
                <w:lang w:val="en-US" w:eastAsia="zh-CN"/>
              </w:rPr>
              <w:t>3</w:t>
            </w:r>
            <w:r>
              <w:rPr>
                <w:rFonts w:hint="eastAsia" w:ascii="仿宋" w:hAnsi="仿宋" w:eastAsia="仿宋" w:cs="仿宋"/>
                <w:color w:val="auto"/>
              </w:rPr>
              <w:t>分。</w:t>
            </w:r>
          </w:p>
          <w:p>
            <w:pPr>
              <w:spacing w:line="276" w:lineRule="auto"/>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上述获奖证书须在</w:t>
            </w:r>
            <w:r>
              <w:rPr>
                <w:rFonts w:hint="eastAsia" w:ascii="仿宋" w:hAnsi="仿宋" w:eastAsia="仿宋" w:cs="仿宋"/>
                <w:color w:val="auto"/>
              </w:rPr>
              <w:t>资格预审申请文件中附证书扫描件，</w:t>
            </w:r>
            <w:r>
              <w:rPr>
                <w:rFonts w:hint="eastAsia" w:ascii="仿宋" w:hAnsi="仿宋" w:eastAsia="仿宋" w:cs="仿宋"/>
                <w:color w:val="auto"/>
                <w:spacing w:val="-9"/>
                <w:kern w:val="0"/>
                <w:szCs w:val="21"/>
              </w:rPr>
              <w:t>否则无效。所有证书均指由国家发改委、住房和城乡建设部、省级人民政府、省发改委、省住房和城乡建设厅、市级人民政府、市级发改委、市级住房和城乡建设委员会或各行业协会所颁证书可加分，其它一律不加分；各相同单项证书不累计，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pacing w:val="-9"/>
                <w:kern w:val="0"/>
                <w:szCs w:val="21"/>
              </w:rPr>
            </w:pPr>
            <w:r>
              <w:rPr>
                <w:rFonts w:hint="eastAsia" w:ascii="仿宋" w:hAnsi="仿宋" w:eastAsia="仿宋" w:cs="仿宋"/>
                <w:color w:val="auto"/>
                <w:spacing w:val="-9"/>
                <w:kern w:val="0"/>
                <w:szCs w:val="21"/>
              </w:rPr>
              <w:t>体系认证证书</w:t>
            </w:r>
          </w:p>
          <w:p>
            <w:pPr>
              <w:spacing w:line="440" w:lineRule="exact"/>
              <w:jc w:val="center"/>
              <w:rPr>
                <w:rFonts w:ascii="仿宋" w:hAnsi="仿宋" w:eastAsia="仿宋" w:cs="仿宋"/>
                <w:color w:val="auto"/>
                <w:szCs w:val="21"/>
              </w:rPr>
            </w:pPr>
            <w:r>
              <w:rPr>
                <w:rFonts w:hint="eastAsia" w:ascii="仿宋" w:hAnsi="仿宋" w:eastAsia="仿宋" w:cs="仿宋"/>
                <w:color w:val="auto"/>
                <w:spacing w:val="-9"/>
                <w:kern w:val="0"/>
                <w:szCs w:val="21"/>
              </w:rPr>
              <w:t>（</w:t>
            </w:r>
            <w:r>
              <w:rPr>
                <w:rFonts w:hint="eastAsia" w:ascii="仿宋" w:hAnsi="仿宋" w:eastAsia="仿宋" w:cs="仿宋"/>
                <w:color w:val="auto"/>
                <w:spacing w:val="-9"/>
                <w:kern w:val="0"/>
                <w:szCs w:val="21"/>
                <w:lang w:val="en-US" w:eastAsia="zh-CN"/>
              </w:rPr>
              <w:t>6</w:t>
            </w:r>
            <w:r>
              <w:rPr>
                <w:rFonts w:hint="eastAsia" w:ascii="仿宋" w:hAnsi="仿宋" w:eastAsia="仿宋" w:cs="仿宋"/>
                <w:color w:val="auto"/>
                <w:spacing w:val="-9"/>
                <w:kern w:val="0"/>
                <w:szCs w:val="21"/>
              </w:rPr>
              <w:t>分）</w:t>
            </w:r>
          </w:p>
        </w:tc>
        <w:tc>
          <w:tcPr>
            <w:tcW w:w="6026" w:type="dxa"/>
            <w:vAlign w:val="center"/>
          </w:tcPr>
          <w:p>
            <w:pPr>
              <w:spacing w:line="440" w:lineRule="exact"/>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申请人具有ISO9001质量管理体系、ISO14001环境管理体系、OHSAS18001执业健康安全管理体系认证证书情况，三证齐全得</w:t>
            </w:r>
            <w:r>
              <w:rPr>
                <w:rFonts w:hint="eastAsia" w:ascii="仿宋" w:hAnsi="仿宋" w:eastAsia="仿宋" w:cs="仿宋"/>
                <w:color w:val="auto"/>
                <w:spacing w:val="-9"/>
                <w:kern w:val="0"/>
                <w:szCs w:val="21"/>
                <w:lang w:val="en-US" w:eastAsia="zh-CN"/>
              </w:rPr>
              <w:t>6</w:t>
            </w:r>
            <w:r>
              <w:rPr>
                <w:rFonts w:hint="eastAsia" w:ascii="仿宋" w:hAnsi="仿宋" w:eastAsia="仿宋" w:cs="仿宋"/>
                <w:color w:val="auto"/>
                <w:spacing w:val="-9"/>
                <w:kern w:val="0"/>
                <w:szCs w:val="21"/>
              </w:rPr>
              <w:t>分，否则不得分；</w:t>
            </w:r>
          </w:p>
          <w:p>
            <w:pPr>
              <w:spacing w:line="440" w:lineRule="exact"/>
              <w:jc w:val="left"/>
              <w:rPr>
                <w:rFonts w:ascii="仿宋" w:hAnsi="仿宋" w:eastAsia="仿宋" w:cs="仿宋"/>
                <w:b/>
                <w:bCs/>
                <w:color w:val="auto"/>
                <w:spacing w:val="-9"/>
                <w:kern w:val="0"/>
                <w:szCs w:val="21"/>
              </w:rPr>
            </w:pPr>
            <w:r>
              <w:rPr>
                <w:rFonts w:hint="eastAsia" w:ascii="仿宋" w:hAnsi="仿宋" w:eastAsia="仿宋" w:cs="仿宋"/>
                <w:b/>
                <w:bCs/>
                <w:color w:val="auto"/>
                <w:spacing w:val="-9"/>
                <w:kern w:val="0"/>
                <w:szCs w:val="21"/>
              </w:rPr>
              <w:t>（资格预审时申请文件需附证书扫描件</w:t>
            </w:r>
            <w:r>
              <w:rPr>
                <w:rFonts w:hint="eastAsia" w:ascii="仿宋" w:hAnsi="仿宋" w:eastAsia="仿宋" w:cs="仿宋"/>
                <w:b/>
                <w:color w:val="auto"/>
                <w:szCs w:val="21"/>
              </w:rPr>
              <w:t>，否则不得分</w:t>
            </w:r>
            <w:r>
              <w:rPr>
                <w:rFonts w:hint="eastAsia" w:ascii="仿宋" w:hAnsi="仿宋" w:eastAsia="仿宋" w:cs="仿宋"/>
                <w:b/>
                <w:bCs/>
                <w:color w:val="auto"/>
                <w:spacing w:val="-9"/>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pacing w:val="-9"/>
                <w:kern w:val="0"/>
                <w:szCs w:val="21"/>
              </w:rPr>
            </w:pPr>
            <w:r>
              <w:rPr>
                <w:rFonts w:hint="eastAsia" w:ascii="仿宋" w:hAnsi="仿宋" w:eastAsia="仿宋" w:cs="仿宋"/>
                <w:color w:val="auto"/>
                <w:spacing w:val="-9"/>
                <w:kern w:val="0"/>
                <w:szCs w:val="21"/>
              </w:rPr>
              <w:t>企业信用评价（</w:t>
            </w:r>
            <w:r>
              <w:rPr>
                <w:rFonts w:hint="eastAsia" w:ascii="仿宋" w:hAnsi="仿宋" w:eastAsia="仿宋" w:cs="仿宋"/>
                <w:color w:val="auto"/>
                <w:spacing w:val="-9"/>
                <w:kern w:val="0"/>
                <w:szCs w:val="21"/>
                <w:lang w:val="en-US" w:eastAsia="zh-CN"/>
              </w:rPr>
              <w:t>5</w:t>
            </w:r>
            <w:r>
              <w:rPr>
                <w:rFonts w:hint="eastAsia" w:ascii="仿宋" w:hAnsi="仿宋" w:eastAsia="仿宋" w:cs="仿宋"/>
                <w:color w:val="auto"/>
                <w:spacing w:val="-9"/>
                <w:kern w:val="0"/>
                <w:szCs w:val="21"/>
              </w:rPr>
              <w:t>分）</w:t>
            </w:r>
          </w:p>
        </w:tc>
        <w:tc>
          <w:tcPr>
            <w:tcW w:w="6026" w:type="dxa"/>
            <w:vAlign w:val="center"/>
          </w:tcPr>
          <w:p>
            <w:pPr>
              <w:spacing w:line="440" w:lineRule="exact"/>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2017年1月1日以来企业被评为AAA级的企业得</w:t>
            </w:r>
            <w:r>
              <w:rPr>
                <w:rFonts w:hint="eastAsia" w:ascii="仿宋" w:hAnsi="仿宋" w:eastAsia="仿宋" w:cs="仿宋"/>
                <w:color w:val="auto"/>
                <w:spacing w:val="-9"/>
                <w:kern w:val="0"/>
                <w:szCs w:val="21"/>
                <w:lang w:val="en-US" w:eastAsia="zh-CN"/>
              </w:rPr>
              <w:t>5</w:t>
            </w:r>
            <w:r>
              <w:rPr>
                <w:rFonts w:hint="eastAsia" w:ascii="仿宋" w:hAnsi="仿宋" w:eastAsia="仿宋" w:cs="仿宋"/>
                <w:color w:val="auto"/>
                <w:spacing w:val="-9"/>
                <w:kern w:val="0"/>
                <w:szCs w:val="21"/>
              </w:rPr>
              <w:t>分，被评为AA级的企业得</w:t>
            </w:r>
            <w:r>
              <w:rPr>
                <w:rFonts w:hint="eastAsia" w:ascii="仿宋" w:hAnsi="仿宋" w:eastAsia="仿宋" w:cs="仿宋"/>
                <w:color w:val="auto"/>
                <w:spacing w:val="-9"/>
                <w:kern w:val="0"/>
                <w:szCs w:val="21"/>
                <w:lang w:val="en-US" w:eastAsia="zh-CN"/>
              </w:rPr>
              <w:t>3</w:t>
            </w:r>
            <w:r>
              <w:rPr>
                <w:rFonts w:hint="eastAsia" w:ascii="仿宋" w:hAnsi="仿宋" w:eastAsia="仿宋" w:cs="仿宋"/>
                <w:color w:val="auto"/>
                <w:spacing w:val="-9"/>
                <w:kern w:val="0"/>
                <w:szCs w:val="21"/>
              </w:rPr>
              <w:t>分，被评为A级的企业得1分。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529" w:type="dxa"/>
            <w:vMerge w:val="continue"/>
          </w:tcPr>
          <w:p>
            <w:pPr>
              <w:spacing w:line="440" w:lineRule="exact"/>
              <w:jc w:val="center"/>
              <w:rPr>
                <w:rFonts w:ascii="仿宋" w:hAnsi="仿宋" w:eastAsia="仿宋" w:cs="仿宋"/>
                <w:color w:val="auto"/>
                <w:szCs w:val="21"/>
              </w:rPr>
            </w:pPr>
          </w:p>
        </w:tc>
        <w:tc>
          <w:tcPr>
            <w:tcW w:w="601" w:type="dxa"/>
            <w:vMerge w:val="continue"/>
          </w:tcPr>
          <w:p>
            <w:pPr>
              <w:spacing w:line="440" w:lineRule="exact"/>
              <w:jc w:val="center"/>
              <w:rPr>
                <w:rFonts w:ascii="仿宋" w:hAnsi="仿宋" w:eastAsia="仿宋" w:cs="仿宋"/>
                <w:color w:val="auto"/>
                <w:szCs w:val="21"/>
              </w:rPr>
            </w:pPr>
          </w:p>
        </w:tc>
        <w:tc>
          <w:tcPr>
            <w:tcW w:w="2403" w:type="dxa"/>
            <w:vMerge w:val="restart"/>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pacing w:val="-9"/>
                <w:kern w:val="0"/>
                <w:szCs w:val="21"/>
              </w:rPr>
              <w:t>扬尘污染防治和建筑垃圾处置方案 （2</w:t>
            </w:r>
            <w:r>
              <w:rPr>
                <w:rFonts w:hint="eastAsia" w:ascii="仿宋" w:hAnsi="仿宋" w:eastAsia="仿宋" w:cs="仿宋"/>
                <w:color w:val="auto"/>
                <w:spacing w:val="-9"/>
                <w:kern w:val="0"/>
                <w:szCs w:val="21"/>
                <w:lang w:val="en-US" w:eastAsia="zh-CN"/>
              </w:rPr>
              <w:t>5</w:t>
            </w:r>
            <w:r>
              <w:rPr>
                <w:rFonts w:hint="eastAsia" w:ascii="仿宋" w:hAnsi="仿宋" w:eastAsia="仿宋" w:cs="仿宋"/>
                <w:color w:val="auto"/>
                <w:spacing w:val="-9"/>
                <w:kern w:val="0"/>
                <w:szCs w:val="21"/>
              </w:rPr>
              <w:t>分）</w:t>
            </w:r>
          </w:p>
        </w:tc>
        <w:tc>
          <w:tcPr>
            <w:tcW w:w="6026" w:type="dxa"/>
            <w:vMerge w:val="restart"/>
            <w:vAlign w:val="center"/>
          </w:tcPr>
          <w:p>
            <w:pPr>
              <w:spacing w:line="440" w:lineRule="exact"/>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1、扬尘污染防治措施（</w:t>
            </w:r>
            <w:r>
              <w:rPr>
                <w:rFonts w:hint="eastAsia" w:ascii="仿宋" w:hAnsi="仿宋" w:eastAsia="仿宋" w:cs="仿宋"/>
                <w:color w:val="auto"/>
                <w:spacing w:val="-9"/>
                <w:kern w:val="0"/>
                <w:szCs w:val="21"/>
                <w:lang w:val="en-US" w:eastAsia="zh-CN"/>
              </w:rPr>
              <w:t>10</w:t>
            </w:r>
            <w:r>
              <w:rPr>
                <w:rFonts w:hint="eastAsia" w:ascii="仿宋" w:hAnsi="仿宋" w:eastAsia="仿宋" w:cs="仿宋"/>
                <w:color w:val="auto"/>
                <w:spacing w:val="-9"/>
                <w:kern w:val="0"/>
                <w:szCs w:val="21"/>
              </w:rPr>
              <w:t>分）</w:t>
            </w:r>
          </w:p>
          <w:p>
            <w:pPr>
              <w:spacing w:line="360" w:lineRule="auto"/>
              <w:ind w:firstLine="210" w:firstLineChars="100"/>
              <w:rPr>
                <w:rFonts w:ascii="仿宋" w:hAnsi="仿宋" w:eastAsia="仿宋" w:cs="仿宋"/>
                <w:color w:val="auto"/>
                <w:szCs w:val="21"/>
              </w:rPr>
            </w:pPr>
            <w:r>
              <w:rPr>
                <w:rFonts w:hint="eastAsia" w:ascii="仿宋" w:hAnsi="仿宋" w:eastAsia="仿宋" w:cs="仿宋"/>
                <w:color w:val="auto"/>
                <w:szCs w:val="21"/>
              </w:rPr>
              <w:t>措施齐全，描述详尽、具体且针对性强的得7-10分；</w:t>
            </w:r>
          </w:p>
          <w:p>
            <w:pPr>
              <w:spacing w:line="360" w:lineRule="auto"/>
              <w:ind w:firstLine="210" w:firstLineChars="100"/>
              <w:rPr>
                <w:rFonts w:ascii="仿宋" w:hAnsi="仿宋" w:eastAsia="仿宋" w:cs="仿宋"/>
                <w:color w:val="auto"/>
                <w:szCs w:val="21"/>
              </w:rPr>
            </w:pPr>
            <w:r>
              <w:rPr>
                <w:rFonts w:hint="eastAsia" w:ascii="仿宋" w:hAnsi="仿宋" w:eastAsia="仿宋" w:cs="仿宋"/>
                <w:color w:val="auto"/>
                <w:szCs w:val="21"/>
              </w:rPr>
              <w:t>措施齐全，描述一般且针对性一般的得4-7分；</w:t>
            </w:r>
          </w:p>
          <w:p>
            <w:pPr>
              <w:spacing w:line="360" w:lineRule="auto"/>
              <w:ind w:firstLine="210" w:firstLineChars="100"/>
              <w:rPr>
                <w:rFonts w:ascii="仿宋" w:hAnsi="仿宋" w:eastAsia="仿宋" w:cs="仿宋"/>
                <w:color w:val="auto"/>
                <w:szCs w:val="21"/>
              </w:rPr>
            </w:pPr>
            <w:r>
              <w:rPr>
                <w:rFonts w:hint="eastAsia" w:ascii="仿宋" w:hAnsi="仿宋" w:eastAsia="仿宋" w:cs="仿宋"/>
                <w:color w:val="auto"/>
                <w:szCs w:val="21"/>
              </w:rPr>
              <w:t>有防尘措施，描述一般的得1-4分；</w:t>
            </w:r>
          </w:p>
          <w:p>
            <w:pPr>
              <w:pStyle w:val="49"/>
              <w:ind w:firstLine="210" w:firstLineChars="100"/>
              <w:rPr>
                <w:rFonts w:ascii="仿宋" w:hAnsi="仿宋" w:eastAsia="仿宋" w:cs="仿宋"/>
                <w:color w:val="auto"/>
              </w:rPr>
            </w:pPr>
            <w:r>
              <w:rPr>
                <w:rFonts w:hint="eastAsia" w:ascii="仿宋" w:hAnsi="仿宋" w:eastAsia="仿宋" w:cs="仿宋"/>
                <w:color w:val="auto"/>
                <w:kern w:val="2"/>
                <w:sz w:val="21"/>
                <w:szCs w:val="21"/>
              </w:rPr>
              <w:t>无技术措施不得分。</w:t>
            </w:r>
          </w:p>
          <w:p>
            <w:pPr>
              <w:spacing w:line="440" w:lineRule="exact"/>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2、垃圾处置方案（10分）</w:t>
            </w:r>
          </w:p>
          <w:p>
            <w:pPr>
              <w:spacing w:line="360" w:lineRule="auto"/>
              <w:ind w:firstLine="192" w:firstLineChars="100"/>
              <w:rPr>
                <w:rFonts w:ascii="仿宋" w:hAnsi="仿宋" w:eastAsia="仿宋" w:cs="仿宋"/>
                <w:color w:val="auto"/>
                <w:szCs w:val="21"/>
              </w:rPr>
            </w:pPr>
            <w:r>
              <w:rPr>
                <w:rFonts w:hint="eastAsia" w:ascii="仿宋" w:hAnsi="仿宋" w:eastAsia="仿宋" w:cs="仿宋"/>
                <w:color w:val="auto"/>
                <w:spacing w:val="-9"/>
                <w:kern w:val="0"/>
                <w:szCs w:val="21"/>
              </w:rPr>
              <w:t>方案</w:t>
            </w:r>
            <w:r>
              <w:rPr>
                <w:rFonts w:hint="eastAsia" w:ascii="仿宋" w:hAnsi="仿宋" w:eastAsia="仿宋" w:cs="仿宋"/>
                <w:color w:val="auto"/>
                <w:szCs w:val="21"/>
              </w:rPr>
              <w:t>齐全，描述详尽、具体且针对性强的得7-10分；</w:t>
            </w:r>
          </w:p>
          <w:p>
            <w:pPr>
              <w:spacing w:line="360" w:lineRule="auto"/>
              <w:ind w:firstLine="192" w:firstLineChars="100"/>
              <w:rPr>
                <w:rFonts w:ascii="仿宋" w:hAnsi="仿宋" w:eastAsia="仿宋" w:cs="仿宋"/>
                <w:color w:val="auto"/>
                <w:szCs w:val="21"/>
              </w:rPr>
            </w:pPr>
            <w:r>
              <w:rPr>
                <w:rFonts w:hint="eastAsia" w:ascii="仿宋" w:hAnsi="仿宋" w:eastAsia="仿宋" w:cs="仿宋"/>
                <w:color w:val="auto"/>
                <w:spacing w:val="-9"/>
                <w:kern w:val="0"/>
                <w:szCs w:val="21"/>
              </w:rPr>
              <w:t>方案</w:t>
            </w:r>
            <w:r>
              <w:rPr>
                <w:rFonts w:hint="eastAsia" w:ascii="仿宋" w:hAnsi="仿宋" w:eastAsia="仿宋" w:cs="仿宋"/>
                <w:color w:val="auto"/>
                <w:szCs w:val="21"/>
              </w:rPr>
              <w:t>齐全，描述一般且针对性一般的得4-7分；</w:t>
            </w:r>
          </w:p>
          <w:p>
            <w:pPr>
              <w:spacing w:line="360" w:lineRule="auto"/>
              <w:ind w:firstLine="210" w:firstLineChars="100"/>
              <w:rPr>
                <w:rFonts w:ascii="仿宋" w:hAnsi="仿宋" w:eastAsia="仿宋" w:cs="仿宋"/>
                <w:color w:val="auto"/>
                <w:szCs w:val="21"/>
              </w:rPr>
            </w:pPr>
            <w:r>
              <w:rPr>
                <w:rFonts w:hint="eastAsia" w:ascii="仿宋" w:hAnsi="仿宋" w:eastAsia="仿宋" w:cs="仿宋"/>
                <w:color w:val="auto"/>
                <w:szCs w:val="21"/>
              </w:rPr>
              <w:t>有处置方案，描述一般的得1-4分；</w:t>
            </w:r>
          </w:p>
          <w:p>
            <w:pPr>
              <w:pStyle w:val="49"/>
              <w:ind w:firstLine="210" w:firstLineChars="100"/>
              <w:rPr>
                <w:rFonts w:ascii="仿宋" w:hAnsi="仿宋" w:eastAsia="仿宋" w:cs="仿宋"/>
                <w:color w:val="auto"/>
                <w:spacing w:val="-9"/>
                <w:szCs w:val="21"/>
              </w:rPr>
            </w:pPr>
            <w:r>
              <w:rPr>
                <w:rFonts w:hint="eastAsia" w:ascii="仿宋" w:hAnsi="仿宋" w:eastAsia="仿宋" w:cs="仿宋"/>
                <w:color w:val="auto"/>
                <w:kern w:val="2"/>
                <w:sz w:val="21"/>
                <w:szCs w:val="21"/>
              </w:rPr>
              <w:t>无防尘方案不得分。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 w:hRule="atLeast"/>
          <w:jc w:val="center"/>
        </w:trPr>
        <w:tc>
          <w:tcPr>
            <w:tcW w:w="529" w:type="dxa"/>
          </w:tcPr>
          <w:p>
            <w:pPr>
              <w:spacing w:line="440" w:lineRule="exact"/>
              <w:jc w:val="center"/>
              <w:rPr>
                <w:rFonts w:ascii="仿宋" w:hAnsi="仿宋" w:eastAsia="仿宋" w:cs="仿宋"/>
                <w:color w:val="auto"/>
                <w:szCs w:val="21"/>
              </w:rPr>
            </w:pPr>
          </w:p>
        </w:tc>
        <w:tc>
          <w:tcPr>
            <w:tcW w:w="601" w:type="dxa"/>
          </w:tcPr>
          <w:p>
            <w:pPr>
              <w:spacing w:line="440" w:lineRule="exact"/>
              <w:jc w:val="center"/>
              <w:rPr>
                <w:rFonts w:ascii="仿宋" w:hAnsi="仿宋" w:eastAsia="仿宋" w:cs="仿宋"/>
                <w:color w:val="auto"/>
                <w:szCs w:val="21"/>
              </w:rPr>
            </w:pPr>
          </w:p>
        </w:tc>
        <w:tc>
          <w:tcPr>
            <w:tcW w:w="2403" w:type="dxa"/>
            <w:vMerge w:val="continue"/>
            <w:vAlign w:val="center"/>
          </w:tcPr>
          <w:p>
            <w:pPr>
              <w:spacing w:line="440" w:lineRule="exact"/>
              <w:jc w:val="center"/>
              <w:rPr>
                <w:rFonts w:ascii="仿宋" w:hAnsi="仿宋" w:eastAsia="仿宋" w:cs="仿宋"/>
                <w:color w:val="auto"/>
                <w:szCs w:val="21"/>
              </w:rPr>
            </w:pPr>
          </w:p>
        </w:tc>
        <w:tc>
          <w:tcPr>
            <w:tcW w:w="6026" w:type="dxa"/>
            <w:vMerge w:val="continue"/>
            <w:vAlign w:val="center"/>
          </w:tcPr>
          <w:p>
            <w:pPr>
              <w:pStyle w:val="49"/>
              <w:ind w:firstLine="210" w:firstLineChars="100"/>
              <w:rPr>
                <w:rFonts w:ascii="仿宋" w:hAnsi="仿宋" w:eastAsia="仿宋" w:cs="仿宋"/>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9" w:type="dxa"/>
          </w:tcPr>
          <w:p>
            <w:pPr>
              <w:spacing w:line="440" w:lineRule="exact"/>
              <w:jc w:val="center"/>
              <w:rPr>
                <w:rFonts w:ascii="仿宋" w:hAnsi="仿宋" w:eastAsia="仿宋" w:cs="仿宋"/>
                <w:color w:val="auto"/>
                <w:szCs w:val="21"/>
              </w:rPr>
            </w:pPr>
          </w:p>
        </w:tc>
        <w:tc>
          <w:tcPr>
            <w:tcW w:w="601" w:type="dxa"/>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其他工程技术管理要素</w:t>
            </w:r>
          </w:p>
          <w:p>
            <w:pPr>
              <w:spacing w:line="440" w:lineRule="exact"/>
              <w:jc w:val="center"/>
              <w:rPr>
                <w:rFonts w:ascii="仿宋" w:hAnsi="仿宋" w:eastAsia="仿宋" w:cs="仿宋"/>
                <w:color w:val="auto"/>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25</w:t>
            </w:r>
            <w:r>
              <w:rPr>
                <w:rFonts w:hint="eastAsia" w:ascii="仿宋" w:hAnsi="仿宋" w:eastAsia="仿宋" w:cs="仿宋"/>
                <w:color w:val="auto"/>
                <w:szCs w:val="21"/>
              </w:rPr>
              <w:t>分）</w:t>
            </w:r>
          </w:p>
        </w:tc>
        <w:tc>
          <w:tcPr>
            <w:tcW w:w="6026" w:type="dxa"/>
            <w:vAlign w:val="center"/>
          </w:tcPr>
          <w:p>
            <w:pPr>
              <w:pStyle w:val="64"/>
              <w:snapToGrid w:val="0"/>
              <w:spacing w:line="360" w:lineRule="auto"/>
              <w:ind w:firstLine="0" w:firstLineChars="0"/>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1.针对本项目拟采用的新技术措施（</w:t>
            </w:r>
            <w:r>
              <w:rPr>
                <w:rFonts w:hint="eastAsia" w:ascii="仿宋" w:hAnsi="仿宋" w:eastAsia="仿宋" w:cs="仿宋"/>
                <w:color w:val="auto"/>
                <w:spacing w:val="-9"/>
                <w:kern w:val="0"/>
                <w:szCs w:val="21"/>
                <w:lang w:val="en-US" w:eastAsia="zh-CN"/>
              </w:rPr>
              <w:t>5</w:t>
            </w:r>
            <w:r>
              <w:rPr>
                <w:rFonts w:hint="eastAsia" w:ascii="仿宋" w:hAnsi="仿宋" w:eastAsia="仿宋" w:cs="仿宋"/>
                <w:color w:val="auto"/>
                <w:spacing w:val="-9"/>
                <w:kern w:val="0"/>
                <w:szCs w:val="21"/>
              </w:rPr>
              <w:t>分）</w:t>
            </w:r>
          </w:p>
          <w:p>
            <w:pPr>
              <w:pStyle w:val="64"/>
              <w:snapToGrid w:val="0"/>
              <w:spacing w:line="360" w:lineRule="auto"/>
              <w:ind w:firstLine="192" w:firstLineChars="100"/>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新技术措施齐全，描述详尽、具体且针对性强的得</w:t>
            </w:r>
            <w:r>
              <w:rPr>
                <w:rFonts w:hint="eastAsia" w:ascii="仿宋" w:hAnsi="仿宋" w:eastAsia="仿宋" w:cs="仿宋"/>
                <w:color w:val="auto"/>
                <w:spacing w:val="-9"/>
                <w:kern w:val="0"/>
                <w:szCs w:val="21"/>
                <w:lang w:val="en-US" w:eastAsia="zh-CN"/>
              </w:rPr>
              <w:t>4-5</w:t>
            </w:r>
            <w:r>
              <w:rPr>
                <w:rFonts w:hint="eastAsia" w:ascii="仿宋" w:hAnsi="仿宋" w:eastAsia="仿宋" w:cs="仿宋"/>
                <w:color w:val="auto"/>
                <w:spacing w:val="-9"/>
                <w:kern w:val="0"/>
                <w:szCs w:val="21"/>
              </w:rPr>
              <w:t>分；</w:t>
            </w:r>
          </w:p>
          <w:p>
            <w:pPr>
              <w:pStyle w:val="64"/>
              <w:snapToGrid w:val="0"/>
              <w:spacing w:line="360" w:lineRule="auto"/>
              <w:ind w:firstLine="192" w:firstLineChars="100"/>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新技术措施齐全，描述一般且针对性一般的得</w:t>
            </w:r>
            <w:r>
              <w:rPr>
                <w:rFonts w:hint="eastAsia" w:ascii="仿宋" w:hAnsi="仿宋" w:eastAsia="仿宋" w:cs="仿宋"/>
                <w:color w:val="auto"/>
                <w:spacing w:val="-9"/>
                <w:kern w:val="0"/>
                <w:szCs w:val="21"/>
                <w:lang w:val="en-US" w:eastAsia="zh-CN"/>
              </w:rPr>
              <w:t>2-3</w:t>
            </w:r>
            <w:r>
              <w:rPr>
                <w:rFonts w:hint="eastAsia" w:ascii="仿宋" w:hAnsi="仿宋" w:eastAsia="仿宋" w:cs="仿宋"/>
                <w:color w:val="auto"/>
                <w:spacing w:val="-9"/>
                <w:kern w:val="0"/>
                <w:szCs w:val="21"/>
              </w:rPr>
              <w:t>分；</w:t>
            </w:r>
          </w:p>
          <w:p>
            <w:pPr>
              <w:pStyle w:val="64"/>
              <w:snapToGrid w:val="0"/>
              <w:spacing w:line="360" w:lineRule="auto"/>
              <w:ind w:firstLine="192" w:firstLineChars="100"/>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有新技术措施，描述一般的得1分；</w:t>
            </w:r>
          </w:p>
          <w:p>
            <w:pPr>
              <w:pStyle w:val="64"/>
              <w:snapToGrid w:val="0"/>
              <w:spacing w:line="360" w:lineRule="auto"/>
              <w:ind w:firstLine="192" w:firstLineChars="100"/>
              <w:jc w:val="left"/>
              <w:rPr>
                <w:rFonts w:ascii="仿宋" w:hAnsi="仿宋" w:eastAsia="仿宋" w:cs="仿宋"/>
                <w:color w:val="auto"/>
              </w:rPr>
            </w:pPr>
            <w:r>
              <w:rPr>
                <w:rFonts w:hint="eastAsia" w:ascii="仿宋" w:hAnsi="仿宋" w:eastAsia="仿宋" w:cs="仿宋"/>
                <w:color w:val="auto"/>
                <w:spacing w:val="-9"/>
                <w:kern w:val="0"/>
                <w:szCs w:val="21"/>
              </w:rPr>
              <w:t>无新技术措施不</w:t>
            </w:r>
            <w:r>
              <w:rPr>
                <w:rFonts w:hint="eastAsia" w:ascii="仿宋" w:hAnsi="仿宋" w:eastAsia="仿宋" w:cs="仿宋"/>
                <w:color w:val="auto"/>
                <w:szCs w:val="21"/>
              </w:rPr>
              <w:t>得分。</w:t>
            </w:r>
          </w:p>
          <w:p>
            <w:pPr>
              <w:pStyle w:val="17"/>
              <w:adjustRightInd w:val="0"/>
              <w:snapToGrid w:val="0"/>
              <w:spacing w:line="360" w:lineRule="auto"/>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2.拟投入主要施工机械设备总体情况（</w:t>
            </w:r>
            <w:r>
              <w:rPr>
                <w:rFonts w:hint="eastAsia" w:ascii="仿宋" w:hAnsi="仿宋" w:eastAsia="仿宋" w:cs="仿宋"/>
                <w:color w:val="auto"/>
                <w:spacing w:val="-9"/>
                <w:kern w:val="0"/>
                <w:szCs w:val="21"/>
                <w:lang w:val="en-US" w:eastAsia="zh-CN"/>
              </w:rPr>
              <w:t>10</w:t>
            </w:r>
            <w:r>
              <w:rPr>
                <w:rFonts w:hint="eastAsia" w:ascii="仿宋" w:hAnsi="仿宋" w:eastAsia="仿宋" w:cs="仿宋"/>
                <w:color w:val="auto"/>
                <w:spacing w:val="-9"/>
                <w:kern w:val="0"/>
                <w:szCs w:val="21"/>
              </w:rPr>
              <w:t>分）</w:t>
            </w:r>
          </w:p>
          <w:p>
            <w:pPr>
              <w:pStyle w:val="17"/>
              <w:adjustRightInd w:val="0"/>
              <w:snapToGrid w:val="0"/>
              <w:spacing w:line="360" w:lineRule="auto"/>
              <w:ind w:firstLine="192" w:firstLineChars="100"/>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配备合理，满足工程施工需要，数量合理，性能可靠，来源有保障的得</w:t>
            </w:r>
            <w:r>
              <w:rPr>
                <w:rFonts w:hint="eastAsia" w:ascii="仿宋" w:hAnsi="仿宋" w:eastAsia="仿宋" w:cs="仿宋"/>
                <w:color w:val="auto"/>
                <w:spacing w:val="-9"/>
                <w:kern w:val="0"/>
                <w:szCs w:val="21"/>
                <w:lang w:val="en-US" w:eastAsia="zh-CN"/>
              </w:rPr>
              <w:t>8</w:t>
            </w:r>
            <w:r>
              <w:rPr>
                <w:rFonts w:hint="eastAsia" w:ascii="仿宋" w:hAnsi="仿宋" w:eastAsia="仿宋" w:cs="仿宋"/>
                <w:color w:val="auto"/>
                <w:spacing w:val="-9"/>
                <w:kern w:val="0"/>
                <w:szCs w:val="21"/>
              </w:rPr>
              <w:t>-</w:t>
            </w:r>
            <w:r>
              <w:rPr>
                <w:rFonts w:hint="eastAsia" w:ascii="仿宋" w:hAnsi="仿宋" w:eastAsia="仿宋" w:cs="仿宋"/>
                <w:color w:val="auto"/>
                <w:spacing w:val="-9"/>
                <w:kern w:val="0"/>
                <w:szCs w:val="21"/>
                <w:lang w:val="en-US" w:eastAsia="zh-CN"/>
              </w:rPr>
              <w:t>10</w:t>
            </w:r>
            <w:r>
              <w:rPr>
                <w:rFonts w:hint="eastAsia" w:ascii="仿宋" w:hAnsi="仿宋" w:eastAsia="仿宋" w:cs="仿宋"/>
                <w:color w:val="auto"/>
                <w:spacing w:val="-9"/>
                <w:kern w:val="0"/>
                <w:szCs w:val="21"/>
              </w:rPr>
              <w:t>分。</w:t>
            </w:r>
          </w:p>
          <w:p>
            <w:pPr>
              <w:pStyle w:val="17"/>
              <w:adjustRightInd w:val="0"/>
              <w:snapToGrid w:val="0"/>
              <w:spacing w:line="360" w:lineRule="auto"/>
              <w:ind w:firstLine="192" w:firstLineChars="100"/>
              <w:jc w:val="left"/>
              <w:rPr>
                <w:rFonts w:ascii="仿宋" w:hAnsi="仿宋" w:eastAsia="仿宋" w:cs="仿宋"/>
                <w:color w:val="auto"/>
                <w:spacing w:val="-9"/>
                <w:kern w:val="0"/>
                <w:szCs w:val="21"/>
              </w:rPr>
            </w:pPr>
            <w:r>
              <w:rPr>
                <w:rFonts w:hint="eastAsia" w:ascii="仿宋" w:hAnsi="仿宋" w:eastAsia="仿宋" w:cs="仿宋"/>
                <w:color w:val="auto"/>
                <w:spacing w:val="-9"/>
                <w:kern w:val="0"/>
                <w:szCs w:val="21"/>
              </w:rPr>
              <w:t>配备基本合理，基本满足工程施工需要，数量偏多，数量和来源存在不确定性的得</w:t>
            </w:r>
            <w:r>
              <w:rPr>
                <w:rFonts w:hint="eastAsia" w:ascii="仿宋" w:hAnsi="仿宋" w:eastAsia="仿宋" w:cs="仿宋"/>
                <w:color w:val="auto"/>
                <w:spacing w:val="-9"/>
                <w:kern w:val="0"/>
                <w:szCs w:val="21"/>
                <w:lang w:val="en-US" w:eastAsia="zh-CN"/>
              </w:rPr>
              <w:t>4</w:t>
            </w:r>
            <w:r>
              <w:rPr>
                <w:rFonts w:hint="eastAsia" w:ascii="仿宋" w:hAnsi="仿宋" w:eastAsia="仿宋" w:cs="仿宋"/>
                <w:color w:val="auto"/>
                <w:spacing w:val="-9"/>
                <w:kern w:val="0"/>
                <w:szCs w:val="21"/>
              </w:rPr>
              <w:t>-</w:t>
            </w:r>
            <w:r>
              <w:rPr>
                <w:rFonts w:hint="eastAsia" w:ascii="仿宋" w:hAnsi="仿宋" w:eastAsia="仿宋" w:cs="仿宋"/>
                <w:color w:val="auto"/>
                <w:spacing w:val="-9"/>
                <w:kern w:val="0"/>
                <w:szCs w:val="21"/>
                <w:lang w:val="en-US" w:eastAsia="zh-CN"/>
              </w:rPr>
              <w:t>7</w:t>
            </w:r>
            <w:r>
              <w:rPr>
                <w:rFonts w:hint="eastAsia" w:ascii="仿宋" w:hAnsi="仿宋" w:eastAsia="仿宋" w:cs="仿宋"/>
                <w:color w:val="auto"/>
                <w:spacing w:val="-9"/>
                <w:kern w:val="0"/>
                <w:szCs w:val="21"/>
              </w:rPr>
              <w:t>分。</w:t>
            </w:r>
          </w:p>
          <w:p>
            <w:pPr>
              <w:pStyle w:val="17"/>
              <w:adjustRightInd w:val="0"/>
              <w:snapToGrid w:val="0"/>
              <w:spacing w:line="360" w:lineRule="auto"/>
              <w:ind w:firstLine="192" w:firstLineChars="100"/>
              <w:jc w:val="left"/>
              <w:rPr>
                <w:rFonts w:hint="eastAsia" w:ascii="仿宋" w:hAnsi="仿宋" w:eastAsia="仿宋" w:cs="仿宋"/>
                <w:color w:val="auto"/>
                <w:spacing w:val="-9"/>
                <w:kern w:val="0"/>
                <w:szCs w:val="21"/>
              </w:rPr>
            </w:pPr>
            <w:r>
              <w:rPr>
                <w:rFonts w:hint="eastAsia" w:ascii="仿宋" w:hAnsi="仿宋" w:eastAsia="仿宋" w:cs="仿宋"/>
                <w:color w:val="auto"/>
                <w:spacing w:val="-9"/>
                <w:kern w:val="0"/>
                <w:szCs w:val="21"/>
              </w:rPr>
              <w:t>配备欠合理、来源存在不确定性、数量不足、性能不够可靠的得1-</w:t>
            </w:r>
            <w:r>
              <w:rPr>
                <w:rFonts w:hint="eastAsia" w:ascii="仿宋" w:hAnsi="仿宋" w:eastAsia="仿宋" w:cs="仿宋"/>
                <w:color w:val="auto"/>
                <w:spacing w:val="-9"/>
                <w:kern w:val="0"/>
                <w:szCs w:val="21"/>
                <w:lang w:val="en-US" w:eastAsia="zh-CN"/>
              </w:rPr>
              <w:t>3</w:t>
            </w:r>
            <w:r>
              <w:rPr>
                <w:rFonts w:hint="eastAsia" w:ascii="仿宋" w:hAnsi="仿宋" w:eastAsia="仿宋" w:cs="仿宋"/>
                <w:color w:val="auto"/>
                <w:spacing w:val="-9"/>
                <w:kern w:val="0"/>
                <w:szCs w:val="21"/>
              </w:rPr>
              <w:t>分。</w:t>
            </w:r>
          </w:p>
          <w:p>
            <w:pPr>
              <w:pStyle w:val="17"/>
              <w:numPr>
                <w:ilvl w:val="0"/>
                <w:numId w:val="3"/>
              </w:numPr>
              <w:adjustRightInd w:val="0"/>
              <w:snapToGrid w:val="0"/>
              <w:spacing w:line="360" w:lineRule="auto"/>
              <w:jc w:val="left"/>
              <w:rPr>
                <w:rFonts w:hint="eastAsia" w:ascii="仿宋" w:hAnsi="仿宋" w:eastAsia="仿宋" w:cs="仿宋"/>
                <w:color w:val="auto"/>
                <w:spacing w:val="-9"/>
                <w:kern w:val="0"/>
                <w:szCs w:val="21"/>
                <w:lang w:val="en-US" w:eastAsia="zh-CN"/>
              </w:rPr>
            </w:pPr>
            <w:r>
              <w:rPr>
                <w:rFonts w:hint="eastAsia" w:ascii="仿宋" w:hAnsi="仿宋" w:eastAsia="仿宋" w:cs="宋体"/>
                <w:color w:val="auto"/>
                <w:spacing w:val="14"/>
                <w:sz w:val="21"/>
                <w:szCs w:val="21"/>
                <w:lang w:val="zh-CN"/>
              </w:rPr>
              <w:t>工期保证措施</w:t>
            </w:r>
            <w:r>
              <w:rPr>
                <w:rFonts w:hint="eastAsia" w:ascii="仿宋" w:hAnsi="仿宋" w:eastAsia="仿宋" w:cs="仿宋"/>
                <w:color w:val="auto"/>
                <w:spacing w:val="-9"/>
                <w:kern w:val="0"/>
                <w:szCs w:val="21"/>
                <w:lang w:val="en-US" w:eastAsia="zh-CN"/>
              </w:rPr>
              <w:t>（10分）</w:t>
            </w:r>
          </w:p>
          <w:p>
            <w:pPr>
              <w:pStyle w:val="17"/>
              <w:adjustRightInd w:val="0"/>
              <w:snapToGrid w:val="0"/>
              <w:spacing w:line="360" w:lineRule="auto"/>
              <w:jc w:val="left"/>
              <w:rPr>
                <w:rFonts w:hint="eastAsia" w:ascii="仿宋" w:hAnsi="仿宋" w:eastAsia="仿宋" w:cs="仿宋"/>
                <w:color w:val="auto"/>
                <w:spacing w:val="-9"/>
                <w:kern w:val="0"/>
                <w:szCs w:val="21"/>
                <w:lang w:val="en-US" w:eastAsia="zh-CN"/>
              </w:rPr>
            </w:pPr>
            <w:r>
              <w:rPr>
                <w:rFonts w:hint="eastAsia" w:ascii="仿宋" w:hAnsi="仿宋" w:eastAsia="仿宋" w:cs="仿宋"/>
                <w:color w:val="auto"/>
                <w:spacing w:val="-9"/>
                <w:kern w:val="0"/>
                <w:szCs w:val="21"/>
                <w:lang w:val="zh-CN"/>
              </w:rPr>
              <w:t>（</w:t>
            </w:r>
            <w:r>
              <w:rPr>
                <w:rFonts w:hint="eastAsia" w:ascii="仿宋" w:hAnsi="仿宋" w:eastAsia="仿宋" w:cs="仿宋"/>
                <w:color w:val="auto"/>
                <w:spacing w:val="-9"/>
                <w:kern w:val="0"/>
                <w:szCs w:val="21"/>
                <w:lang w:val="en-US" w:eastAsia="zh-CN"/>
              </w:rPr>
              <w:t>1</w:t>
            </w:r>
            <w:r>
              <w:rPr>
                <w:rFonts w:hint="eastAsia" w:ascii="仿宋" w:hAnsi="仿宋" w:eastAsia="仿宋" w:cs="仿宋"/>
                <w:color w:val="auto"/>
                <w:spacing w:val="-9"/>
                <w:kern w:val="0"/>
                <w:szCs w:val="21"/>
                <w:lang w:val="zh-CN"/>
              </w:rPr>
              <w:t>）编制各施工节点，月、旬作业计划，定期落实计划实施  0-</w:t>
            </w:r>
            <w:r>
              <w:rPr>
                <w:rFonts w:hint="eastAsia" w:ascii="仿宋" w:hAnsi="仿宋" w:eastAsia="仿宋" w:cs="仿宋"/>
                <w:color w:val="auto"/>
                <w:spacing w:val="-9"/>
                <w:kern w:val="0"/>
                <w:szCs w:val="21"/>
                <w:lang w:val="en-US" w:eastAsia="zh-CN"/>
              </w:rPr>
              <w:t>4</w:t>
            </w:r>
            <w:r>
              <w:rPr>
                <w:rFonts w:hint="eastAsia" w:ascii="仿宋" w:hAnsi="仿宋" w:eastAsia="仿宋" w:cs="仿宋"/>
                <w:color w:val="auto"/>
                <w:spacing w:val="-9"/>
                <w:kern w:val="0"/>
                <w:szCs w:val="21"/>
                <w:lang w:val="zh-CN"/>
              </w:rPr>
              <w:t>分。</w:t>
            </w:r>
          </w:p>
          <w:p>
            <w:pPr>
              <w:pStyle w:val="17"/>
              <w:adjustRightInd w:val="0"/>
              <w:snapToGrid w:val="0"/>
              <w:spacing w:line="360" w:lineRule="auto"/>
              <w:jc w:val="left"/>
              <w:rPr>
                <w:rFonts w:hint="eastAsia" w:ascii="仿宋" w:hAnsi="仿宋" w:eastAsia="仿宋" w:cs="仿宋"/>
                <w:color w:val="auto"/>
                <w:spacing w:val="-9"/>
                <w:kern w:val="0"/>
                <w:szCs w:val="21"/>
                <w:lang w:val="zh-CN"/>
              </w:rPr>
            </w:pPr>
            <w:r>
              <w:rPr>
                <w:rFonts w:hint="eastAsia" w:ascii="仿宋" w:hAnsi="仿宋" w:eastAsia="仿宋" w:cs="仿宋"/>
                <w:color w:val="auto"/>
                <w:spacing w:val="-9"/>
                <w:kern w:val="0"/>
                <w:szCs w:val="21"/>
                <w:lang w:val="zh-CN"/>
              </w:rPr>
              <w:t>（</w:t>
            </w:r>
            <w:r>
              <w:rPr>
                <w:rFonts w:hint="eastAsia" w:ascii="仿宋" w:hAnsi="仿宋" w:eastAsia="仿宋" w:cs="仿宋"/>
                <w:color w:val="auto"/>
                <w:spacing w:val="-9"/>
                <w:kern w:val="0"/>
                <w:szCs w:val="21"/>
                <w:lang w:val="en-US" w:eastAsia="zh-CN"/>
              </w:rPr>
              <w:t>2</w:t>
            </w:r>
            <w:r>
              <w:rPr>
                <w:rFonts w:hint="eastAsia" w:ascii="仿宋" w:hAnsi="仿宋" w:eastAsia="仿宋" w:cs="仿宋"/>
                <w:color w:val="auto"/>
                <w:spacing w:val="-9"/>
                <w:kern w:val="0"/>
                <w:szCs w:val="21"/>
                <w:lang w:val="zh-CN"/>
              </w:rPr>
              <w:t>）交叉、流水施工作业方案  0-</w:t>
            </w:r>
            <w:r>
              <w:rPr>
                <w:rFonts w:hint="eastAsia" w:ascii="仿宋" w:hAnsi="仿宋" w:eastAsia="仿宋" w:cs="仿宋"/>
                <w:color w:val="auto"/>
                <w:spacing w:val="-9"/>
                <w:kern w:val="0"/>
                <w:szCs w:val="21"/>
                <w:lang w:val="en-US" w:eastAsia="zh-CN"/>
              </w:rPr>
              <w:t>3</w:t>
            </w:r>
            <w:r>
              <w:rPr>
                <w:rFonts w:hint="eastAsia" w:ascii="仿宋" w:hAnsi="仿宋" w:eastAsia="仿宋" w:cs="仿宋"/>
                <w:color w:val="auto"/>
                <w:spacing w:val="-9"/>
                <w:kern w:val="0"/>
                <w:szCs w:val="21"/>
                <w:lang w:val="zh-CN"/>
              </w:rPr>
              <w:t>分。</w:t>
            </w:r>
          </w:p>
          <w:p>
            <w:pPr>
              <w:pStyle w:val="17"/>
              <w:adjustRightInd w:val="0"/>
              <w:snapToGrid w:val="0"/>
              <w:spacing w:line="360" w:lineRule="auto"/>
              <w:jc w:val="left"/>
              <w:rPr>
                <w:rFonts w:hint="default" w:ascii="仿宋" w:hAnsi="仿宋" w:eastAsia="仿宋" w:cs="仿宋"/>
                <w:color w:val="auto"/>
                <w:spacing w:val="-9"/>
                <w:kern w:val="0"/>
                <w:szCs w:val="21"/>
                <w:lang w:val="en-US" w:eastAsia="zh-CN"/>
              </w:rPr>
            </w:pPr>
            <w:r>
              <w:rPr>
                <w:rFonts w:hint="eastAsia" w:ascii="仿宋" w:hAnsi="仿宋" w:eastAsia="仿宋" w:cs="仿宋"/>
                <w:color w:val="auto"/>
                <w:spacing w:val="-9"/>
                <w:kern w:val="0"/>
                <w:szCs w:val="21"/>
                <w:lang w:val="zh-CN"/>
              </w:rPr>
              <w:t>（</w:t>
            </w:r>
            <w:r>
              <w:rPr>
                <w:rFonts w:hint="eastAsia" w:ascii="仿宋" w:hAnsi="仿宋" w:eastAsia="仿宋" w:cs="仿宋"/>
                <w:color w:val="auto"/>
                <w:spacing w:val="-9"/>
                <w:kern w:val="0"/>
                <w:szCs w:val="21"/>
                <w:lang w:val="en-US" w:eastAsia="zh-CN"/>
              </w:rPr>
              <w:t>3</w:t>
            </w:r>
            <w:r>
              <w:rPr>
                <w:rFonts w:hint="eastAsia" w:ascii="仿宋" w:hAnsi="仿宋" w:eastAsia="仿宋" w:cs="仿宋"/>
                <w:color w:val="auto"/>
                <w:spacing w:val="-9"/>
                <w:kern w:val="0"/>
                <w:szCs w:val="21"/>
                <w:lang w:val="zh-CN"/>
              </w:rPr>
              <w:t>）合理调配机械、材料、劳动力方案  0-</w:t>
            </w:r>
            <w:r>
              <w:rPr>
                <w:rFonts w:hint="eastAsia" w:ascii="仿宋" w:hAnsi="仿宋" w:eastAsia="仿宋" w:cs="仿宋"/>
                <w:color w:val="auto"/>
                <w:spacing w:val="-9"/>
                <w:kern w:val="0"/>
                <w:szCs w:val="21"/>
                <w:lang w:val="en-US" w:eastAsia="zh-CN"/>
              </w:rPr>
              <w:t>3</w:t>
            </w:r>
            <w:r>
              <w:rPr>
                <w:rFonts w:hint="eastAsia" w:ascii="仿宋" w:hAnsi="仿宋" w:eastAsia="仿宋" w:cs="仿宋"/>
                <w:color w:val="auto"/>
                <w:spacing w:val="-9"/>
                <w:kern w:val="0"/>
                <w:szCs w:val="21"/>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9" w:type="dxa"/>
          </w:tcPr>
          <w:p>
            <w:pPr>
              <w:spacing w:line="440" w:lineRule="exact"/>
              <w:jc w:val="center"/>
              <w:rPr>
                <w:rFonts w:ascii="仿宋" w:hAnsi="仿宋" w:eastAsia="仿宋" w:cs="仿宋"/>
                <w:color w:val="auto"/>
                <w:szCs w:val="21"/>
              </w:rPr>
            </w:pPr>
          </w:p>
        </w:tc>
        <w:tc>
          <w:tcPr>
            <w:tcW w:w="601" w:type="dxa"/>
          </w:tcPr>
          <w:p>
            <w:pPr>
              <w:spacing w:line="440" w:lineRule="exact"/>
              <w:jc w:val="center"/>
              <w:rPr>
                <w:rFonts w:ascii="仿宋" w:hAnsi="仿宋" w:eastAsia="仿宋" w:cs="仿宋"/>
                <w:color w:val="auto"/>
                <w:szCs w:val="21"/>
              </w:rPr>
            </w:pPr>
          </w:p>
        </w:tc>
        <w:tc>
          <w:tcPr>
            <w:tcW w:w="2403" w:type="dxa"/>
            <w:vAlign w:val="center"/>
          </w:tcPr>
          <w:p>
            <w:pPr>
              <w:spacing w:line="440" w:lineRule="exact"/>
              <w:jc w:val="center"/>
              <w:rPr>
                <w:rFonts w:hint="eastAsia" w:ascii="仿宋" w:hAnsi="仿宋" w:eastAsia="仿宋" w:cs="仿宋"/>
                <w:color w:val="auto"/>
                <w:szCs w:val="21"/>
              </w:rPr>
            </w:pPr>
            <w:r>
              <w:rPr>
                <w:rFonts w:hint="eastAsia" w:ascii="仿宋" w:hAnsi="仿宋" w:eastAsia="仿宋" w:cs="仿宋"/>
                <w:color w:val="auto"/>
                <w:spacing w:val="-9"/>
                <w:kern w:val="0"/>
                <w:sz w:val="21"/>
                <w:szCs w:val="21"/>
                <w:lang w:val="en-US" w:eastAsia="zh-CN" w:bidi="ar-SA"/>
              </w:rPr>
              <w:t>综合评定（3分）</w:t>
            </w:r>
          </w:p>
        </w:tc>
        <w:tc>
          <w:tcPr>
            <w:tcW w:w="6026" w:type="dxa"/>
            <w:vAlign w:val="center"/>
          </w:tcPr>
          <w:p>
            <w:pPr>
              <w:pStyle w:val="17"/>
              <w:adjustRightInd w:val="0"/>
              <w:snapToGrid w:val="0"/>
              <w:spacing w:line="360" w:lineRule="auto"/>
              <w:ind w:firstLine="192" w:firstLineChars="100"/>
              <w:jc w:val="left"/>
              <w:rPr>
                <w:rFonts w:hint="eastAsia" w:ascii="仿宋" w:hAnsi="仿宋" w:eastAsia="仿宋" w:cs="仿宋"/>
                <w:color w:val="auto"/>
                <w:spacing w:val="-9"/>
                <w:kern w:val="0"/>
                <w:szCs w:val="21"/>
                <w:lang w:eastAsia="zh-CN"/>
              </w:rPr>
            </w:pPr>
            <w:r>
              <w:rPr>
                <w:rFonts w:hint="eastAsia" w:ascii="仿宋" w:hAnsi="仿宋" w:eastAsia="仿宋" w:cs="仿宋"/>
                <w:color w:val="auto"/>
                <w:spacing w:val="-9"/>
                <w:kern w:val="0"/>
                <w:szCs w:val="21"/>
              </w:rPr>
              <w:t>评委会成员结合项目的情况，综合考虑各申请人的资历、信誉、能力等，在</w:t>
            </w:r>
            <w:r>
              <w:rPr>
                <w:rFonts w:hint="eastAsia" w:ascii="仿宋" w:hAnsi="仿宋" w:eastAsia="仿宋" w:cs="仿宋"/>
                <w:color w:val="auto"/>
                <w:spacing w:val="-9"/>
                <w:kern w:val="0"/>
                <w:szCs w:val="21"/>
                <w:lang w:val="en-US" w:eastAsia="zh-CN"/>
              </w:rPr>
              <w:t>0</w:t>
            </w:r>
            <w:r>
              <w:rPr>
                <w:rFonts w:hint="eastAsia" w:ascii="仿宋" w:hAnsi="仿宋" w:eastAsia="仿宋" w:cs="仿宋"/>
                <w:color w:val="auto"/>
                <w:spacing w:val="-9"/>
                <w:kern w:val="0"/>
                <w:szCs w:val="21"/>
              </w:rPr>
              <w:t>-3分间适当打分</w:t>
            </w:r>
            <w:r>
              <w:rPr>
                <w:rFonts w:hint="eastAsia" w:ascii="仿宋" w:hAnsi="仿宋" w:eastAsia="仿宋" w:cs="仿宋"/>
                <w:color w:val="auto"/>
                <w:spacing w:val="-9"/>
                <w:kern w:val="0"/>
                <w:szCs w:val="21"/>
                <w:lang w:eastAsia="zh-CN"/>
              </w:rPr>
              <w:t>；</w:t>
            </w:r>
          </w:p>
        </w:tc>
      </w:tr>
    </w:tbl>
    <w:p>
      <w:pPr>
        <w:rPr>
          <w:color w:val="auto"/>
        </w:rPr>
      </w:pPr>
    </w:p>
    <w:p>
      <w:pPr>
        <w:pStyle w:val="61"/>
        <w:rPr>
          <w:rFonts w:ascii="仿宋" w:hAnsi="仿宋" w:eastAsia="仿宋" w:cs="仿宋"/>
          <w:b/>
          <w:bCs/>
          <w:color w:val="auto"/>
          <w:sz w:val="21"/>
          <w:szCs w:val="21"/>
        </w:rPr>
      </w:pPr>
      <w:r>
        <w:rPr>
          <w:rFonts w:hint="eastAsia" w:ascii="仿宋" w:hAnsi="仿宋" w:eastAsia="仿宋" w:cs="仿宋"/>
          <w:b/>
          <w:bCs/>
          <w:color w:val="auto"/>
          <w:sz w:val="21"/>
          <w:szCs w:val="21"/>
        </w:rPr>
        <w:t>1. 审查方法</w:t>
      </w:r>
      <w:bookmarkEnd w:id="106"/>
      <w:bookmarkEnd w:id="107"/>
      <w:bookmarkEnd w:id="108"/>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本次资格预审采用有限数量制。审查委员会依据本章规定的审查标准和程序，对通过初步审查和详细审查的资格预审申请文件进行量化打分，按得分由高到低的顺序确定通过资格预审的申请人。通过资格预审的申请人不超过资格审查办法前附表规定的数量。</w:t>
      </w:r>
    </w:p>
    <w:p>
      <w:pPr>
        <w:pStyle w:val="61"/>
        <w:rPr>
          <w:rFonts w:ascii="仿宋" w:hAnsi="仿宋" w:eastAsia="仿宋" w:cs="仿宋"/>
          <w:b/>
          <w:bCs/>
          <w:color w:val="auto"/>
          <w:sz w:val="24"/>
          <w:szCs w:val="24"/>
        </w:rPr>
      </w:pPr>
      <w:bookmarkStart w:id="112" w:name="_Toc179715741"/>
      <w:bookmarkStart w:id="113" w:name="_Toc144974452"/>
      <w:bookmarkStart w:id="114" w:name="_Toc152047248"/>
      <w:r>
        <w:rPr>
          <w:rFonts w:hint="eastAsia" w:ascii="仿宋" w:hAnsi="仿宋" w:eastAsia="仿宋" w:cs="仿宋"/>
          <w:b/>
          <w:bCs/>
          <w:color w:val="auto"/>
          <w:sz w:val="24"/>
          <w:szCs w:val="24"/>
        </w:rPr>
        <w:t>2. 审查标准</w:t>
      </w:r>
      <w:bookmarkEnd w:id="112"/>
      <w:bookmarkEnd w:id="113"/>
      <w:bookmarkEnd w:id="114"/>
    </w:p>
    <w:p>
      <w:pPr>
        <w:pStyle w:val="63"/>
        <w:rPr>
          <w:rFonts w:ascii="仿宋" w:hAnsi="仿宋" w:eastAsia="仿宋" w:cs="仿宋"/>
          <w:b/>
          <w:bCs/>
          <w:color w:val="auto"/>
          <w:sz w:val="21"/>
          <w:szCs w:val="21"/>
        </w:rPr>
      </w:pPr>
      <w:bookmarkStart w:id="115" w:name="_Toc152047249"/>
      <w:bookmarkStart w:id="116" w:name="_Toc144974453"/>
      <w:bookmarkStart w:id="117" w:name="_Toc179715742"/>
      <w:r>
        <w:rPr>
          <w:rFonts w:hint="eastAsia" w:ascii="仿宋" w:hAnsi="仿宋" w:eastAsia="仿宋" w:cs="仿宋"/>
          <w:b/>
          <w:bCs/>
          <w:color w:val="auto"/>
          <w:sz w:val="21"/>
          <w:szCs w:val="21"/>
        </w:rPr>
        <w:t>2.1 初步审查标准</w:t>
      </w:r>
      <w:bookmarkEnd w:id="115"/>
      <w:bookmarkEnd w:id="116"/>
      <w:bookmarkEnd w:id="117"/>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初步审查标准：见资格审查办法前附表</w:t>
      </w:r>
    </w:p>
    <w:p>
      <w:pPr>
        <w:pStyle w:val="63"/>
        <w:rPr>
          <w:rFonts w:ascii="仿宋" w:hAnsi="仿宋" w:eastAsia="仿宋" w:cs="仿宋"/>
          <w:b/>
          <w:bCs/>
          <w:color w:val="auto"/>
          <w:sz w:val="21"/>
          <w:szCs w:val="21"/>
        </w:rPr>
      </w:pPr>
      <w:bookmarkStart w:id="118" w:name="_Toc144974454"/>
      <w:bookmarkStart w:id="119" w:name="_Toc179715743"/>
      <w:bookmarkStart w:id="120" w:name="_Toc152047250"/>
      <w:r>
        <w:rPr>
          <w:rFonts w:hint="eastAsia" w:ascii="仿宋" w:hAnsi="仿宋" w:eastAsia="仿宋" w:cs="仿宋"/>
          <w:b/>
          <w:bCs/>
          <w:color w:val="auto"/>
          <w:sz w:val="21"/>
          <w:szCs w:val="21"/>
        </w:rPr>
        <w:t>2.2 资格审查标准</w:t>
      </w:r>
      <w:bookmarkEnd w:id="118"/>
      <w:bookmarkEnd w:id="119"/>
      <w:bookmarkEnd w:id="120"/>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资格审查标准：见资格审查办法前附表。</w:t>
      </w:r>
    </w:p>
    <w:p>
      <w:pPr>
        <w:pStyle w:val="63"/>
        <w:rPr>
          <w:rFonts w:ascii="仿宋" w:hAnsi="仿宋" w:eastAsia="仿宋" w:cs="仿宋"/>
          <w:b/>
          <w:bCs/>
          <w:color w:val="auto"/>
          <w:sz w:val="21"/>
          <w:szCs w:val="21"/>
        </w:rPr>
      </w:pPr>
      <w:bookmarkStart w:id="121" w:name="_Toc152047251"/>
      <w:bookmarkStart w:id="122" w:name="_Toc179715744"/>
      <w:bookmarkStart w:id="123" w:name="_Toc144974455"/>
      <w:r>
        <w:rPr>
          <w:rFonts w:hint="eastAsia" w:ascii="仿宋" w:hAnsi="仿宋" w:eastAsia="仿宋" w:cs="仿宋"/>
          <w:b/>
          <w:bCs/>
          <w:color w:val="auto"/>
          <w:sz w:val="21"/>
          <w:szCs w:val="21"/>
        </w:rPr>
        <w:t>2.3 评分标准</w:t>
      </w:r>
      <w:bookmarkEnd w:id="121"/>
      <w:bookmarkEnd w:id="122"/>
      <w:bookmarkEnd w:id="123"/>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评分标准：见资格审查办法前附表。</w:t>
      </w:r>
    </w:p>
    <w:p>
      <w:pPr>
        <w:pStyle w:val="61"/>
        <w:rPr>
          <w:rFonts w:ascii="仿宋" w:hAnsi="仿宋" w:eastAsia="仿宋" w:cs="仿宋"/>
          <w:b/>
          <w:bCs/>
          <w:color w:val="auto"/>
          <w:sz w:val="24"/>
          <w:szCs w:val="24"/>
        </w:rPr>
      </w:pPr>
      <w:bookmarkStart w:id="124" w:name="_Toc152047252"/>
      <w:bookmarkStart w:id="125" w:name="_Toc144974456"/>
      <w:bookmarkStart w:id="126" w:name="_Toc179715745"/>
      <w:r>
        <w:rPr>
          <w:rFonts w:hint="eastAsia" w:ascii="仿宋" w:hAnsi="仿宋" w:eastAsia="仿宋" w:cs="仿宋"/>
          <w:b/>
          <w:bCs/>
          <w:color w:val="auto"/>
          <w:sz w:val="24"/>
          <w:szCs w:val="24"/>
        </w:rPr>
        <w:t>3. 审查程序</w:t>
      </w:r>
      <w:bookmarkEnd w:id="124"/>
      <w:bookmarkEnd w:id="125"/>
      <w:bookmarkEnd w:id="126"/>
    </w:p>
    <w:p>
      <w:pPr>
        <w:pStyle w:val="63"/>
        <w:rPr>
          <w:rFonts w:ascii="仿宋" w:hAnsi="仿宋" w:eastAsia="仿宋" w:cs="仿宋"/>
          <w:b/>
          <w:bCs/>
          <w:color w:val="auto"/>
          <w:sz w:val="21"/>
          <w:szCs w:val="21"/>
        </w:rPr>
      </w:pPr>
      <w:bookmarkStart w:id="127" w:name="_Toc179715746"/>
      <w:bookmarkStart w:id="128" w:name="_Toc144974457"/>
      <w:bookmarkStart w:id="129" w:name="_Toc152047253"/>
      <w:r>
        <w:rPr>
          <w:rFonts w:hint="eastAsia" w:ascii="仿宋" w:hAnsi="仿宋" w:eastAsia="仿宋" w:cs="仿宋"/>
          <w:b/>
          <w:bCs/>
          <w:color w:val="auto"/>
          <w:sz w:val="21"/>
          <w:szCs w:val="21"/>
        </w:rPr>
        <w:t>3.1 初步审查</w:t>
      </w:r>
      <w:bookmarkEnd w:id="127"/>
      <w:bookmarkEnd w:id="128"/>
      <w:bookmarkEnd w:id="129"/>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3.1.1 审查委员会依据本章第2.1款规定的标准，对资格预审申请文件进行初步审查。有一项因素不符合审查标准的，不能通过资格预审。</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3.1.2 审查委员会根据第二章“申请人须知”第3.2.3项至第3.2.6项规定，进行初步审查。</w:t>
      </w:r>
    </w:p>
    <w:p>
      <w:pPr>
        <w:pStyle w:val="63"/>
        <w:rPr>
          <w:rFonts w:ascii="仿宋" w:hAnsi="仿宋" w:eastAsia="仿宋" w:cs="仿宋"/>
          <w:b/>
          <w:bCs/>
          <w:color w:val="auto"/>
          <w:sz w:val="21"/>
          <w:szCs w:val="21"/>
        </w:rPr>
      </w:pPr>
      <w:bookmarkStart w:id="130" w:name="_Toc144974458"/>
      <w:bookmarkStart w:id="131" w:name="_Toc179715747"/>
      <w:bookmarkStart w:id="132" w:name="_Toc152047254"/>
      <w:r>
        <w:rPr>
          <w:rFonts w:hint="eastAsia" w:ascii="仿宋" w:hAnsi="仿宋" w:eastAsia="仿宋" w:cs="仿宋"/>
          <w:b/>
          <w:bCs/>
          <w:color w:val="auto"/>
          <w:sz w:val="21"/>
          <w:szCs w:val="21"/>
        </w:rPr>
        <w:t>3.2 资格审查</w:t>
      </w:r>
      <w:bookmarkEnd w:id="130"/>
      <w:bookmarkEnd w:id="131"/>
      <w:bookmarkEnd w:id="132"/>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3.2.1 审查委员会依据本章第2.2款规定的标准，对通过初步审查的资格预审申请文件进行资格审查。有一项因素不符合审查标准的，不能通过资格预审。</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 xml:space="preserve">3.2.2 通过资格审查的申请人，除应满足本章第2.1款、第2.2款规定的审查标准外，还不得存在下列任何一种情形： </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（1）不按审查委员会要求澄清或说明的；</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（2）有第二章“申请人须知”第1.4.2项规定的任何一种情形的；</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（3）在资格预审过程中弄虚作假、行贿或有其他违法违规行为的。</w:t>
      </w:r>
    </w:p>
    <w:p>
      <w:pPr>
        <w:pStyle w:val="63"/>
        <w:rPr>
          <w:rFonts w:ascii="仿宋" w:hAnsi="仿宋" w:eastAsia="仿宋" w:cs="仿宋"/>
          <w:b/>
          <w:bCs/>
          <w:color w:val="auto"/>
          <w:sz w:val="21"/>
          <w:szCs w:val="21"/>
        </w:rPr>
      </w:pPr>
      <w:bookmarkStart w:id="133" w:name="_Toc152047255"/>
      <w:bookmarkStart w:id="134" w:name="_Toc179715748"/>
      <w:bookmarkStart w:id="135" w:name="_Toc144974459"/>
      <w:r>
        <w:rPr>
          <w:rFonts w:hint="eastAsia" w:ascii="仿宋" w:hAnsi="仿宋" w:eastAsia="仿宋" w:cs="仿宋"/>
          <w:b/>
          <w:bCs/>
          <w:color w:val="auto"/>
          <w:sz w:val="21"/>
          <w:szCs w:val="21"/>
        </w:rPr>
        <w:t>3.3 资格预审申请文件的澄清</w:t>
      </w:r>
      <w:bookmarkEnd w:id="133"/>
      <w:bookmarkEnd w:id="134"/>
      <w:bookmarkEnd w:id="135"/>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 xml:space="preserve">在审查过程中，审查委员会可以书面形式，要求申请人对所提交的资格预审申请文件中不明确的内容进行必要的澄清或说明。申请人的澄清或说明采用书面形式，并不得改变资格预审申请文件的实质性内容。申请人的澄清和说明内容属于资格预审申请文件的组成部分。招标人和审查委员会不接受申请人主动提出的澄清或说明。 </w:t>
      </w:r>
    </w:p>
    <w:p>
      <w:pPr>
        <w:pStyle w:val="63"/>
        <w:rPr>
          <w:rFonts w:ascii="仿宋" w:hAnsi="仿宋" w:eastAsia="仿宋" w:cs="仿宋"/>
          <w:b/>
          <w:bCs/>
          <w:color w:val="auto"/>
          <w:sz w:val="21"/>
          <w:szCs w:val="21"/>
        </w:rPr>
      </w:pPr>
      <w:bookmarkStart w:id="136" w:name="_Toc179715749"/>
      <w:bookmarkStart w:id="137" w:name="_Toc144974460"/>
      <w:bookmarkStart w:id="138" w:name="_Toc152047256"/>
      <w:r>
        <w:rPr>
          <w:rFonts w:hint="eastAsia" w:ascii="仿宋" w:hAnsi="仿宋" w:eastAsia="仿宋" w:cs="仿宋"/>
          <w:b/>
          <w:bCs/>
          <w:color w:val="auto"/>
          <w:sz w:val="21"/>
          <w:szCs w:val="21"/>
        </w:rPr>
        <w:t>3.4 评分</w:t>
      </w:r>
      <w:bookmarkEnd w:id="136"/>
      <w:bookmarkEnd w:id="137"/>
      <w:bookmarkEnd w:id="138"/>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3.4.1通过资格审查的申请人不少于3个且没有超过本章第1条规定数量的，不再进行评分，均通过资格预审。</w:t>
      </w:r>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3.4.2通过资格审查的申请人数量超过本章第1条规定数量的，审查委员会依据本章第2.3款评分标准进行评分，按得分由高到低的顺序进行排序。</w:t>
      </w:r>
    </w:p>
    <w:p>
      <w:pPr>
        <w:pStyle w:val="61"/>
        <w:rPr>
          <w:rFonts w:ascii="仿宋" w:hAnsi="仿宋" w:eastAsia="仿宋" w:cs="仿宋"/>
          <w:b/>
          <w:bCs/>
          <w:color w:val="auto"/>
          <w:sz w:val="24"/>
          <w:szCs w:val="24"/>
        </w:rPr>
      </w:pPr>
      <w:bookmarkStart w:id="139" w:name="_Toc179715750"/>
      <w:bookmarkStart w:id="140" w:name="_Toc152047257"/>
      <w:bookmarkStart w:id="141" w:name="_Toc144974461"/>
      <w:r>
        <w:rPr>
          <w:rFonts w:hint="eastAsia" w:ascii="仿宋" w:hAnsi="仿宋" w:eastAsia="仿宋" w:cs="仿宋"/>
          <w:b/>
          <w:bCs/>
          <w:color w:val="auto"/>
          <w:sz w:val="24"/>
          <w:szCs w:val="24"/>
        </w:rPr>
        <w:t>4. 审查结果</w:t>
      </w:r>
      <w:bookmarkEnd w:id="139"/>
      <w:bookmarkEnd w:id="140"/>
      <w:bookmarkEnd w:id="141"/>
    </w:p>
    <w:p>
      <w:pPr>
        <w:pStyle w:val="63"/>
        <w:rPr>
          <w:rFonts w:ascii="仿宋" w:hAnsi="仿宋" w:eastAsia="仿宋" w:cs="仿宋"/>
          <w:b/>
          <w:bCs/>
          <w:color w:val="auto"/>
          <w:sz w:val="21"/>
          <w:szCs w:val="21"/>
        </w:rPr>
      </w:pPr>
      <w:bookmarkStart w:id="142" w:name="_Toc152047258"/>
      <w:bookmarkStart w:id="143" w:name="_Toc144974462"/>
      <w:bookmarkStart w:id="144" w:name="_Toc179715751"/>
      <w:r>
        <w:rPr>
          <w:rFonts w:hint="eastAsia" w:ascii="仿宋" w:hAnsi="仿宋" w:eastAsia="仿宋" w:cs="仿宋"/>
          <w:b/>
          <w:bCs/>
          <w:color w:val="auto"/>
          <w:sz w:val="21"/>
          <w:szCs w:val="21"/>
        </w:rPr>
        <w:t>4.1 提交审查报告</w:t>
      </w:r>
      <w:bookmarkEnd w:id="142"/>
      <w:bookmarkEnd w:id="143"/>
      <w:bookmarkEnd w:id="144"/>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审查委员会按照本章第3条规定的程序对资格预审申请文件完成审查后，确定通过资格预审的申请人名单，并向招标人提交书面审查报告。</w:t>
      </w:r>
    </w:p>
    <w:p>
      <w:pPr>
        <w:pStyle w:val="63"/>
        <w:rPr>
          <w:rFonts w:ascii="仿宋" w:hAnsi="仿宋" w:eastAsia="仿宋" w:cs="仿宋"/>
          <w:b/>
          <w:bCs/>
          <w:color w:val="auto"/>
          <w:sz w:val="21"/>
          <w:szCs w:val="21"/>
        </w:rPr>
      </w:pPr>
      <w:bookmarkStart w:id="145" w:name="_Toc152047259"/>
      <w:bookmarkStart w:id="146" w:name="_Toc179715752"/>
      <w:bookmarkStart w:id="147" w:name="_Toc144974463"/>
      <w:r>
        <w:rPr>
          <w:rFonts w:hint="eastAsia" w:ascii="仿宋" w:hAnsi="仿宋" w:eastAsia="仿宋" w:cs="仿宋"/>
          <w:b/>
          <w:bCs/>
          <w:color w:val="auto"/>
          <w:sz w:val="21"/>
          <w:szCs w:val="21"/>
        </w:rPr>
        <w:t>4.2 重新进行资格预审或招标</w:t>
      </w:r>
      <w:bookmarkEnd w:id="145"/>
      <w:bookmarkEnd w:id="146"/>
      <w:bookmarkEnd w:id="147"/>
    </w:p>
    <w:p>
      <w:pPr>
        <w:spacing w:line="400" w:lineRule="exact"/>
        <w:ind w:firstLine="420" w:firstLineChars="200"/>
        <w:rPr>
          <w:rFonts w:ascii="仿宋" w:hAnsi="仿宋" w:eastAsia="仿宋" w:cs="仿宋"/>
          <w:color w:val="auto"/>
          <w:szCs w:val="21"/>
        </w:rPr>
      </w:pPr>
      <w:r>
        <w:rPr>
          <w:rFonts w:hint="eastAsia" w:ascii="仿宋" w:hAnsi="仿宋" w:eastAsia="仿宋" w:cs="仿宋"/>
          <w:color w:val="auto"/>
          <w:szCs w:val="21"/>
        </w:rPr>
        <w:t>通过资格审查申请人的数量不足3个的，招标人重新组织资格预审或不再组织资格预审而直接招标。</w:t>
      </w:r>
    </w:p>
    <w:p>
      <w:pPr>
        <w:spacing w:line="400" w:lineRule="exact"/>
        <w:rPr>
          <w:rFonts w:ascii="仿宋" w:hAnsi="仿宋" w:eastAsia="仿宋" w:cs="仿宋"/>
          <w:color w:val="auto"/>
          <w:sz w:val="32"/>
          <w:szCs w:val="32"/>
        </w:rPr>
      </w:pPr>
      <w:r>
        <w:rPr>
          <w:rFonts w:hint="eastAsia" w:ascii="仿宋" w:hAnsi="仿宋" w:eastAsia="仿宋" w:cs="仿宋"/>
          <w:color w:val="auto"/>
        </w:rPr>
        <w:br w:type="page"/>
      </w:r>
    </w:p>
    <w:p>
      <w:pPr>
        <w:pStyle w:val="3"/>
        <w:spacing w:before="120" w:after="120" w:line="400" w:lineRule="exact"/>
        <w:jc w:val="center"/>
        <w:rPr>
          <w:rFonts w:ascii="仿宋" w:hAnsi="仿宋" w:eastAsia="仿宋" w:cs="仿宋"/>
          <w:color w:val="auto"/>
          <w:sz w:val="32"/>
        </w:rPr>
      </w:pPr>
      <w:bookmarkStart w:id="148" w:name="_Toc179715753"/>
      <w:bookmarkStart w:id="149" w:name="_Toc152047260"/>
      <w:bookmarkStart w:id="150" w:name="_Toc144974464"/>
      <w:r>
        <w:rPr>
          <w:rFonts w:hint="eastAsia" w:ascii="仿宋" w:hAnsi="仿宋" w:eastAsia="仿宋" w:cs="仿宋"/>
          <w:color w:val="auto"/>
          <w:sz w:val="32"/>
        </w:rPr>
        <w:t>第四章 资格预审申请文件格式</w:t>
      </w:r>
      <w:bookmarkEnd w:id="148"/>
      <w:bookmarkEnd w:id="149"/>
      <w:bookmarkEnd w:id="150"/>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（项目名称）</w:t>
      </w:r>
    </w:p>
    <w:p>
      <w:pPr>
        <w:jc w:val="center"/>
        <w:rPr>
          <w:rFonts w:ascii="仿宋" w:hAnsi="仿宋" w:eastAsia="仿宋" w:cs="仿宋"/>
          <w:color w:val="auto"/>
          <w:sz w:val="28"/>
          <w:szCs w:val="28"/>
        </w:rPr>
      </w:pPr>
    </w:p>
    <w:p>
      <w:pPr>
        <w:jc w:val="center"/>
        <w:rPr>
          <w:rFonts w:ascii="仿宋" w:hAnsi="仿宋" w:eastAsia="仿宋" w:cs="仿宋"/>
          <w:color w:val="auto"/>
          <w:sz w:val="28"/>
          <w:szCs w:val="28"/>
        </w:rPr>
      </w:pPr>
    </w:p>
    <w:p>
      <w:pPr>
        <w:jc w:val="center"/>
        <w:rPr>
          <w:rFonts w:ascii="仿宋" w:hAnsi="仿宋" w:eastAsia="仿宋" w:cs="仿宋"/>
          <w:color w:val="auto"/>
          <w:sz w:val="44"/>
          <w:szCs w:val="44"/>
        </w:rPr>
      </w:pPr>
      <w:r>
        <w:rPr>
          <w:rFonts w:hint="eastAsia" w:ascii="仿宋" w:hAnsi="仿宋" w:eastAsia="仿宋" w:cs="仿宋"/>
          <w:color w:val="auto"/>
          <w:sz w:val="44"/>
          <w:szCs w:val="44"/>
        </w:rPr>
        <w:t>资格预审申请文件</w:t>
      </w: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jc w:val="center"/>
        <w:rPr>
          <w:rFonts w:ascii="仿宋" w:hAnsi="仿宋" w:eastAsia="仿宋" w:cs="仿宋"/>
          <w:color w:val="auto"/>
          <w:sz w:val="28"/>
          <w:szCs w:val="28"/>
        </w:rPr>
      </w:pPr>
      <w:r>
        <w:rPr>
          <w:rFonts w:hint="eastAsia" w:ascii="仿宋" w:hAnsi="仿宋" w:eastAsia="仿宋" w:cs="仿宋"/>
          <w:color w:val="auto"/>
          <w:sz w:val="28"/>
          <w:szCs w:val="28"/>
        </w:rPr>
        <w:t>申请人：（单位电子章）</w:t>
      </w:r>
    </w:p>
    <w:p>
      <w:pPr>
        <w:jc w:val="center"/>
        <w:rPr>
          <w:rFonts w:ascii="仿宋" w:hAnsi="仿宋" w:eastAsia="仿宋" w:cs="仿宋"/>
          <w:color w:val="auto"/>
          <w:sz w:val="28"/>
          <w:szCs w:val="28"/>
        </w:rPr>
      </w:pPr>
      <w:r>
        <w:rPr>
          <w:rFonts w:hint="eastAsia" w:ascii="仿宋" w:hAnsi="仿宋" w:eastAsia="仿宋" w:cs="仿宋"/>
          <w:color w:val="auto"/>
          <w:sz w:val="28"/>
          <w:szCs w:val="28"/>
        </w:rPr>
        <w:t>法定代表人或其委托代理人：（个人电子章）</w:t>
      </w:r>
    </w:p>
    <w:p>
      <w:pPr>
        <w:jc w:val="center"/>
        <w:rPr>
          <w:rFonts w:ascii="仿宋" w:hAnsi="仿宋" w:eastAsia="仿宋" w:cs="仿宋"/>
          <w:color w:val="auto"/>
          <w:sz w:val="28"/>
          <w:szCs w:val="28"/>
        </w:rPr>
      </w:pPr>
      <w:r>
        <w:rPr>
          <w:rFonts w:hint="eastAsia" w:ascii="仿宋" w:hAnsi="仿宋" w:eastAsia="仿宋" w:cs="仿宋"/>
          <w:color w:val="auto"/>
          <w:sz w:val="28"/>
          <w:szCs w:val="28"/>
        </w:rPr>
        <w:t>年月日</w:t>
      </w:r>
    </w:p>
    <w:p>
      <w:pPr>
        <w:spacing w:line="400" w:lineRule="exact"/>
        <w:rPr>
          <w:rFonts w:ascii="仿宋" w:hAnsi="仿宋" w:eastAsia="仿宋" w:cs="仿宋"/>
          <w:color w:val="auto"/>
        </w:rPr>
      </w:pPr>
    </w:p>
    <w:p>
      <w:pPr>
        <w:spacing w:line="400" w:lineRule="exact"/>
        <w:rPr>
          <w:rFonts w:ascii="仿宋" w:hAnsi="仿宋" w:eastAsia="仿宋" w:cs="仿宋"/>
          <w:color w:val="auto"/>
        </w:rPr>
      </w:pPr>
      <w:r>
        <w:rPr>
          <w:rFonts w:hint="eastAsia" w:ascii="仿宋" w:hAnsi="仿宋" w:eastAsia="仿宋" w:cs="仿宋"/>
          <w:color w:val="auto"/>
        </w:rPr>
        <w:br w:type="page"/>
      </w:r>
    </w:p>
    <w:p>
      <w:pPr>
        <w:pStyle w:val="61"/>
        <w:jc w:val="center"/>
        <w:rPr>
          <w:rFonts w:ascii="仿宋" w:hAnsi="仿宋" w:eastAsia="仿宋" w:cs="仿宋"/>
          <w:b/>
          <w:bCs/>
          <w:color w:val="auto"/>
          <w:sz w:val="40"/>
          <w:szCs w:val="24"/>
        </w:rPr>
      </w:pPr>
      <w:bookmarkStart w:id="151" w:name="_Toc152047261"/>
      <w:bookmarkStart w:id="152" w:name="_Toc144974465"/>
      <w:bookmarkStart w:id="153" w:name="_Toc179715754"/>
      <w:r>
        <w:rPr>
          <w:rFonts w:hint="eastAsia" w:ascii="仿宋" w:hAnsi="仿宋" w:eastAsia="仿宋" w:cs="仿宋"/>
          <w:b/>
          <w:bCs/>
          <w:color w:val="auto"/>
          <w:sz w:val="40"/>
          <w:szCs w:val="24"/>
        </w:rPr>
        <w:t>目    录</w:t>
      </w:r>
      <w:bookmarkEnd w:id="151"/>
      <w:bookmarkEnd w:id="152"/>
      <w:bookmarkEnd w:id="153"/>
    </w:p>
    <w:p>
      <w:pPr>
        <w:spacing w:line="400" w:lineRule="exact"/>
        <w:rPr>
          <w:rFonts w:ascii="仿宋" w:hAnsi="仿宋" w:eastAsia="仿宋" w:cs="仿宋"/>
          <w:color w:val="auto"/>
        </w:rPr>
      </w:pP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一、资格预审申请函</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二、法定代表人身份证明及授权委托书</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三、申请人基本情况表</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四、近年财务状况表</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五、201</w:t>
      </w:r>
      <w:r>
        <w:rPr>
          <w:rFonts w:hint="eastAsia" w:ascii="仿宋" w:hAnsi="仿宋" w:eastAsia="仿宋" w:cs="仿宋"/>
          <w:color w:val="auto"/>
          <w:szCs w:val="21"/>
          <w:lang w:val="en-US" w:eastAsia="zh-CN"/>
        </w:rPr>
        <w:t>9</w:t>
      </w:r>
      <w:r>
        <w:rPr>
          <w:rFonts w:hint="eastAsia" w:ascii="仿宋" w:hAnsi="仿宋" w:eastAsia="仿宋" w:cs="仿宋"/>
          <w:color w:val="auto"/>
          <w:szCs w:val="21"/>
        </w:rPr>
        <w:t>年1月1日以来承担的类似项目情况表</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六、近年发生的诉讼及仲裁情况</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七、获奖证明材料</w:t>
      </w:r>
    </w:p>
    <w:p>
      <w:pPr>
        <w:spacing w:line="360" w:lineRule="auto"/>
        <w:ind w:firstLine="420" w:firstLineChars="200"/>
        <w:rPr>
          <w:rFonts w:ascii="仿宋" w:hAnsi="仿宋" w:eastAsia="仿宋" w:cs="仿宋"/>
          <w:color w:val="auto"/>
          <w:spacing w:val="-9"/>
          <w:kern w:val="0"/>
          <w:szCs w:val="21"/>
        </w:rPr>
      </w:pPr>
      <w:r>
        <w:rPr>
          <w:rFonts w:hint="eastAsia" w:ascii="仿宋" w:hAnsi="仿宋" w:eastAsia="仿宋" w:cs="仿宋"/>
          <w:color w:val="auto"/>
          <w:szCs w:val="21"/>
        </w:rPr>
        <w:t>八、</w:t>
      </w:r>
      <w:r>
        <w:rPr>
          <w:rFonts w:hint="eastAsia" w:ascii="仿宋" w:hAnsi="仿宋" w:eastAsia="仿宋" w:cs="仿宋"/>
          <w:color w:val="auto"/>
          <w:spacing w:val="-9"/>
          <w:kern w:val="0"/>
          <w:szCs w:val="21"/>
        </w:rPr>
        <w:t xml:space="preserve">扬尘污染防治和建筑垃圾处置方案 </w:t>
      </w:r>
    </w:p>
    <w:p>
      <w:pPr>
        <w:spacing w:line="360" w:lineRule="auto"/>
        <w:ind w:firstLine="420" w:firstLineChars="200"/>
        <w:rPr>
          <w:rFonts w:ascii="仿宋" w:hAnsi="仿宋" w:eastAsia="仿宋" w:cs="仿宋"/>
          <w:color w:val="auto"/>
          <w:szCs w:val="21"/>
        </w:rPr>
      </w:pPr>
      <w:r>
        <w:rPr>
          <w:rFonts w:hint="eastAsia" w:ascii="仿宋" w:hAnsi="仿宋" w:eastAsia="仿宋" w:cs="仿宋"/>
          <w:color w:val="auto"/>
          <w:szCs w:val="21"/>
        </w:rPr>
        <w:t>九、其他工程技术管理要素</w:t>
      </w:r>
    </w:p>
    <w:p>
      <w:pPr>
        <w:spacing w:line="360" w:lineRule="auto"/>
        <w:ind w:firstLine="420" w:firstLineChars="200"/>
        <w:rPr>
          <w:rFonts w:ascii="仿宋" w:hAnsi="仿宋" w:eastAsia="仿宋" w:cs="仿宋"/>
          <w:color w:val="auto"/>
        </w:rPr>
      </w:pPr>
      <w:r>
        <w:rPr>
          <w:rFonts w:hint="eastAsia" w:ascii="仿宋" w:hAnsi="仿宋" w:eastAsia="仿宋" w:cs="仿宋"/>
          <w:color w:val="auto"/>
          <w:szCs w:val="21"/>
        </w:rPr>
        <w:t>十、其他资料</w:t>
      </w:r>
      <w:r>
        <w:rPr>
          <w:rFonts w:hint="eastAsia" w:ascii="仿宋" w:hAnsi="仿宋" w:eastAsia="仿宋" w:cs="仿宋"/>
          <w:color w:val="auto"/>
        </w:rPr>
        <w:br w:type="page"/>
      </w:r>
    </w:p>
    <w:p>
      <w:pPr>
        <w:pStyle w:val="61"/>
        <w:jc w:val="center"/>
        <w:rPr>
          <w:rFonts w:ascii="仿宋" w:hAnsi="仿宋" w:eastAsia="仿宋" w:cs="仿宋"/>
          <w:b/>
          <w:bCs/>
          <w:color w:val="auto"/>
        </w:rPr>
      </w:pPr>
      <w:bookmarkStart w:id="154" w:name="_Toc144974466"/>
      <w:bookmarkStart w:id="155" w:name="_Toc179715755"/>
      <w:bookmarkStart w:id="156" w:name="_Toc152047262"/>
      <w:r>
        <w:rPr>
          <w:rFonts w:hint="eastAsia" w:ascii="仿宋" w:hAnsi="仿宋" w:eastAsia="仿宋" w:cs="仿宋"/>
          <w:b/>
          <w:bCs/>
          <w:color w:val="auto"/>
        </w:rPr>
        <w:t>一、资格预审申请函</w:t>
      </w:r>
      <w:bookmarkEnd w:id="154"/>
      <w:bookmarkEnd w:id="155"/>
      <w:bookmarkEnd w:id="156"/>
    </w:p>
    <w:p>
      <w:pPr>
        <w:spacing w:line="400" w:lineRule="exact"/>
        <w:rPr>
          <w:rFonts w:ascii="仿宋" w:hAnsi="仿宋" w:eastAsia="仿宋" w:cs="仿宋"/>
          <w:color w:val="auto"/>
        </w:rPr>
      </w:pPr>
    </w:p>
    <w:p>
      <w:pPr>
        <w:spacing w:line="400" w:lineRule="exact"/>
        <w:rPr>
          <w:rFonts w:ascii="仿宋" w:hAnsi="仿宋" w:eastAsia="仿宋" w:cs="仿宋"/>
          <w:color w:val="auto"/>
        </w:rPr>
      </w:pPr>
      <w:r>
        <w:rPr>
          <w:rFonts w:hint="eastAsia" w:ascii="仿宋" w:hAnsi="仿宋" w:eastAsia="仿宋" w:cs="仿宋"/>
          <w:color w:val="auto"/>
        </w:rPr>
        <w:t>（招标人名称）：</w:t>
      </w:r>
    </w:p>
    <w:p>
      <w:pPr>
        <w:spacing w:line="400" w:lineRule="exact"/>
        <w:ind w:firstLine="420" w:firstLineChars="200"/>
        <w:rPr>
          <w:rFonts w:ascii="仿宋" w:hAnsi="仿宋" w:eastAsia="仿宋" w:cs="仿宋"/>
          <w:color w:val="auto"/>
        </w:rPr>
      </w:pPr>
      <w:r>
        <w:rPr>
          <w:rFonts w:hint="eastAsia" w:ascii="仿宋" w:hAnsi="仿宋" w:eastAsia="仿宋" w:cs="仿宋"/>
          <w:color w:val="auto"/>
        </w:rPr>
        <w:t>1、按照资格预审文件的要求，我方（申请人）递交的资格预审申请文件及有关资料，用于你方（招标人）审查我方参加（项目名称）招标的投标资格。</w:t>
      </w:r>
    </w:p>
    <w:p>
      <w:pPr>
        <w:spacing w:line="400" w:lineRule="exact"/>
        <w:ind w:firstLine="420" w:firstLineChars="200"/>
        <w:rPr>
          <w:rFonts w:ascii="仿宋" w:hAnsi="仿宋" w:eastAsia="仿宋" w:cs="仿宋"/>
          <w:color w:val="auto"/>
        </w:rPr>
      </w:pPr>
      <w:r>
        <w:rPr>
          <w:rFonts w:hint="eastAsia" w:ascii="仿宋" w:hAnsi="仿宋" w:eastAsia="仿宋" w:cs="仿宋"/>
          <w:color w:val="auto"/>
        </w:rPr>
        <w:t>2、我方的资格预审申请文件包含第二章“申请人须知”第3.1.1项规定的全部内容。</w:t>
      </w:r>
    </w:p>
    <w:p>
      <w:pPr>
        <w:spacing w:line="400" w:lineRule="exact"/>
        <w:ind w:firstLine="420" w:firstLineChars="200"/>
        <w:rPr>
          <w:rFonts w:ascii="仿宋" w:hAnsi="仿宋" w:eastAsia="仿宋" w:cs="仿宋"/>
          <w:color w:val="auto"/>
        </w:rPr>
      </w:pPr>
      <w:r>
        <w:rPr>
          <w:rFonts w:hint="eastAsia" w:ascii="仿宋" w:hAnsi="仿宋" w:eastAsia="仿宋" w:cs="仿宋"/>
          <w:color w:val="auto"/>
        </w:rPr>
        <w:t>3、我方接受你方的授权代表进行调查，以审核我方提交的文件和资料，并通过我方的客户，澄清资格预审申请文件中有关财务和技术方面的情况。</w:t>
      </w:r>
    </w:p>
    <w:p>
      <w:pPr>
        <w:spacing w:line="400" w:lineRule="exact"/>
        <w:ind w:firstLine="420" w:firstLineChars="200"/>
        <w:rPr>
          <w:rFonts w:ascii="仿宋" w:hAnsi="仿宋" w:eastAsia="仿宋" w:cs="仿宋"/>
          <w:color w:val="auto"/>
        </w:rPr>
      </w:pPr>
      <w:r>
        <w:rPr>
          <w:rFonts w:hint="eastAsia" w:ascii="仿宋" w:hAnsi="仿宋" w:eastAsia="仿宋" w:cs="仿宋"/>
          <w:color w:val="auto"/>
        </w:rPr>
        <w:t>4、你方授权代表可通过（联系人及联系方式）得到进一步的资料。</w:t>
      </w:r>
    </w:p>
    <w:p>
      <w:pPr>
        <w:spacing w:line="400" w:lineRule="exact"/>
        <w:ind w:firstLine="420" w:firstLineChars="200"/>
        <w:rPr>
          <w:rFonts w:ascii="仿宋" w:hAnsi="仿宋" w:eastAsia="仿宋" w:cs="仿宋"/>
          <w:color w:val="auto"/>
        </w:rPr>
      </w:pPr>
      <w:r>
        <w:rPr>
          <w:rFonts w:hint="eastAsia" w:ascii="仿宋" w:hAnsi="仿宋" w:eastAsia="仿宋" w:cs="仿宋"/>
          <w:color w:val="auto"/>
        </w:rPr>
        <w:t>5、我方在此声明，所递交的资格预审申请文件及有关资料内容完整、真实和准确，且不存在第二章“申请人须知”第1.4.3项规定的任何一种情形。</w:t>
      </w: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spacing w:line="400" w:lineRule="exact"/>
        <w:rPr>
          <w:rFonts w:ascii="仿宋" w:hAnsi="仿宋" w:eastAsia="仿宋" w:cs="仿宋"/>
          <w:color w:val="auto"/>
        </w:rPr>
      </w:pPr>
    </w:p>
    <w:p>
      <w:pPr>
        <w:pStyle w:val="28"/>
        <w:spacing w:line="400" w:lineRule="exact"/>
        <w:ind w:firstLine="3045" w:firstLineChars="1450"/>
        <w:jc w:val="both"/>
        <w:rPr>
          <w:rFonts w:ascii="仿宋" w:hAnsi="仿宋" w:eastAsia="仿宋" w:cs="仿宋"/>
          <w:color w:val="auto"/>
        </w:rPr>
      </w:pPr>
      <w:r>
        <w:rPr>
          <w:rFonts w:hint="eastAsia" w:ascii="仿宋" w:hAnsi="仿宋" w:eastAsia="仿宋" w:cs="仿宋"/>
          <w:color w:val="auto"/>
        </w:rPr>
        <w:t>申请人：（</w:t>
      </w:r>
      <w:r>
        <w:rPr>
          <w:rFonts w:hint="eastAsia" w:ascii="仿宋" w:hAnsi="仿宋" w:eastAsia="仿宋" w:cs="仿宋"/>
          <w:bCs/>
          <w:color w:val="auto"/>
        </w:rPr>
        <w:t>单位电子章</w:t>
      </w:r>
      <w:r>
        <w:rPr>
          <w:rFonts w:hint="eastAsia" w:ascii="仿宋" w:hAnsi="仿宋" w:eastAsia="仿宋" w:cs="仿宋"/>
          <w:color w:val="auto"/>
        </w:rPr>
        <w:t>）</w:t>
      </w:r>
    </w:p>
    <w:p>
      <w:pPr>
        <w:spacing w:line="400" w:lineRule="exact"/>
        <w:rPr>
          <w:rFonts w:ascii="仿宋" w:hAnsi="仿宋" w:eastAsia="仿宋" w:cs="仿宋"/>
          <w:color w:val="auto"/>
          <w:szCs w:val="21"/>
        </w:rPr>
      </w:pPr>
      <w:r>
        <w:rPr>
          <w:rFonts w:hint="eastAsia" w:ascii="仿宋" w:hAnsi="仿宋" w:eastAsia="仿宋" w:cs="仿宋"/>
          <w:color w:val="auto"/>
          <w:szCs w:val="21"/>
        </w:rPr>
        <w:t xml:space="preserve">                             法定代表人或其委托代理人：（个人电子章）</w:t>
      </w:r>
    </w:p>
    <w:p>
      <w:pPr>
        <w:spacing w:line="400" w:lineRule="exact"/>
        <w:rPr>
          <w:rFonts w:ascii="仿宋" w:hAnsi="仿宋" w:eastAsia="仿宋" w:cs="仿宋"/>
          <w:color w:val="auto"/>
          <w:szCs w:val="21"/>
          <w:u w:val="single"/>
        </w:rPr>
      </w:pPr>
      <w:r>
        <w:rPr>
          <w:rFonts w:hint="eastAsia" w:ascii="仿宋" w:hAnsi="仿宋" w:eastAsia="仿宋" w:cs="仿宋"/>
          <w:color w:val="auto"/>
          <w:szCs w:val="21"/>
        </w:rPr>
        <w:t xml:space="preserve">                             电        话：</w:t>
      </w:r>
    </w:p>
    <w:p>
      <w:pPr>
        <w:spacing w:line="400" w:lineRule="exact"/>
        <w:rPr>
          <w:rFonts w:ascii="仿宋" w:hAnsi="仿宋" w:eastAsia="仿宋" w:cs="仿宋"/>
          <w:color w:val="auto"/>
          <w:szCs w:val="21"/>
          <w:u w:val="single"/>
        </w:rPr>
      </w:pPr>
      <w:r>
        <w:rPr>
          <w:rFonts w:hint="eastAsia" w:ascii="仿宋" w:hAnsi="仿宋" w:eastAsia="仿宋" w:cs="仿宋"/>
          <w:color w:val="auto"/>
          <w:szCs w:val="21"/>
        </w:rPr>
        <w:t xml:space="preserve">                             传        真：</w:t>
      </w:r>
    </w:p>
    <w:p>
      <w:pPr>
        <w:spacing w:line="400" w:lineRule="exact"/>
        <w:rPr>
          <w:rFonts w:ascii="仿宋" w:hAnsi="仿宋" w:eastAsia="仿宋" w:cs="仿宋"/>
          <w:color w:val="auto"/>
          <w:szCs w:val="21"/>
          <w:u w:val="single"/>
        </w:rPr>
      </w:pPr>
      <w:r>
        <w:rPr>
          <w:rFonts w:hint="eastAsia" w:ascii="仿宋" w:hAnsi="仿宋" w:eastAsia="仿宋" w:cs="仿宋"/>
          <w:color w:val="auto"/>
          <w:szCs w:val="21"/>
        </w:rPr>
        <w:t xml:space="preserve">                             申请人地址：</w:t>
      </w:r>
    </w:p>
    <w:p>
      <w:pPr>
        <w:spacing w:line="400" w:lineRule="exact"/>
        <w:rPr>
          <w:rFonts w:ascii="仿宋" w:hAnsi="仿宋" w:eastAsia="仿宋" w:cs="仿宋"/>
          <w:color w:val="auto"/>
          <w:szCs w:val="21"/>
          <w:u w:val="single"/>
        </w:rPr>
      </w:pPr>
      <w:r>
        <w:rPr>
          <w:rFonts w:hint="eastAsia" w:ascii="仿宋" w:hAnsi="仿宋" w:eastAsia="仿宋" w:cs="仿宋"/>
          <w:color w:val="auto"/>
          <w:szCs w:val="21"/>
        </w:rPr>
        <w:t xml:space="preserve">                             邮政编码：</w:t>
      </w:r>
    </w:p>
    <w:p>
      <w:pPr>
        <w:spacing w:line="400" w:lineRule="exact"/>
        <w:ind w:firstLine="5250" w:firstLineChars="2500"/>
        <w:rPr>
          <w:rFonts w:ascii="仿宋" w:hAnsi="仿宋" w:eastAsia="仿宋" w:cs="仿宋"/>
          <w:color w:val="auto"/>
          <w:szCs w:val="21"/>
        </w:rPr>
      </w:pPr>
      <w:r>
        <w:rPr>
          <w:rFonts w:hint="eastAsia" w:ascii="仿宋" w:hAnsi="仿宋" w:eastAsia="仿宋" w:cs="仿宋"/>
          <w:color w:val="auto"/>
          <w:szCs w:val="21"/>
        </w:rPr>
        <w:t>年月日</w:t>
      </w:r>
    </w:p>
    <w:p>
      <w:pPr>
        <w:spacing w:line="400" w:lineRule="exact"/>
        <w:rPr>
          <w:rFonts w:ascii="仿宋" w:hAnsi="仿宋" w:eastAsia="仿宋" w:cs="仿宋"/>
          <w:color w:val="auto"/>
        </w:rPr>
      </w:pPr>
    </w:p>
    <w:p>
      <w:pPr>
        <w:spacing w:line="400" w:lineRule="exact"/>
        <w:rPr>
          <w:rFonts w:ascii="仿宋" w:hAnsi="仿宋" w:eastAsia="仿宋" w:cs="仿宋"/>
          <w:b/>
          <w:bCs/>
          <w:color w:val="auto"/>
        </w:rPr>
      </w:pPr>
      <w:r>
        <w:rPr>
          <w:rFonts w:hint="eastAsia" w:ascii="仿宋" w:hAnsi="仿宋" w:eastAsia="仿宋" w:cs="仿宋"/>
          <w:color w:val="auto"/>
        </w:rPr>
        <w:br w:type="page"/>
      </w:r>
    </w:p>
    <w:p>
      <w:pPr>
        <w:pStyle w:val="61"/>
        <w:jc w:val="center"/>
        <w:rPr>
          <w:rFonts w:ascii="仿宋" w:hAnsi="仿宋" w:eastAsia="仿宋" w:cs="仿宋"/>
          <w:b/>
          <w:bCs/>
          <w:color w:val="auto"/>
        </w:rPr>
      </w:pPr>
      <w:bookmarkStart w:id="157" w:name="_Toc179715756"/>
      <w:bookmarkStart w:id="158" w:name="_Toc144974467"/>
      <w:bookmarkStart w:id="159" w:name="_Toc152047263"/>
      <w:r>
        <w:rPr>
          <w:rFonts w:hint="eastAsia" w:ascii="仿宋" w:hAnsi="仿宋" w:eastAsia="仿宋" w:cs="仿宋"/>
          <w:b/>
          <w:bCs/>
          <w:color w:val="auto"/>
        </w:rPr>
        <w:t>二、法定代表人身份证明</w:t>
      </w:r>
      <w:bookmarkEnd w:id="157"/>
      <w:bookmarkEnd w:id="158"/>
      <w:bookmarkEnd w:id="159"/>
    </w:p>
    <w:p>
      <w:pPr>
        <w:spacing w:line="400" w:lineRule="exact"/>
        <w:rPr>
          <w:rFonts w:ascii="仿宋" w:hAnsi="仿宋" w:eastAsia="仿宋" w:cs="仿宋"/>
          <w:color w:val="auto"/>
        </w:rPr>
      </w:pPr>
    </w:p>
    <w:p>
      <w:pPr>
        <w:topLinePunct/>
        <w:spacing w:line="600" w:lineRule="exact"/>
        <w:rPr>
          <w:rFonts w:ascii="仿宋" w:hAnsi="仿宋" w:eastAsia="仿宋" w:cs="仿宋"/>
          <w:bCs/>
          <w:color w:val="auto"/>
          <w:szCs w:val="21"/>
          <w:u w:val="single"/>
        </w:rPr>
      </w:pPr>
      <w:r>
        <w:rPr>
          <w:rFonts w:hint="eastAsia" w:ascii="仿宋" w:hAnsi="仿宋" w:eastAsia="仿宋" w:cs="仿宋"/>
          <w:bCs/>
          <w:color w:val="auto"/>
          <w:szCs w:val="21"/>
        </w:rPr>
        <w:t>申请人名称：</w:t>
      </w:r>
    </w:p>
    <w:p>
      <w:pPr>
        <w:topLinePunct/>
        <w:spacing w:line="600" w:lineRule="exact"/>
        <w:rPr>
          <w:rFonts w:ascii="仿宋" w:hAnsi="仿宋" w:eastAsia="仿宋" w:cs="仿宋"/>
          <w:bCs/>
          <w:color w:val="auto"/>
          <w:szCs w:val="21"/>
        </w:rPr>
      </w:pPr>
      <w:r>
        <w:rPr>
          <w:rFonts w:hint="eastAsia" w:ascii="仿宋" w:hAnsi="仿宋" w:eastAsia="仿宋" w:cs="仿宋"/>
          <w:bCs/>
          <w:color w:val="auto"/>
          <w:szCs w:val="21"/>
        </w:rPr>
        <w:t>单位性质：</w:t>
      </w:r>
    </w:p>
    <w:p>
      <w:pPr>
        <w:topLinePunct/>
        <w:spacing w:line="600" w:lineRule="exact"/>
        <w:rPr>
          <w:rFonts w:ascii="仿宋" w:hAnsi="仿宋" w:eastAsia="仿宋" w:cs="仿宋"/>
          <w:bCs/>
          <w:color w:val="auto"/>
          <w:szCs w:val="21"/>
        </w:rPr>
      </w:pPr>
      <w:r>
        <w:rPr>
          <w:rFonts w:hint="eastAsia" w:ascii="仿宋" w:hAnsi="仿宋" w:eastAsia="仿宋" w:cs="仿宋"/>
          <w:bCs/>
          <w:color w:val="auto"/>
          <w:szCs w:val="21"/>
        </w:rPr>
        <w:t>成立时间：年月日</w:t>
      </w:r>
    </w:p>
    <w:p>
      <w:pPr>
        <w:topLinePunct/>
        <w:spacing w:line="600" w:lineRule="exact"/>
        <w:rPr>
          <w:rFonts w:ascii="仿宋" w:hAnsi="仿宋" w:eastAsia="仿宋" w:cs="仿宋"/>
          <w:bCs/>
          <w:color w:val="auto"/>
          <w:szCs w:val="21"/>
        </w:rPr>
      </w:pPr>
      <w:r>
        <w:rPr>
          <w:rFonts w:hint="eastAsia" w:ascii="仿宋" w:hAnsi="仿宋" w:eastAsia="仿宋" w:cs="仿宋"/>
          <w:bCs/>
          <w:color w:val="auto"/>
          <w:szCs w:val="21"/>
        </w:rPr>
        <w:t>经营期限：</w:t>
      </w:r>
    </w:p>
    <w:p>
      <w:pPr>
        <w:topLinePunct/>
        <w:spacing w:line="600" w:lineRule="exact"/>
        <w:rPr>
          <w:rFonts w:ascii="仿宋" w:hAnsi="仿宋" w:eastAsia="仿宋" w:cs="仿宋"/>
          <w:bCs/>
          <w:color w:val="auto"/>
          <w:szCs w:val="21"/>
          <w:u w:val="single"/>
        </w:rPr>
      </w:pPr>
      <w:r>
        <w:rPr>
          <w:rFonts w:hint="eastAsia" w:ascii="仿宋" w:hAnsi="仿宋" w:eastAsia="仿宋" w:cs="仿宋"/>
          <w:bCs/>
          <w:color w:val="auto"/>
          <w:szCs w:val="21"/>
        </w:rPr>
        <w:t>姓名：性别：年龄：职务：</w:t>
      </w:r>
    </w:p>
    <w:p>
      <w:pPr>
        <w:topLinePunct/>
        <w:spacing w:line="600" w:lineRule="exact"/>
        <w:rPr>
          <w:rFonts w:ascii="仿宋" w:hAnsi="仿宋" w:eastAsia="仿宋" w:cs="仿宋"/>
          <w:bCs/>
          <w:color w:val="auto"/>
          <w:szCs w:val="21"/>
        </w:rPr>
      </w:pPr>
      <w:r>
        <w:rPr>
          <w:rFonts w:hint="eastAsia" w:ascii="仿宋" w:hAnsi="仿宋" w:eastAsia="仿宋" w:cs="仿宋"/>
          <w:bCs/>
          <w:color w:val="auto"/>
          <w:szCs w:val="21"/>
        </w:rPr>
        <w:t>系（申请人名称）的法定代表人。</w:t>
      </w:r>
    </w:p>
    <w:p>
      <w:pPr>
        <w:topLinePunct/>
        <w:spacing w:line="600" w:lineRule="exact"/>
        <w:ind w:firstLine="420" w:firstLineChars="200"/>
        <w:rPr>
          <w:rFonts w:ascii="仿宋" w:hAnsi="仿宋" w:eastAsia="仿宋" w:cs="仿宋"/>
          <w:bCs/>
          <w:color w:val="auto"/>
          <w:szCs w:val="21"/>
        </w:rPr>
      </w:pPr>
      <w:r>
        <w:rPr>
          <w:rFonts w:hint="eastAsia" w:ascii="仿宋" w:hAnsi="仿宋" w:eastAsia="仿宋" w:cs="仿宋"/>
          <w:bCs/>
          <w:color w:val="auto"/>
          <w:szCs w:val="21"/>
        </w:rPr>
        <w:t>特此证明。</w:t>
      </w:r>
    </w:p>
    <w:p>
      <w:pPr>
        <w:topLinePunct/>
        <w:spacing w:line="440" w:lineRule="exact"/>
        <w:rPr>
          <w:rFonts w:ascii="仿宋" w:hAnsi="仿宋" w:eastAsia="仿宋" w:cs="仿宋"/>
          <w:bCs/>
          <w:color w:val="auto"/>
          <w:szCs w:val="21"/>
        </w:rPr>
      </w:pPr>
    </w:p>
    <w:p>
      <w:pPr>
        <w:topLinePunct/>
        <w:spacing w:line="440" w:lineRule="exact"/>
        <w:rPr>
          <w:rFonts w:ascii="仿宋" w:hAnsi="仿宋" w:eastAsia="仿宋" w:cs="仿宋"/>
          <w:bCs/>
          <w:color w:val="auto"/>
          <w:szCs w:val="21"/>
        </w:rPr>
      </w:pPr>
    </w:p>
    <w:p>
      <w:pPr>
        <w:topLinePunct/>
        <w:spacing w:line="440" w:lineRule="exact"/>
        <w:rPr>
          <w:rFonts w:ascii="仿宋" w:hAnsi="仿宋" w:eastAsia="仿宋" w:cs="仿宋"/>
          <w:bCs/>
          <w:color w:val="auto"/>
          <w:szCs w:val="21"/>
        </w:rPr>
      </w:pPr>
      <w:r>
        <w:rPr>
          <w:rFonts w:hint="eastAsia" w:ascii="仿宋" w:hAnsi="仿宋" w:eastAsia="仿宋" w:cs="仿宋"/>
          <w:bCs/>
          <w:color w:val="auto"/>
          <w:szCs w:val="21"/>
        </w:rPr>
        <w:t xml:space="preserve">                             申请人：（</w:t>
      </w:r>
      <w:r>
        <w:rPr>
          <w:rFonts w:hint="eastAsia" w:ascii="仿宋" w:hAnsi="仿宋" w:eastAsia="仿宋" w:cs="仿宋"/>
          <w:bCs/>
          <w:color w:val="auto"/>
        </w:rPr>
        <w:t>单位电子章</w:t>
      </w:r>
      <w:r>
        <w:rPr>
          <w:rFonts w:hint="eastAsia" w:ascii="仿宋" w:hAnsi="仿宋" w:eastAsia="仿宋" w:cs="仿宋"/>
          <w:bCs/>
          <w:color w:val="auto"/>
          <w:szCs w:val="21"/>
        </w:rPr>
        <w:t>）</w:t>
      </w:r>
    </w:p>
    <w:p>
      <w:pPr>
        <w:topLinePunct/>
        <w:spacing w:line="440" w:lineRule="exact"/>
        <w:ind w:firstLine="5670" w:firstLineChars="2700"/>
        <w:rPr>
          <w:rFonts w:ascii="仿宋" w:hAnsi="仿宋" w:eastAsia="仿宋" w:cs="仿宋"/>
          <w:bCs/>
          <w:color w:val="auto"/>
          <w:szCs w:val="21"/>
        </w:rPr>
      </w:pPr>
      <w:r>
        <w:rPr>
          <w:rFonts w:hint="eastAsia" w:ascii="仿宋" w:hAnsi="仿宋" w:eastAsia="仿宋" w:cs="仿宋"/>
          <w:bCs/>
          <w:color w:val="auto"/>
          <w:szCs w:val="21"/>
        </w:rPr>
        <w:t>年月日</w:t>
      </w:r>
    </w:p>
    <w:p>
      <w:pPr>
        <w:spacing w:line="400" w:lineRule="exact"/>
        <w:rPr>
          <w:rFonts w:ascii="仿宋" w:hAnsi="仿宋" w:eastAsia="仿宋" w:cs="仿宋"/>
          <w:color w:val="auto"/>
        </w:rPr>
      </w:pPr>
    </w:p>
    <w:p>
      <w:pPr>
        <w:spacing w:line="400" w:lineRule="exact"/>
        <w:rPr>
          <w:rFonts w:ascii="仿宋" w:hAnsi="仿宋" w:eastAsia="仿宋" w:cs="仿宋"/>
          <w:color w:val="auto"/>
        </w:rPr>
      </w:pPr>
      <w:r>
        <w:rPr>
          <w:rFonts w:hint="eastAsia" w:ascii="仿宋" w:hAnsi="仿宋" w:eastAsia="仿宋" w:cs="仿宋"/>
          <w:color w:val="auto"/>
        </w:rPr>
        <w:br w:type="page"/>
      </w:r>
    </w:p>
    <w:p>
      <w:pPr>
        <w:pStyle w:val="61"/>
        <w:jc w:val="center"/>
        <w:rPr>
          <w:rFonts w:ascii="仿宋" w:hAnsi="仿宋" w:eastAsia="仿宋" w:cs="仿宋"/>
          <w:b/>
          <w:bCs/>
          <w:color w:val="auto"/>
        </w:rPr>
      </w:pPr>
      <w:bookmarkStart w:id="160" w:name="_Toc152047264"/>
      <w:bookmarkStart w:id="161" w:name="_Toc179715757"/>
      <w:bookmarkStart w:id="162" w:name="_Toc144974468"/>
      <w:r>
        <w:rPr>
          <w:rFonts w:hint="eastAsia" w:ascii="仿宋" w:hAnsi="仿宋" w:eastAsia="仿宋" w:cs="仿宋"/>
          <w:b/>
          <w:bCs/>
          <w:color w:val="auto"/>
        </w:rPr>
        <w:t>授权委托书</w:t>
      </w:r>
      <w:bookmarkEnd w:id="160"/>
      <w:bookmarkEnd w:id="161"/>
      <w:bookmarkEnd w:id="162"/>
    </w:p>
    <w:p>
      <w:pPr>
        <w:spacing w:line="400" w:lineRule="exact"/>
        <w:rPr>
          <w:rFonts w:ascii="仿宋" w:hAnsi="仿宋" w:eastAsia="仿宋" w:cs="仿宋"/>
          <w:color w:val="auto"/>
          <w:szCs w:val="21"/>
        </w:rPr>
      </w:pPr>
    </w:p>
    <w:p>
      <w:pPr>
        <w:topLinePunct/>
        <w:spacing w:line="440" w:lineRule="exact"/>
        <w:ind w:firstLine="420" w:firstLineChars="200"/>
        <w:rPr>
          <w:rFonts w:ascii="仿宋" w:hAnsi="仿宋" w:eastAsia="仿宋" w:cs="仿宋"/>
          <w:color w:val="auto"/>
          <w:szCs w:val="21"/>
        </w:rPr>
      </w:pPr>
      <w:r>
        <w:rPr>
          <w:rFonts w:hint="eastAsia" w:ascii="仿宋" w:hAnsi="仿宋" w:eastAsia="仿宋" w:cs="仿宋"/>
          <w:color w:val="auto"/>
          <w:szCs w:val="21"/>
        </w:rPr>
        <w:t>本人（姓名）系（申请人名称）的法定代表人，现委托（姓名）为我方代理人。代理人根据授权，以我方名义签署、澄清、递交、撤回、修改（项目名称）招标资格预审申请文件，其法律后果由我方承担。</w:t>
      </w:r>
    </w:p>
    <w:p>
      <w:pPr>
        <w:topLinePunct/>
        <w:spacing w:line="440" w:lineRule="exact"/>
        <w:rPr>
          <w:rFonts w:ascii="仿宋" w:hAnsi="仿宋" w:eastAsia="仿宋" w:cs="仿宋"/>
          <w:color w:val="auto"/>
          <w:szCs w:val="21"/>
          <w:u w:val="single"/>
        </w:rPr>
      </w:pPr>
      <w:r>
        <w:rPr>
          <w:rFonts w:hint="eastAsia" w:ascii="仿宋" w:hAnsi="仿宋" w:eastAsia="仿宋" w:cs="仿宋"/>
          <w:color w:val="auto"/>
          <w:szCs w:val="21"/>
        </w:rPr>
        <w:t xml:space="preserve">    委托期限：</w:t>
      </w:r>
      <w:r>
        <w:rPr>
          <w:rFonts w:hint="eastAsia" w:ascii="仿宋" w:hAnsi="仿宋" w:eastAsia="仿宋" w:cs="仿宋"/>
          <w:color w:val="auto"/>
        </w:rPr>
        <w:t>。</w:t>
      </w:r>
    </w:p>
    <w:p>
      <w:pPr>
        <w:topLinePunct/>
        <w:spacing w:line="440" w:lineRule="exact"/>
        <w:ind w:firstLine="420" w:firstLineChars="200"/>
        <w:rPr>
          <w:rFonts w:ascii="仿宋" w:hAnsi="仿宋" w:eastAsia="仿宋" w:cs="仿宋"/>
          <w:color w:val="auto"/>
          <w:szCs w:val="21"/>
        </w:rPr>
      </w:pPr>
      <w:r>
        <w:rPr>
          <w:rFonts w:hint="eastAsia" w:ascii="仿宋" w:hAnsi="仿宋" w:eastAsia="仿宋" w:cs="仿宋"/>
          <w:color w:val="auto"/>
          <w:szCs w:val="21"/>
        </w:rPr>
        <w:t>代理人无转委托权。</w:t>
      </w:r>
    </w:p>
    <w:p>
      <w:pPr>
        <w:topLinePunct/>
        <w:spacing w:line="440" w:lineRule="exact"/>
        <w:ind w:firstLine="420" w:firstLineChars="200"/>
        <w:rPr>
          <w:rFonts w:ascii="仿宋" w:hAnsi="仿宋" w:eastAsia="仿宋" w:cs="仿宋"/>
          <w:color w:val="auto"/>
          <w:szCs w:val="21"/>
        </w:rPr>
      </w:pPr>
      <w:r>
        <w:rPr>
          <w:rFonts w:hint="eastAsia" w:ascii="仿宋" w:hAnsi="仿宋" w:eastAsia="仿宋" w:cs="仿宋"/>
          <w:color w:val="auto"/>
          <w:szCs w:val="21"/>
        </w:rPr>
        <w:t>附：</w:t>
      </w:r>
      <w:r>
        <w:rPr>
          <w:rFonts w:hint="eastAsia" w:ascii="仿宋" w:hAnsi="仿宋" w:eastAsia="仿宋" w:cs="仿宋"/>
          <w:color w:val="auto"/>
        </w:rPr>
        <w:t>法定代表人身份证明</w:t>
      </w:r>
    </w:p>
    <w:p>
      <w:pPr>
        <w:topLinePunct/>
        <w:spacing w:line="440" w:lineRule="exact"/>
        <w:ind w:firstLine="610"/>
        <w:rPr>
          <w:rFonts w:ascii="仿宋" w:hAnsi="仿宋" w:eastAsia="仿宋" w:cs="仿宋"/>
          <w:color w:val="auto"/>
          <w:szCs w:val="21"/>
        </w:rPr>
      </w:pPr>
    </w:p>
    <w:p>
      <w:pPr>
        <w:topLinePunct/>
        <w:spacing w:line="440" w:lineRule="exact"/>
        <w:ind w:firstLine="610"/>
        <w:rPr>
          <w:rFonts w:ascii="仿宋" w:hAnsi="仿宋" w:eastAsia="仿宋" w:cs="仿宋"/>
          <w:color w:val="auto"/>
          <w:szCs w:val="21"/>
        </w:rPr>
      </w:pPr>
    </w:p>
    <w:p>
      <w:pPr>
        <w:topLinePunct/>
        <w:spacing w:line="440" w:lineRule="exact"/>
        <w:ind w:firstLine="2879" w:firstLineChars="1371"/>
        <w:rPr>
          <w:rFonts w:ascii="仿宋" w:hAnsi="仿宋" w:eastAsia="仿宋" w:cs="仿宋"/>
          <w:color w:val="auto"/>
          <w:szCs w:val="21"/>
        </w:rPr>
      </w:pPr>
      <w:r>
        <w:rPr>
          <w:rFonts w:hint="eastAsia" w:ascii="仿宋" w:hAnsi="仿宋" w:eastAsia="仿宋" w:cs="仿宋"/>
          <w:color w:val="auto"/>
          <w:szCs w:val="21"/>
        </w:rPr>
        <w:t>申请人：（</w:t>
      </w:r>
      <w:r>
        <w:rPr>
          <w:rFonts w:hint="eastAsia" w:ascii="仿宋" w:hAnsi="仿宋" w:eastAsia="仿宋" w:cs="仿宋"/>
          <w:bCs/>
          <w:color w:val="auto"/>
        </w:rPr>
        <w:t>单位电子章</w:t>
      </w:r>
      <w:r>
        <w:rPr>
          <w:rFonts w:hint="eastAsia" w:ascii="仿宋" w:hAnsi="仿宋" w:eastAsia="仿宋" w:cs="仿宋"/>
          <w:color w:val="auto"/>
          <w:szCs w:val="21"/>
        </w:rPr>
        <w:t>）</w:t>
      </w:r>
    </w:p>
    <w:p>
      <w:pPr>
        <w:topLinePunct/>
        <w:spacing w:line="440" w:lineRule="exact"/>
        <w:ind w:firstLine="2879" w:firstLineChars="1371"/>
        <w:rPr>
          <w:rFonts w:ascii="仿宋" w:hAnsi="仿宋" w:eastAsia="仿宋" w:cs="仿宋"/>
          <w:color w:val="auto"/>
          <w:szCs w:val="21"/>
        </w:rPr>
      </w:pPr>
    </w:p>
    <w:p>
      <w:pPr>
        <w:topLinePunct/>
        <w:spacing w:line="440" w:lineRule="exact"/>
        <w:ind w:firstLine="2879" w:firstLineChars="1371"/>
        <w:rPr>
          <w:rFonts w:ascii="仿宋" w:hAnsi="仿宋" w:eastAsia="仿宋" w:cs="仿宋"/>
          <w:color w:val="auto"/>
          <w:szCs w:val="21"/>
        </w:rPr>
      </w:pPr>
      <w:r>
        <w:rPr>
          <w:rFonts w:hint="eastAsia" w:ascii="仿宋" w:hAnsi="仿宋" w:eastAsia="仿宋" w:cs="仿宋"/>
          <w:color w:val="auto"/>
          <w:szCs w:val="21"/>
        </w:rPr>
        <w:t>法定代表人：（个人电子章）</w:t>
      </w:r>
    </w:p>
    <w:p>
      <w:pPr>
        <w:topLinePunct/>
        <w:spacing w:line="440" w:lineRule="exact"/>
        <w:ind w:firstLine="2879" w:firstLineChars="1371"/>
        <w:rPr>
          <w:rFonts w:ascii="仿宋" w:hAnsi="仿宋" w:eastAsia="仿宋" w:cs="仿宋"/>
          <w:color w:val="auto"/>
          <w:szCs w:val="21"/>
        </w:rPr>
      </w:pPr>
    </w:p>
    <w:p>
      <w:pPr>
        <w:topLinePunct/>
        <w:spacing w:line="440" w:lineRule="exact"/>
        <w:ind w:firstLine="2879" w:firstLineChars="1371"/>
        <w:rPr>
          <w:rFonts w:ascii="仿宋" w:hAnsi="仿宋" w:eastAsia="仿宋" w:cs="仿宋"/>
          <w:color w:val="auto"/>
          <w:szCs w:val="21"/>
          <w:u w:val="single"/>
        </w:rPr>
      </w:pPr>
      <w:r>
        <w:rPr>
          <w:rFonts w:hint="eastAsia" w:ascii="仿宋" w:hAnsi="仿宋" w:eastAsia="仿宋" w:cs="仿宋"/>
          <w:color w:val="auto"/>
          <w:szCs w:val="21"/>
        </w:rPr>
        <w:t>身份证号码：</w:t>
      </w:r>
    </w:p>
    <w:p>
      <w:pPr>
        <w:topLinePunct/>
        <w:spacing w:line="440" w:lineRule="exact"/>
        <w:ind w:firstLine="2879" w:firstLineChars="1371"/>
        <w:rPr>
          <w:rFonts w:ascii="仿宋" w:hAnsi="仿宋" w:eastAsia="仿宋" w:cs="仿宋"/>
          <w:color w:val="auto"/>
          <w:szCs w:val="21"/>
        </w:rPr>
      </w:pPr>
    </w:p>
    <w:p>
      <w:pPr>
        <w:topLinePunct/>
        <w:spacing w:line="440" w:lineRule="exact"/>
        <w:ind w:firstLine="2879" w:firstLineChars="1371"/>
        <w:rPr>
          <w:rFonts w:ascii="仿宋" w:hAnsi="仿宋" w:eastAsia="仿宋" w:cs="仿宋"/>
          <w:color w:val="auto"/>
          <w:szCs w:val="21"/>
        </w:rPr>
      </w:pPr>
      <w:r>
        <w:rPr>
          <w:rFonts w:hint="eastAsia" w:ascii="仿宋" w:hAnsi="仿宋" w:eastAsia="仿宋" w:cs="仿宋"/>
          <w:color w:val="auto"/>
          <w:szCs w:val="21"/>
        </w:rPr>
        <w:t>委托代理人：（签字或盖章）</w:t>
      </w:r>
    </w:p>
    <w:p>
      <w:pPr>
        <w:topLinePunct/>
        <w:spacing w:line="440" w:lineRule="exact"/>
        <w:ind w:left="2699" w:firstLine="2879" w:firstLineChars="1371"/>
        <w:rPr>
          <w:rFonts w:ascii="仿宋" w:hAnsi="仿宋" w:eastAsia="仿宋" w:cs="仿宋"/>
          <w:color w:val="auto"/>
          <w:szCs w:val="21"/>
        </w:rPr>
      </w:pPr>
    </w:p>
    <w:p>
      <w:pPr>
        <w:topLinePunct/>
        <w:spacing w:line="440" w:lineRule="exact"/>
        <w:ind w:firstLine="2879" w:firstLineChars="1371"/>
        <w:rPr>
          <w:rFonts w:ascii="仿宋" w:hAnsi="仿宋" w:eastAsia="仿宋" w:cs="仿宋"/>
          <w:color w:val="auto"/>
          <w:szCs w:val="21"/>
          <w:u w:val="single"/>
        </w:rPr>
      </w:pPr>
      <w:r>
        <w:rPr>
          <w:rFonts w:hint="eastAsia" w:ascii="仿宋" w:hAnsi="仿宋" w:eastAsia="仿宋" w:cs="仿宋"/>
          <w:color w:val="auto"/>
          <w:szCs w:val="21"/>
        </w:rPr>
        <w:t>身份证号码：</w:t>
      </w:r>
    </w:p>
    <w:p>
      <w:pPr>
        <w:topLinePunct/>
        <w:spacing w:line="440" w:lineRule="exact"/>
        <w:ind w:firstLine="2879" w:firstLineChars="1371"/>
        <w:rPr>
          <w:rFonts w:ascii="仿宋" w:hAnsi="仿宋" w:eastAsia="仿宋" w:cs="仿宋"/>
          <w:color w:val="auto"/>
          <w:szCs w:val="21"/>
        </w:rPr>
      </w:pPr>
    </w:p>
    <w:p>
      <w:pPr>
        <w:topLinePunct/>
        <w:spacing w:line="440" w:lineRule="exact"/>
        <w:ind w:firstLine="6300" w:firstLineChars="3000"/>
        <w:jc w:val="left"/>
        <w:rPr>
          <w:rFonts w:ascii="仿宋" w:hAnsi="仿宋" w:eastAsia="仿宋" w:cs="仿宋"/>
          <w:color w:val="auto"/>
          <w:szCs w:val="21"/>
        </w:rPr>
      </w:pPr>
      <w:r>
        <w:rPr>
          <w:rFonts w:hint="eastAsia" w:ascii="仿宋" w:hAnsi="仿宋" w:eastAsia="仿宋" w:cs="仿宋"/>
          <w:color w:val="auto"/>
          <w:szCs w:val="21"/>
        </w:rPr>
        <w:t>年月日</w:t>
      </w:r>
    </w:p>
    <w:p>
      <w:pPr>
        <w:pStyle w:val="3"/>
        <w:rPr>
          <w:color w:val="auto"/>
        </w:rPr>
      </w:pPr>
    </w:p>
    <w:p>
      <w:pPr>
        <w:pStyle w:val="49"/>
        <w:rPr>
          <w:rFonts w:ascii="仿宋" w:hAnsi="仿宋" w:eastAsia="仿宋" w:cs="仿宋"/>
          <w:color w:val="auto"/>
          <w:kern w:val="2"/>
        </w:rPr>
      </w:pPr>
      <w:r>
        <w:rPr>
          <w:rFonts w:hint="eastAsia" w:ascii="仿宋" w:hAnsi="仿宋" w:eastAsia="仿宋" w:cs="仿宋"/>
          <w:color w:val="auto"/>
          <w:kern w:val="2"/>
        </w:rPr>
        <w:t>注：授权委托书中委托代理人可电子签章或签字后扫描上传。</w:t>
      </w:r>
    </w:p>
    <w:p>
      <w:pPr>
        <w:pStyle w:val="3"/>
        <w:rPr>
          <w:color w:val="auto"/>
        </w:rPr>
      </w:pPr>
    </w:p>
    <w:p>
      <w:pPr>
        <w:snapToGrid w:val="0"/>
        <w:spacing w:line="480" w:lineRule="auto"/>
        <w:jc w:val="center"/>
        <w:rPr>
          <w:rFonts w:ascii="仿宋" w:hAnsi="仿宋" w:eastAsia="仿宋" w:cs="仿宋"/>
          <w:color w:val="auto"/>
        </w:rPr>
      </w:pPr>
      <w:r>
        <w:rPr>
          <w:rFonts w:hint="eastAsia" w:ascii="仿宋" w:hAnsi="仿宋" w:eastAsia="仿宋" w:cs="仿宋"/>
          <w:color w:val="auto"/>
        </w:rPr>
        <w:br w:type="page"/>
      </w:r>
      <w:bookmarkStart w:id="163" w:name="_Toc179715759"/>
      <w:bookmarkStart w:id="164" w:name="_Toc144974470"/>
      <w:bookmarkStart w:id="165" w:name="_Toc152047266"/>
      <w:r>
        <w:rPr>
          <w:rFonts w:hint="eastAsia" w:ascii="仿宋" w:hAnsi="仿宋" w:eastAsia="仿宋" w:cs="仿宋"/>
          <w:b/>
          <w:bCs/>
          <w:color w:val="auto"/>
          <w:sz w:val="28"/>
          <w:szCs w:val="36"/>
        </w:rPr>
        <w:t>三、申请人基本情况表</w:t>
      </w:r>
      <w:bookmarkEnd w:id="163"/>
      <w:bookmarkEnd w:id="164"/>
      <w:bookmarkEnd w:id="165"/>
    </w:p>
    <w:p>
      <w:pPr>
        <w:spacing w:line="400" w:lineRule="exact"/>
        <w:rPr>
          <w:rFonts w:ascii="仿宋" w:hAnsi="仿宋" w:eastAsia="仿宋" w:cs="仿宋"/>
          <w:color w:val="auto"/>
        </w:rPr>
      </w:pPr>
    </w:p>
    <w:tbl>
      <w:tblPr>
        <w:tblStyle w:val="32"/>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申请人名称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0" w:firstLineChars="500"/>
              <w:rPr>
                <w:rFonts w:ascii="仿宋" w:hAnsi="仿宋" w:eastAsia="仿宋" w:cs="仿宋"/>
                <w:color w:val="auto"/>
                <w:szCs w:val="21"/>
              </w:rPr>
            </w:pPr>
            <w:r>
              <w:rPr>
                <w:rFonts w:hint="eastAsia" w:ascii="仿宋" w:hAnsi="仿宋" w:eastAsia="仿宋" w:cs="仿宋"/>
                <w:color w:val="auto"/>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项目经理</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auto"/>
              </w:rPr>
            </w:pPr>
            <w:r>
              <w:rPr>
                <w:rFonts w:hint="eastAsia" w:ascii="仿宋" w:hAnsi="仿宋" w:eastAsia="仿宋" w:cs="仿宋"/>
                <w:color w:val="auto"/>
              </w:rPr>
              <w:t>技  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ascii="仿宋" w:hAnsi="仿宋" w:eastAsia="仿宋" w:cs="仿宋"/>
                <w:color w:val="auto"/>
                <w:szCs w:val="21"/>
              </w:rPr>
            </w:pPr>
            <w:r>
              <w:rPr>
                <w:rFonts w:hint="eastAsia" w:ascii="仿宋" w:hAnsi="仿宋" w:eastAsia="仿宋" w:cs="仿宋"/>
                <w:color w:val="auto"/>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p>
            <w:pPr>
              <w:topLinePunct/>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仿宋" w:hAnsi="仿宋" w:eastAsia="仿宋" w:cs="仿宋"/>
                <w:color w:val="auto"/>
                <w:szCs w:val="21"/>
              </w:rPr>
            </w:pPr>
          </w:p>
        </w:tc>
      </w:tr>
    </w:tbl>
    <w:p>
      <w:pPr>
        <w:spacing w:line="400" w:lineRule="exact"/>
        <w:rPr>
          <w:rFonts w:ascii="仿宋" w:hAnsi="仿宋" w:eastAsia="仿宋" w:cs="仿宋"/>
          <w:color w:val="auto"/>
        </w:rPr>
      </w:pPr>
      <w:r>
        <w:rPr>
          <w:rFonts w:hint="eastAsia" w:ascii="仿宋" w:hAnsi="仿宋" w:eastAsia="仿宋" w:cs="仿宋"/>
          <w:color w:val="auto"/>
        </w:rPr>
        <w:t>注：后附营业执照、资质证书、安全生产许可证、外省企业进豫截图扫描件</w:t>
      </w:r>
    </w:p>
    <w:p>
      <w:pPr>
        <w:spacing w:line="400" w:lineRule="exact"/>
        <w:rPr>
          <w:rFonts w:ascii="仿宋" w:hAnsi="仿宋" w:eastAsia="仿宋" w:cs="仿宋"/>
          <w:color w:val="auto"/>
          <w:szCs w:val="21"/>
        </w:rPr>
      </w:pPr>
      <w:r>
        <w:rPr>
          <w:rFonts w:hint="eastAsia" w:ascii="仿宋" w:hAnsi="仿宋" w:eastAsia="仿宋" w:cs="仿宋"/>
          <w:color w:val="auto"/>
        </w:rPr>
        <w:br w:type="page"/>
      </w:r>
      <w:r>
        <w:rPr>
          <w:rFonts w:hint="eastAsia" w:ascii="仿宋" w:hAnsi="仿宋" w:eastAsia="仿宋" w:cs="仿宋"/>
          <w:color w:val="auto"/>
          <w:szCs w:val="21"/>
        </w:rPr>
        <w:t>附1 项目经理简历表</w:t>
      </w:r>
    </w:p>
    <w:tbl>
      <w:tblPr>
        <w:tblStyle w:val="3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姓  名</w:t>
            </w:r>
          </w:p>
        </w:tc>
        <w:tc>
          <w:tcPr>
            <w:tcW w:w="1079" w:type="dxa"/>
            <w:gridSpan w:val="2"/>
            <w:vAlign w:val="center"/>
          </w:tcPr>
          <w:p>
            <w:pPr>
              <w:spacing w:line="440" w:lineRule="exact"/>
              <w:jc w:val="center"/>
              <w:rPr>
                <w:rFonts w:ascii="仿宋" w:hAnsi="仿宋" w:eastAsia="仿宋" w:cs="仿宋"/>
                <w:color w:val="auto"/>
                <w:szCs w:val="21"/>
              </w:rPr>
            </w:pPr>
          </w:p>
        </w:tc>
        <w:tc>
          <w:tcPr>
            <w:tcW w:w="927"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年 龄</w:t>
            </w:r>
          </w:p>
        </w:tc>
        <w:tc>
          <w:tcPr>
            <w:tcW w:w="1065" w:type="dxa"/>
            <w:vAlign w:val="center"/>
          </w:tcPr>
          <w:p>
            <w:pPr>
              <w:spacing w:line="440" w:lineRule="exact"/>
              <w:jc w:val="center"/>
              <w:rPr>
                <w:rFonts w:ascii="仿宋" w:hAnsi="仿宋" w:eastAsia="仿宋" w:cs="仿宋"/>
                <w:color w:val="auto"/>
                <w:szCs w:val="21"/>
              </w:rPr>
            </w:pPr>
          </w:p>
        </w:tc>
        <w:tc>
          <w:tcPr>
            <w:tcW w:w="2130" w:type="dxa"/>
            <w:gridSpan w:val="3"/>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学 历</w:t>
            </w:r>
          </w:p>
        </w:tc>
        <w:tc>
          <w:tcPr>
            <w:tcW w:w="2135" w:type="dxa"/>
            <w:vAlign w:val="center"/>
          </w:tcPr>
          <w:p>
            <w:pPr>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职  称</w:t>
            </w:r>
          </w:p>
        </w:tc>
        <w:tc>
          <w:tcPr>
            <w:tcW w:w="1079" w:type="dxa"/>
            <w:gridSpan w:val="2"/>
            <w:vAlign w:val="center"/>
          </w:tcPr>
          <w:p>
            <w:pPr>
              <w:spacing w:line="440" w:lineRule="exact"/>
              <w:jc w:val="center"/>
              <w:rPr>
                <w:rFonts w:ascii="仿宋" w:hAnsi="仿宋" w:eastAsia="仿宋" w:cs="仿宋"/>
                <w:color w:val="auto"/>
                <w:szCs w:val="21"/>
              </w:rPr>
            </w:pPr>
          </w:p>
        </w:tc>
        <w:tc>
          <w:tcPr>
            <w:tcW w:w="927"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职 务</w:t>
            </w:r>
          </w:p>
        </w:tc>
        <w:tc>
          <w:tcPr>
            <w:tcW w:w="1065" w:type="dxa"/>
            <w:vAlign w:val="center"/>
          </w:tcPr>
          <w:p>
            <w:pPr>
              <w:spacing w:line="440" w:lineRule="exact"/>
              <w:jc w:val="center"/>
              <w:rPr>
                <w:rFonts w:ascii="仿宋" w:hAnsi="仿宋" w:eastAsia="仿宋" w:cs="仿宋"/>
                <w:color w:val="auto"/>
                <w:szCs w:val="21"/>
              </w:rPr>
            </w:pPr>
          </w:p>
        </w:tc>
        <w:tc>
          <w:tcPr>
            <w:tcW w:w="2130" w:type="dxa"/>
            <w:gridSpan w:val="3"/>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拟在本合同任职</w:t>
            </w:r>
          </w:p>
        </w:tc>
        <w:tc>
          <w:tcPr>
            <w:tcW w:w="2135" w:type="dxa"/>
            <w:vAlign w:val="center"/>
          </w:tcPr>
          <w:p>
            <w:pPr>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毕业学校</w:t>
            </w:r>
          </w:p>
        </w:tc>
        <w:tc>
          <w:tcPr>
            <w:tcW w:w="7336" w:type="dxa"/>
            <w:gridSpan w:val="8"/>
          </w:tcPr>
          <w:p>
            <w:pPr>
              <w:spacing w:line="440" w:lineRule="exact"/>
              <w:rPr>
                <w:rFonts w:ascii="仿宋" w:hAnsi="仿宋" w:eastAsia="仿宋" w:cs="仿宋"/>
                <w:color w:val="auto"/>
                <w:szCs w:val="21"/>
              </w:rPr>
            </w:pPr>
            <w:r>
              <w:rPr>
                <w:rFonts w:hint="eastAsia" w:ascii="仿宋" w:hAnsi="仿宋" w:eastAsia="仿宋" w:cs="仿宋"/>
                <w:color w:val="auto"/>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9"/>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时  间</w:t>
            </w:r>
          </w:p>
        </w:tc>
        <w:tc>
          <w:tcPr>
            <w:tcW w:w="3420" w:type="dxa"/>
            <w:gridSpan w:val="4"/>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参加过的类似项目</w:t>
            </w:r>
          </w:p>
        </w:tc>
        <w:tc>
          <w:tcPr>
            <w:tcW w:w="1261"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担任职务</w:t>
            </w:r>
          </w:p>
        </w:tc>
        <w:tc>
          <w:tcPr>
            <w:tcW w:w="2296" w:type="dxa"/>
            <w:gridSpan w:val="2"/>
            <w:vAlign w:val="center"/>
          </w:tcPr>
          <w:p>
            <w:pPr>
              <w:spacing w:line="440" w:lineRule="exact"/>
              <w:rPr>
                <w:rFonts w:ascii="仿宋" w:hAnsi="仿宋" w:eastAsia="仿宋" w:cs="仿宋"/>
                <w:color w:val="auto"/>
                <w:szCs w:val="21"/>
              </w:rPr>
            </w:pPr>
            <w:r>
              <w:rPr>
                <w:rFonts w:hint="eastAsia" w:ascii="仿宋" w:hAnsi="仿宋" w:eastAsia="仿宋" w:cs="仿宋"/>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仿宋" w:hAnsi="仿宋" w:eastAsia="仿宋" w:cs="仿宋"/>
                <w:color w:val="auto"/>
                <w:szCs w:val="21"/>
              </w:rPr>
            </w:pPr>
          </w:p>
        </w:tc>
        <w:tc>
          <w:tcPr>
            <w:tcW w:w="3420" w:type="dxa"/>
            <w:gridSpan w:val="4"/>
          </w:tcPr>
          <w:p>
            <w:pPr>
              <w:spacing w:line="440" w:lineRule="exact"/>
              <w:rPr>
                <w:rFonts w:ascii="仿宋" w:hAnsi="仿宋" w:eastAsia="仿宋" w:cs="仿宋"/>
                <w:color w:val="auto"/>
                <w:szCs w:val="21"/>
              </w:rPr>
            </w:pPr>
          </w:p>
        </w:tc>
        <w:tc>
          <w:tcPr>
            <w:tcW w:w="1261" w:type="dxa"/>
          </w:tcPr>
          <w:p>
            <w:pPr>
              <w:spacing w:line="440" w:lineRule="exact"/>
              <w:rPr>
                <w:rFonts w:ascii="仿宋" w:hAnsi="仿宋" w:eastAsia="仿宋" w:cs="仿宋"/>
                <w:color w:val="auto"/>
                <w:szCs w:val="21"/>
              </w:rPr>
            </w:pPr>
          </w:p>
        </w:tc>
        <w:tc>
          <w:tcPr>
            <w:tcW w:w="2296" w:type="dxa"/>
            <w:gridSpan w:val="2"/>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仿宋" w:hAnsi="仿宋" w:eastAsia="仿宋" w:cs="仿宋"/>
                <w:color w:val="auto"/>
                <w:szCs w:val="21"/>
              </w:rPr>
            </w:pPr>
          </w:p>
        </w:tc>
        <w:tc>
          <w:tcPr>
            <w:tcW w:w="3420" w:type="dxa"/>
            <w:gridSpan w:val="4"/>
          </w:tcPr>
          <w:p>
            <w:pPr>
              <w:spacing w:line="440" w:lineRule="exact"/>
              <w:rPr>
                <w:rFonts w:ascii="仿宋" w:hAnsi="仿宋" w:eastAsia="仿宋" w:cs="仿宋"/>
                <w:color w:val="auto"/>
                <w:szCs w:val="21"/>
              </w:rPr>
            </w:pPr>
          </w:p>
        </w:tc>
        <w:tc>
          <w:tcPr>
            <w:tcW w:w="1261" w:type="dxa"/>
          </w:tcPr>
          <w:p>
            <w:pPr>
              <w:spacing w:line="440" w:lineRule="exact"/>
              <w:rPr>
                <w:rFonts w:ascii="仿宋" w:hAnsi="仿宋" w:eastAsia="仿宋" w:cs="仿宋"/>
                <w:color w:val="auto"/>
                <w:szCs w:val="21"/>
              </w:rPr>
            </w:pPr>
          </w:p>
        </w:tc>
        <w:tc>
          <w:tcPr>
            <w:tcW w:w="2296" w:type="dxa"/>
            <w:gridSpan w:val="2"/>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仿宋" w:hAnsi="仿宋" w:eastAsia="仿宋" w:cs="仿宋"/>
                <w:color w:val="auto"/>
                <w:szCs w:val="21"/>
              </w:rPr>
            </w:pPr>
          </w:p>
        </w:tc>
        <w:tc>
          <w:tcPr>
            <w:tcW w:w="3420" w:type="dxa"/>
            <w:gridSpan w:val="4"/>
          </w:tcPr>
          <w:p>
            <w:pPr>
              <w:spacing w:line="440" w:lineRule="exact"/>
              <w:rPr>
                <w:rFonts w:ascii="仿宋" w:hAnsi="仿宋" w:eastAsia="仿宋" w:cs="仿宋"/>
                <w:color w:val="auto"/>
                <w:szCs w:val="21"/>
              </w:rPr>
            </w:pPr>
          </w:p>
        </w:tc>
        <w:tc>
          <w:tcPr>
            <w:tcW w:w="1261" w:type="dxa"/>
          </w:tcPr>
          <w:p>
            <w:pPr>
              <w:spacing w:line="440" w:lineRule="exact"/>
              <w:rPr>
                <w:rFonts w:ascii="仿宋" w:hAnsi="仿宋" w:eastAsia="仿宋" w:cs="仿宋"/>
                <w:color w:val="auto"/>
                <w:szCs w:val="21"/>
              </w:rPr>
            </w:pPr>
          </w:p>
        </w:tc>
        <w:tc>
          <w:tcPr>
            <w:tcW w:w="2296" w:type="dxa"/>
            <w:gridSpan w:val="2"/>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bl>
    <w:p>
      <w:pPr>
        <w:spacing w:line="400" w:lineRule="exact"/>
        <w:rPr>
          <w:rFonts w:ascii="仿宋" w:hAnsi="仿宋" w:eastAsia="仿宋" w:cs="仿宋"/>
          <w:color w:val="auto"/>
          <w:szCs w:val="21"/>
        </w:rPr>
      </w:pPr>
    </w:p>
    <w:p>
      <w:pPr>
        <w:spacing w:line="400" w:lineRule="exact"/>
        <w:rPr>
          <w:rFonts w:ascii="仿宋" w:hAnsi="仿宋" w:eastAsia="仿宋" w:cs="仿宋"/>
          <w:color w:val="auto"/>
          <w:szCs w:val="21"/>
        </w:rPr>
      </w:pPr>
      <w:r>
        <w:rPr>
          <w:rFonts w:hint="eastAsia" w:ascii="仿宋" w:hAnsi="仿宋" w:eastAsia="仿宋" w:cs="仿宋"/>
          <w:color w:val="auto"/>
          <w:szCs w:val="21"/>
        </w:rPr>
        <w:br w:type="page"/>
      </w:r>
    </w:p>
    <w:p>
      <w:pPr>
        <w:spacing w:line="400" w:lineRule="exact"/>
        <w:rPr>
          <w:rFonts w:ascii="仿宋" w:hAnsi="仿宋" w:eastAsia="仿宋" w:cs="仿宋"/>
          <w:color w:val="auto"/>
          <w:szCs w:val="21"/>
        </w:rPr>
      </w:pPr>
      <w:r>
        <w:rPr>
          <w:rFonts w:hint="eastAsia" w:ascii="仿宋" w:hAnsi="仿宋" w:eastAsia="仿宋" w:cs="仿宋"/>
          <w:color w:val="auto"/>
          <w:szCs w:val="21"/>
        </w:rPr>
        <w:t>附2：项目技术负责人简历表</w:t>
      </w:r>
    </w:p>
    <w:tbl>
      <w:tblPr>
        <w:tblStyle w:val="3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姓  名</w:t>
            </w:r>
          </w:p>
        </w:tc>
        <w:tc>
          <w:tcPr>
            <w:tcW w:w="1079" w:type="dxa"/>
            <w:gridSpan w:val="2"/>
            <w:vAlign w:val="center"/>
          </w:tcPr>
          <w:p>
            <w:pPr>
              <w:spacing w:line="440" w:lineRule="exact"/>
              <w:jc w:val="center"/>
              <w:rPr>
                <w:rFonts w:ascii="仿宋" w:hAnsi="仿宋" w:eastAsia="仿宋" w:cs="仿宋"/>
                <w:color w:val="auto"/>
                <w:szCs w:val="21"/>
              </w:rPr>
            </w:pPr>
          </w:p>
        </w:tc>
        <w:tc>
          <w:tcPr>
            <w:tcW w:w="927"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年 龄</w:t>
            </w:r>
          </w:p>
        </w:tc>
        <w:tc>
          <w:tcPr>
            <w:tcW w:w="1065" w:type="dxa"/>
            <w:vAlign w:val="center"/>
          </w:tcPr>
          <w:p>
            <w:pPr>
              <w:spacing w:line="440" w:lineRule="exact"/>
              <w:jc w:val="center"/>
              <w:rPr>
                <w:rFonts w:ascii="仿宋" w:hAnsi="仿宋" w:eastAsia="仿宋" w:cs="仿宋"/>
                <w:color w:val="auto"/>
                <w:szCs w:val="21"/>
              </w:rPr>
            </w:pPr>
          </w:p>
        </w:tc>
        <w:tc>
          <w:tcPr>
            <w:tcW w:w="2130" w:type="dxa"/>
            <w:gridSpan w:val="3"/>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学 历</w:t>
            </w:r>
          </w:p>
        </w:tc>
        <w:tc>
          <w:tcPr>
            <w:tcW w:w="2135" w:type="dxa"/>
            <w:vAlign w:val="center"/>
          </w:tcPr>
          <w:p>
            <w:pPr>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职  称</w:t>
            </w:r>
          </w:p>
        </w:tc>
        <w:tc>
          <w:tcPr>
            <w:tcW w:w="1079" w:type="dxa"/>
            <w:gridSpan w:val="2"/>
            <w:vAlign w:val="center"/>
          </w:tcPr>
          <w:p>
            <w:pPr>
              <w:spacing w:line="440" w:lineRule="exact"/>
              <w:jc w:val="center"/>
              <w:rPr>
                <w:rFonts w:ascii="仿宋" w:hAnsi="仿宋" w:eastAsia="仿宋" w:cs="仿宋"/>
                <w:color w:val="auto"/>
                <w:szCs w:val="21"/>
              </w:rPr>
            </w:pPr>
          </w:p>
        </w:tc>
        <w:tc>
          <w:tcPr>
            <w:tcW w:w="927"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职 务</w:t>
            </w:r>
          </w:p>
        </w:tc>
        <w:tc>
          <w:tcPr>
            <w:tcW w:w="1065" w:type="dxa"/>
            <w:vAlign w:val="center"/>
          </w:tcPr>
          <w:p>
            <w:pPr>
              <w:spacing w:line="440" w:lineRule="exact"/>
              <w:jc w:val="center"/>
              <w:rPr>
                <w:rFonts w:ascii="仿宋" w:hAnsi="仿宋" w:eastAsia="仿宋" w:cs="仿宋"/>
                <w:color w:val="auto"/>
                <w:szCs w:val="21"/>
              </w:rPr>
            </w:pPr>
          </w:p>
        </w:tc>
        <w:tc>
          <w:tcPr>
            <w:tcW w:w="2130" w:type="dxa"/>
            <w:gridSpan w:val="3"/>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拟在本合同任职</w:t>
            </w:r>
          </w:p>
        </w:tc>
        <w:tc>
          <w:tcPr>
            <w:tcW w:w="2135" w:type="dxa"/>
            <w:vAlign w:val="center"/>
          </w:tcPr>
          <w:p>
            <w:pPr>
              <w:spacing w:line="440" w:lineRule="exact"/>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毕业学校</w:t>
            </w:r>
          </w:p>
        </w:tc>
        <w:tc>
          <w:tcPr>
            <w:tcW w:w="7336" w:type="dxa"/>
            <w:gridSpan w:val="8"/>
          </w:tcPr>
          <w:p>
            <w:pPr>
              <w:spacing w:line="440" w:lineRule="exact"/>
              <w:rPr>
                <w:rFonts w:ascii="仿宋" w:hAnsi="仿宋" w:eastAsia="仿宋" w:cs="仿宋"/>
                <w:color w:val="auto"/>
                <w:szCs w:val="21"/>
              </w:rPr>
            </w:pPr>
            <w:r>
              <w:rPr>
                <w:rFonts w:hint="eastAsia" w:ascii="仿宋" w:hAnsi="仿宋" w:eastAsia="仿宋" w:cs="仿宋"/>
                <w:color w:val="auto"/>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9"/>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时  间</w:t>
            </w:r>
          </w:p>
        </w:tc>
        <w:tc>
          <w:tcPr>
            <w:tcW w:w="3420" w:type="dxa"/>
            <w:gridSpan w:val="4"/>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参加过的类似项目</w:t>
            </w:r>
          </w:p>
        </w:tc>
        <w:tc>
          <w:tcPr>
            <w:tcW w:w="1261" w:type="dxa"/>
            <w:vAlign w:val="center"/>
          </w:tcPr>
          <w:p>
            <w:pPr>
              <w:spacing w:line="440" w:lineRule="exact"/>
              <w:jc w:val="center"/>
              <w:rPr>
                <w:rFonts w:ascii="仿宋" w:hAnsi="仿宋" w:eastAsia="仿宋" w:cs="仿宋"/>
                <w:color w:val="auto"/>
                <w:szCs w:val="21"/>
              </w:rPr>
            </w:pPr>
            <w:r>
              <w:rPr>
                <w:rFonts w:hint="eastAsia" w:ascii="仿宋" w:hAnsi="仿宋" w:eastAsia="仿宋" w:cs="仿宋"/>
                <w:color w:val="auto"/>
                <w:szCs w:val="21"/>
              </w:rPr>
              <w:t>担任职务</w:t>
            </w:r>
          </w:p>
        </w:tc>
        <w:tc>
          <w:tcPr>
            <w:tcW w:w="2296" w:type="dxa"/>
            <w:gridSpan w:val="2"/>
            <w:vAlign w:val="center"/>
          </w:tcPr>
          <w:p>
            <w:pPr>
              <w:spacing w:line="440" w:lineRule="exact"/>
              <w:rPr>
                <w:rFonts w:ascii="仿宋" w:hAnsi="仿宋" w:eastAsia="仿宋" w:cs="仿宋"/>
                <w:color w:val="auto"/>
                <w:szCs w:val="21"/>
              </w:rPr>
            </w:pPr>
            <w:r>
              <w:rPr>
                <w:rFonts w:hint="eastAsia" w:ascii="仿宋" w:hAnsi="仿宋" w:eastAsia="仿宋" w:cs="仿宋"/>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仿宋" w:hAnsi="仿宋" w:eastAsia="仿宋" w:cs="仿宋"/>
                <w:color w:val="auto"/>
                <w:szCs w:val="21"/>
              </w:rPr>
            </w:pPr>
          </w:p>
        </w:tc>
        <w:tc>
          <w:tcPr>
            <w:tcW w:w="3420" w:type="dxa"/>
            <w:gridSpan w:val="4"/>
          </w:tcPr>
          <w:p>
            <w:pPr>
              <w:spacing w:line="440" w:lineRule="exact"/>
              <w:rPr>
                <w:rFonts w:ascii="仿宋" w:hAnsi="仿宋" w:eastAsia="仿宋" w:cs="仿宋"/>
                <w:color w:val="auto"/>
                <w:szCs w:val="21"/>
              </w:rPr>
            </w:pPr>
          </w:p>
        </w:tc>
        <w:tc>
          <w:tcPr>
            <w:tcW w:w="1261" w:type="dxa"/>
          </w:tcPr>
          <w:p>
            <w:pPr>
              <w:spacing w:line="440" w:lineRule="exact"/>
              <w:rPr>
                <w:rFonts w:ascii="仿宋" w:hAnsi="仿宋" w:eastAsia="仿宋" w:cs="仿宋"/>
                <w:color w:val="auto"/>
                <w:szCs w:val="21"/>
              </w:rPr>
            </w:pPr>
          </w:p>
        </w:tc>
        <w:tc>
          <w:tcPr>
            <w:tcW w:w="2296" w:type="dxa"/>
            <w:gridSpan w:val="2"/>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仿宋" w:hAnsi="仿宋" w:eastAsia="仿宋" w:cs="仿宋"/>
                <w:color w:val="auto"/>
                <w:szCs w:val="21"/>
              </w:rPr>
            </w:pPr>
          </w:p>
        </w:tc>
        <w:tc>
          <w:tcPr>
            <w:tcW w:w="3420" w:type="dxa"/>
            <w:gridSpan w:val="4"/>
          </w:tcPr>
          <w:p>
            <w:pPr>
              <w:spacing w:line="440" w:lineRule="exact"/>
              <w:rPr>
                <w:rFonts w:ascii="仿宋" w:hAnsi="仿宋" w:eastAsia="仿宋" w:cs="仿宋"/>
                <w:color w:val="auto"/>
                <w:szCs w:val="21"/>
              </w:rPr>
            </w:pPr>
          </w:p>
        </w:tc>
        <w:tc>
          <w:tcPr>
            <w:tcW w:w="1261" w:type="dxa"/>
          </w:tcPr>
          <w:p>
            <w:pPr>
              <w:spacing w:line="440" w:lineRule="exact"/>
              <w:rPr>
                <w:rFonts w:ascii="仿宋" w:hAnsi="仿宋" w:eastAsia="仿宋" w:cs="仿宋"/>
                <w:color w:val="auto"/>
                <w:szCs w:val="21"/>
              </w:rPr>
            </w:pPr>
          </w:p>
        </w:tc>
        <w:tc>
          <w:tcPr>
            <w:tcW w:w="2296" w:type="dxa"/>
            <w:gridSpan w:val="2"/>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仿宋" w:hAnsi="仿宋" w:eastAsia="仿宋" w:cs="仿宋"/>
                <w:color w:val="auto"/>
                <w:szCs w:val="21"/>
              </w:rPr>
            </w:pPr>
          </w:p>
        </w:tc>
        <w:tc>
          <w:tcPr>
            <w:tcW w:w="3420" w:type="dxa"/>
            <w:gridSpan w:val="4"/>
          </w:tcPr>
          <w:p>
            <w:pPr>
              <w:spacing w:line="440" w:lineRule="exact"/>
              <w:rPr>
                <w:rFonts w:ascii="仿宋" w:hAnsi="仿宋" w:eastAsia="仿宋" w:cs="仿宋"/>
                <w:color w:val="auto"/>
                <w:szCs w:val="21"/>
              </w:rPr>
            </w:pPr>
          </w:p>
        </w:tc>
        <w:tc>
          <w:tcPr>
            <w:tcW w:w="1261" w:type="dxa"/>
          </w:tcPr>
          <w:p>
            <w:pPr>
              <w:spacing w:line="440" w:lineRule="exact"/>
              <w:rPr>
                <w:rFonts w:ascii="仿宋" w:hAnsi="仿宋" w:eastAsia="仿宋" w:cs="仿宋"/>
                <w:color w:val="auto"/>
                <w:szCs w:val="21"/>
              </w:rPr>
            </w:pPr>
          </w:p>
        </w:tc>
        <w:tc>
          <w:tcPr>
            <w:tcW w:w="2296" w:type="dxa"/>
            <w:gridSpan w:val="2"/>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仿宋" w:hAnsi="仿宋" w:eastAsia="仿宋" w:cs="仿宋"/>
                <w:color w:val="auto"/>
                <w:szCs w:val="21"/>
              </w:rPr>
            </w:pPr>
          </w:p>
        </w:tc>
        <w:tc>
          <w:tcPr>
            <w:tcW w:w="3420" w:type="dxa"/>
            <w:gridSpan w:val="4"/>
            <w:vAlign w:val="center"/>
          </w:tcPr>
          <w:p>
            <w:pPr>
              <w:spacing w:line="440" w:lineRule="exact"/>
              <w:rPr>
                <w:rFonts w:ascii="仿宋" w:hAnsi="仿宋" w:eastAsia="仿宋" w:cs="仿宋"/>
                <w:color w:val="auto"/>
                <w:szCs w:val="21"/>
              </w:rPr>
            </w:pPr>
          </w:p>
        </w:tc>
        <w:tc>
          <w:tcPr>
            <w:tcW w:w="1261" w:type="dxa"/>
            <w:vAlign w:val="center"/>
          </w:tcPr>
          <w:p>
            <w:pPr>
              <w:spacing w:line="440" w:lineRule="exact"/>
              <w:rPr>
                <w:rFonts w:ascii="仿宋" w:hAnsi="仿宋" w:eastAsia="仿宋" w:cs="仿宋"/>
                <w:color w:val="auto"/>
                <w:szCs w:val="21"/>
              </w:rPr>
            </w:pPr>
          </w:p>
        </w:tc>
        <w:tc>
          <w:tcPr>
            <w:tcW w:w="2296" w:type="dxa"/>
            <w:gridSpan w:val="2"/>
            <w:vAlign w:val="center"/>
          </w:tcPr>
          <w:p>
            <w:pPr>
              <w:spacing w:line="440" w:lineRule="exact"/>
              <w:rPr>
                <w:rFonts w:ascii="仿宋" w:hAnsi="仿宋" w:eastAsia="仿宋" w:cs="仿宋"/>
                <w:color w:val="auto"/>
                <w:szCs w:val="21"/>
              </w:rPr>
            </w:pPr>
          </w:p>
        </w:tc>
      </w:tr>
    </w:tbl>
    <w:p>
      <w:pPr>
        <w:spacing w:line="400" w:lineRule="exact"/>
        <w:rPr>
          <w:rFonts w:ascii="仿宋" w:hAnsi="仿宋" w:eastAsia="仿宋" w:cs="仿宋"/>
          <w:color w:val="auto"/>
          <w:szCs w:val="21"/>
        </w:rPr>
      </w:pPr>
    </w:p>
    <w:p>
      <w:pPr>
        <w:pStyle w:val="49"/>
        <w:rPr>
          <w:rFonts w:ascii="仿宋" w:hAnsi="仿宋" w:eastAsia="仿宋" w:cs="仿宋"/>
          <w:color w:val="auto"/>
          <w:szCs w:val="21"/>
        </w:rPr>
      </w:pPr>
    </w:p>
    <w:p>
      <w:pPr>
        <w:rPr>
          <w:rFonts w:ascii="仿宋" w:hAnsi="仿宋" w:eastAsia="仿宋" w:cs="仿宋"/>
          <w:color w:val="auto"/>
          <w:szCs w:val="21"/>
        </w:rPr>
      </w:pPr>
    </w:p>
    <w:p>
      <w:pPr>
        <w:pStyle w:val="49"/>
        <w:rPr>
          <w:color w:val="auto"/>
        </w:rPr>
      </w:pPr>
    </w:p>
    <w:p>
      <w:pPr>
        <w:pStyle w:val="61"/>
        <w:jc w:val="left"/>
        <w:rPr>
          <w:rFonts w:ascii="仿宋" w:hAnsi="仿宋" w:eastAsia="仿宋" w:cs="仿宋"/>
          <w:color w:val="auto"/>
          <w:sz w:val="21"/>
          <w:szCs w:val="21"/>
        </w:rPr>
      </w:pPr>
      <w:r>
        <w:rPr>
          <w:rFonts w:hint="eastAsia" w:ascii="仿宋" w:hAnsi="仿宋" w:eastAsia="仿宋" w:cs="仿宋"/>
          <w:color w:val="auto"/>
          <w:sz w:val="21"/>
          <w:szCs w:val="21"/>
        </w:rPr>
        <w:t>附3：项目其他人员情况表</w:t>
      </w:r>
    </w:p>
    <w:tbl>
      <w:tblPr>
        <w:tblStyle w:val="32"/>
        <w:tblW w:w="84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168"/>
        <w:gridCol w:w="1168"/>
        <w:gridCol w:w="1168"/>
        <w:gridCol w:w="1168"/>
        <w:gridCol w:w="1168"/>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1168"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姓名</w:t>
            </w:r>
          </w:p>
        </w:tc>
        <w:tc>
          <w:tcPr>
            <w:tcW w:w="1168"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性别</w:t>
            </w:r>
          </w:p>
        </w:tc>
        <w:tc>
          <w:tcPr>
            <w:tcW w:w="1168"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年龄</w:t>
            </w:r>
          </w:p>
        </w:tc>
        <w:tc>
          <w:tcPr>
            <w:tcW w:w="1168"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职称</w:t>
            </w:r>
          </w:p>
        </w:tc>
        <w:tc>
          <w:tcPr>
            <w:tcW w:w="1168"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专业</w:t>
            </w:r>
          </w:p>
        </w:tc>
        <w:tc>
          <w:tcPr>
            <w:tcW w:w="1168"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资格证书编号</w:t>
            </w:r>
          </w:p>
        </w:tc>
        <w:tc>
          <w:tcPr>
            <w:tcW w:w="1406" w:type="dxa"/>
            <w:vAlign w:val="center"/>
          </w:tcPr>
          <w:p>
            <w:pPr>
              <w:jc w:val="center"/>
              <w:rPr>
                <w:rFonts w:ascii="仿宋" w:hAnsi="仿宋" w:eastAsia="仿宋" w:cs="仿宋"/>
                <w:b/>
                <w:bCs/>
                <w:color w:val="auto"/>
                <w:szCs w:val="21"/>
              </w:rPr>
            </w:pPr>
            <w:r>
              <w:rPr>
                <w:rFonts w:hint="eastAsia" w:ascii="仿宋" w:hAnsi="仿宋" w:eastAsia="仿宋" w:cs="仿宋"/>
                <w:b/>
                <w:bCs/>
                <w:color w:val="auto"/>
                <w:szCs w:val="21"/>
              </w:rPr>
              <w:t>拟在本项目担任的工作或岗位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rPr>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168" w:type="dxa"/>
          </w:tcPr>
          <w:p>
            <w:pPr>
              <w:rPr>
                <w:rFonts w:ascii="仿宋" w:hAnsi="仿宋" w:eastAsia="仿宋" w:cs="仿宋"/>
                <w:color w:val="auto"/>
                <w:szCs w:val="21"/>
              </w:rPr>
            </w:pPr>
          </w:p>
        </w:tc>
        <w:tc>
          <w:tcPr>
            <w:tcW w:w="1406" w:type="dxa"/>
          </w:tcPr>
          <w:p>
            <w:pPr>
              <w:rPr>
                <w:rFonts w:ascii="仿宋" w:hAnsi="仿宋" w:eastAsia="仿宋" w:cs="仿宋"/>
                <w:color w:val="auto"/>
                <w:szCs w:val="21"/>
              </w:rPr>
            </w:pPr>
          </w:p>
        </w:tc>
      </w:tr>
    </w:tbl>
    <w:p>
      <w:pPr>
        <w:rPr>
          <w:rFonts w:ascii="仿宋" w:hAnsi="仿宋" w:eastAsia="仿宋" w:cs="仿宋"/>
          <w:color w:val="auto"/>
          <w:szCs w:val="21"/>
        </w:rPr>
      </w:pPr>
    </w:p>
    <w:p>
      <w:pPr>
        <w:spacing w:line="400" w:lineRule="exact"/>
        <w:rPr>
          <w:rFonts w:ascii="仿宋" w:hAnsi="仿宋" w:eastAsia="仿宋" w:cs="仿宋"/>
          <w:color w:val="auto"/>
          <w:szCs w:val="21"/>
        </w:rPr>
      </w:pPr>
      <w:bookmarkStart w:id="166" w:name="_Toc179715760"/>
      <w:bookmarkStart w:id="167" w:name="_Toc152047267"/>
      <w:bookmarkStart w:id="168" w:name="_Toc144974471"/>
      <w:r>
        <w:rPr>
          <w:rFonts w:hint="eastAsia" w:ascii="仿宋" w:hAnsi="仿宋" w:eastAsia="仿宋" w:cs="仿宋"/>
          <w:color w:val="auto"/>
          <w:szCs w:val="21"/>
        </w:rPr>
        <w:br w:type="page"/>
      </w:r>
    </w:p>
    <w:p>
      <w:pPr>
        <w:pStyle w:val="61"/>
        <w:jc w:val="center"/>
        <w:rPr>
          <w:rFonts w:ascii="仿宋" w:hAnsi="仿宋" w:eastAsia="仿宋" w:cs="仿宋"/>
          <w:color w:val="auto"/>
          <w:sz w:val="21"/>
          <w:szCs w:val="21"/>
        </w:rPr>
      </w:pPr>
      <w:r>
        <w:rPr>
          <w:rFonts w:hint="eastAsia" w:ascii="仿宋" w:hAnsi="仿宋" w:eastAsia="仿宋" w:cs="仿宋"/>
          <w:b/>
          <w:bCs/>
          <w:color w:val="auto"/>
          <w:szCs w:val="28"/>
        </w:rPr>
        <w:t>四、近年财务状况表</w:t>
      </w:r>
      <w:bookmarkEnd w:id="166"/>
      <w:bookmarkEnd w:id="167"/>
      <w:bookmarkEnd w:id="168"/>
    </w:p>
    <w:p>
      <w:pPr>
        <w:spacing w:line="400" w:lineRule="exact"/>
        <w:jc w:val="center"/>
        <w:rPr>
          <w:rFonts w:ascii="仿宋" w:hAnsi="仿宋" w:eastAsia="仿宋" w:cs="仿宋"/>
          <w:b/>
          <w:bCs/>
          <w:color w:val="auto"/>
          <w:szCs w:val="21"/>
        </w:rPr>
      </w:pPr>
      <w:r>
        <w:rPr>
          <w:rFonts w:hint="eastAsia" w:ascii="仿宋" w:hAnsi="仿宋" w:eastAsia="仿宋" w:cs="仿宋"/>
          <w:b/>
          <w:bCs/>
          <w:color w:val="auto"/>
          <w:szCs w:val="21"/>
        </w:rPr>
        <w:t>（年财务审计报告扫描件）</w:t>
      </w:r>
    </w:p>
    <w:p>
      <w:pPr>
        <w:spacing w:line="400" w:lineRule="exact"/>
        <w:rPr>
          <w:rFonts w:ascii="仿宋" w:hAnsi="仿宋" w:eastAsia="仿宋" w:cs="仿宋"/>
          <w:color w:val="auto"/>
          <w:szCs w:val="21"/>
        </w:rPr>
      </w:pPr>
    </w:p>
    <w:p>
      <w:pPr>
        <w:spacing w:line="400" w:lineRule="exact"/>
        <w:jc w:val="center"/>
        <w:rPr>
          <w:rFonts w:ascii="仿宋" w:hAnsi="仿宋" w:eastAsia="仿宋" w:cs="仿宋"/>
          <w:b/>
          <w:bCs/>
          <w:color w:val="auto"/>
          <w:szCs w:val="21"/>
        </w:rPr>
      </w:pPr>
      <w:r>
        <w:rPr>
          <w:rFonts w:hint="eastAsia" w:ascii="仿宋" w:hAnsi="仿宋" w:eastAsia="仿宋" w:cs="仿宋"/>
          <w:color w:val="auto"/>
          <w:szCs w:val="21"/>
        </w:rPr>
        <w:br w:type="page"/>
      </w:r>
      <w:bookmarkStart w:id="169" w:name="_Toc179715761"/>
      <w:bookmarkStart w:id="170" w:name="_Toc152047268"/>
      <w:bookmarkStart w:id="171" w:name="_Toc144974472"/>
      <w:r>
        <w:rPr>
          <w:rFonts w:hint="eastAsia" w:ascii="仿宋" w:hAnsi="仿宋" w:eastAsia="仿宋" w:cs="仿宋"/>
          <w:b/>
          <w:bCs/>
          <w:color w:val="auto"/>
          <w:szCs w:val="21"/>
        </w:rPr>
        <w:t>五、201</w:t>
      </w:r>
      <w:r>
        <w:rPr>
          <w:rFonts w:hint="eastAsia" w:ascii="仿宋" w:hAnsi="仿宋" w:eastAsia="仿宋" w:cs="仿宋"/>
          <w:b/>
          <w:bCs/>
          <w:color w:val="auto"/>
          <w:szCs w:val="21"/>
          <w:lang w:val="en-US" w:eastAsia="zh-CN"/>
        </w:rPr>
        <w:t>9</w:t>
      </w:r>
      <w:r>
        <w:rPr>
          <w:rFonts w:hint="eastAsia" w:ascii="仿宋" w:hAnsi="仿宋" w:eastAsia="仿宋" w:cs="仿宋"/>
          <w:b/>
          <w:bCs/>
          <w:color w:val="auto"/>
          <w:szCs w:val="21"/>
        </w:rPr>
        <w:t>年1月1日以来承担的类似项目情况表</w:t>
      </w:r>
      <w:bookmarkEnd w:id="169"/>
      <w:bookmarkEnd w:id="170"/>
      <w:bookmarkEnd w:id="171"/>
    </w:p>
    <w:p>
      <w:pPr>
        <w:spacing w:line="400" w:lineRule="exact"/>
        <w:rPr>
          <w:rFonts w:ascii="仿宋" w:hAnsi="仿宋" w:eastAsia="仿宋" w:cs="仿宋"/>
          <w:color w:val="auto"/>
          <w:szCs w:val="21"/>
        </w:r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项目名称</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项目所在地</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发包人名称</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发包人地址</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发包人电话</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合同价格</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开工日期</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竣工日期</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承担的工作</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工程质量</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项目经理</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技术负责人</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总监理工程师及电话</w:t>
            </w:r>
          </w:p>
        </w:tc>
        <w:tc>
          <w:tcPr>
            <w:tcW w:w="6253" w:type="dxa"/>
          </w:tcPr>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仿宋" w:hAnsi="仿宋" w:eastAsia="仿宋" w:cs="仿宋"/>
                <w:color w:val="auto"/>
                <w:szCs w:val="21"/>
              </w:rPr>
            </w:pPr>
            <w:r>
              <w:rPr>
                <w:rFonts w:hint="eastAsia" w:ascii="仿宋" w:hAnsi="仿宋" w:eastAsia="仿宋" w:cs="仿宋"/>
                <w:color w:val="auto"/>
                <w:szCs w:val="21"/>
              </w:rPr>
              <w:t>项目描述</w:t>
            </w:r>
          </w:p>
        </w:tc>
        <w:tc>
          <w:tcPr>
            <w:tcW w:w="6253" w:type="dxa"/>
          </w:tcPr>
          <w:p>
            <w:pPr>
              <w:topLinePunct/>
              <w:spacing w:line="440" w:lineRule="exact"/>
              <w:rPr>
                <w:rFonts w:ascii="仿宋" w:hAnsi="仿宋" w:eastAsia="仿宋" w:cs="仿宋"/>
                <w:color w:val="auto"/>
                <w:szCs w:val="21"/>
              </w:rPr>
            </w:pPr>
          </w:p>
          <w:p>
            <w:pPr>
              <w:topLinePunct/>
              <w:spacing w:line="440" w:lineRule="exact"/>
              <w:rPr>
                <w:rFonts w:ascii="仿宋" w:hAnsi="仿宋" w:eastAsia="仿宋" w:cs="仿宋"/>
                <w:color w:val="auto"/>
                <w:szCs w:val="21"/>
              </w:rPr>
            </w:pPr>
          </w:p>
          <w:p>
            <w:pPr>
              <w:topLinePunct/>
              <w:spacing w:line="440" w:lineRule="exact"/>
              <w:rPr>
                <w:rFonts w:ascii="仿宋" w:hAnsi="仿宋" w:eastAsia="仿宋" w:cs="仿宋"/>
                <w:color w:val="auto"/>
                <w:szCs w:val="21"/>
              </w:rPr>
            </w:pPr>
          </w:p>
          <w:p>
            <w:pPr>
              <w:topLinePunct/>
              <w:spacing w:line="440" w:lineRule="exact"/>
              <w:rPr>
                <w:rFonts w:ascii="仿宋" w:hAnsi="仿宋" w:eastAsia="仿宋" w:cs="仿宋"/>
                <w:color w:val="auto"/>
                <w:szCs w:val="21"/>
              </w:rPr>
            </w:pPr>
          </w:p>
          <w:p>
            <w:pPr>
              <w:topLinePunct/>
              <w:spacing w:line="440" w:lineRule="exact"/>
              <w:rPr>
                <w:rFonts w:ascii="仿宋" w:hAnsi="仿宋" w:eastAsia="仿宋" w:cs="仿宋"/>
                <w:color w:val="auto"/>
                <w:szCs w:val="21"/>
              </w:rPr>
            </w:pPr>
          </w:p>
          <w:p>
            <w:pPr>
              <w:topLinePunct/>
              <w:spacing w:line="440" w:lineRule="exact"/>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vAlign w:val="center"/>
          </w:tcPr>
          <w:p>
            <w:pPr>
              <w:rPr>
                <w:rFonts w:ascii="仿宋" w:hAnsi="仿宋" w:eastAsia="仿宋" w:cs="仿宋"/>
                <w:color w:val="auto"/>
                <w:szCs w:val="21"/>
              </w:rPr>
            </w:pPr>
            <w:r>
              <w:rPr>
                <w:rFonts w:hint="eastAsia" w:ascii="仿宋" w:hAnsi="仿宋" w:eastAsia="仿宋" w:cs="仿宋"/>
                <w:color w:val="auto"/>
                <w:szCs w:val="21"/>
              </w:rPr>
              <w:t>备注</w:t>
            </w:r>
          </w:p>
        </w:tc>
        <w:tc>
          <w:tcPr>
            <w:tcW w:w="6253" w:type="dxa"/>
          </w:tcPr>
          <w:p>
            <w:pPr>
              <w:topLinePunct/>
              <w:spacing w:line="440" w:lineRule="exact"/>
              <w:rPr>
                <w:rFonts w:ascii="仿宋" w:hAnsi="仿宋" w:eastAsia="仿宋" w:cs="仿宋"/>
                <w:color w:val="auto"/>
                <w:szCs w:val="21"/>
              </w:rPr>
            </w:pPr>
          </w:p>
        </w:tc>
      </w:tr>
    </w:tbl>
    <w:p>
      <w:pPr>
        <w:spacing w:line="400" w:lineRule="exact"/>
        <w:rPr>
          <w:rFonts w:ascii="仿宋" w:hAnsi="仿宋" w:eastAsia="仿宋" w:cs="仿宋"/>
          <w:color w:val="auto"/>
          <w:szCs w:val="21"/>
        </w:rPr>
      </w:pPr>
    </w:p>
    <w:p>
      <w:pPr>
        <w:pStyle w:val="61"/>
        <w:jc w:val="center"/>
        <w:rPr>
          <w:rFonts w:ascii="仿宋" w:hAnsi="仿宋" w:eastAsia="仿宋" w:cs="仿宋"/>
          <w:color w:val="auto"/>
          <w:sz w:val="21"/>
          <w:szCs w:val="21"/>
        </w:rPr>
      </w:pPr>
      <w:r>
        <w:rPr>
          <w:rFonts w:hint="eastAsia" w:ascii="仿宋" w:hAnsi="仿宋" w:eastAsia="仿宋" w:cs="仿宋"/>
          <w:color w:val="auto"/>
          <w:sz w:val="21"/>
          <w:szCs w:val="21"/>
        </w:rPr>
        <w:br w:type="page"/>
      </w:r>
      <w:bookmarkStart w:id="172" w:name="_Toc179715763"/>
      <w:bookmarkStart w:id="173" w:name="_Toc152047270"/>
      <w:bookmarkStart w:id="174" w:name="_Toc144974474"/>
      <w:bookmarkStart w:id="175" w:name="_Toc179715764"/>
      <w:bookmarkStart w:id="176" w:name="_Toc144974475"/>
      <w:bookmarkStart w:id="177" w:name="_Toc152047271"/>
      <w:r>
        <w:rPr>
          <w:rFonts w:hint="eastAsia" w:ascii="仿宋" w:hAnsi="仿宋" w:eastAsia="仿宋" w:cs="仿宋"/>
          <w:b/>
          <w:bCs/>
          <w:color w:val="auto"/>
          <w:sz w:val="21"/>
          <w:szCs w:val="21"/>
        </w:rPr>
        <w:t>六、近年发生的诉讼及仲裁情况</w:t>
      </w:r>
      <w:bookmarkEnd w:id="172"/>
      <w:bookmarkEnd w:id="173"/>
      <w:bookmarkEnd w:id="174"/>
    </w:p>
    <w:p>
      <w:pPr>
        <w:pStyle w:val="61"/>
        <w:jc w:val="center"/>
        <w:rPr>
          <w:rFonts w:ascii="仿宋" w:hAnsi="仿宋" w:eastAsia="仿宋" w:cs="仿宋"/>
          <w:color w:val="auto"/>
          <w:sz w:val="21"/>
          <w:szCs w:val="21"/>
        </w:rPr>
      </w:pPr>
      <w:r>
        <w:rPr>
          <w:rFonts w:hint="eastAsia" w:ascii="仿宋" w:hAnsi="仿宋" w:eastAsia="仿宋" w:cs="仿宋"/>
          <w:color w:val="auto"/>
          <w:sz w:val="21"/>
          <w:szCs w:val="21"/>
        </w:rPr>
        <w:br w:type="page"/>
      </w:r>
      <w:bookmarkEnd w:id="175"/>
      <w:bookmarkEnd w:id="176"/>
      <w:bookmarkEnd w:id="177"/>
      <w:r>
        <w:rPr>
          <w:rFonts w:hint="eastAsia" w:ascii="仿宋" w:hAnsi="仿宋" w:eastAsia="仿宋" w:cs="仿宋"/>
          <w:b/>
          <w:bCs/>
          <w:color w:val="auto"/>
          <w:sz w:val="21"/>
          <w:szCs w:val="21"/>
        </w:rPr>
        <w:t>七、获奖证明材料</w:t>
      </w:r>
    </w:p>
    <w:p>
      <w:pPr>
        <w:spacing w:line="440" w:lineRule="exact"/>
        <w:jc w:val="center"/>
        <w:rPr>
          <w:rFonts w:ascii="仿宋" w:hAnsi="仿宋" w:eastAsia="仿宋" w:cs="仿宋"/>
          <w:b/>
          <w:bCs/>
          <w:color w:val="auto"/>
          <w:szCs w:val="21"/>
        </w:rPr>
      </w:pPr>
      <w:r>
        <w:rPr>
          <w:rFonts w:hint="eastAsia" w:ascii="仿宋" w:hAnsi="仿宋" w:eastAsia="仿宋" w:cs="仿宋"/>
          <w:color w:val="auto"/>
          <w:szCs w:val="21"/>
        </w:rPr>
        <w:br w:type="page"/>
      </w:r>
    </w:p>
    <w:p>
      <w:pPr>
        <w:pStyle w:val="61"/>
        <w:numPr>
          <w:ilvl w:val="0"/>
          <w:numId w:val="4"/>
        </w:numPr>
        <w:jc w:val="center"/>
        <w:rPr>
          <w:rFonts w:ascii="仿宋" w:hAnsi="仿宋" w:eastAsia="仿宋" w:cs="仿宋"/>
          <w:b/>
          <w:bCs/>
          <w:color w:val="auto"/>
          <w:sz w:val="21"/>
          <w:szCs w:val="21"/>
        </w:rPr>
      </w:pPr>
      <w:r>
        <w:rPr>
          <w:rFonts w:hint="eastAsia" w:ascii="仿宋" w:hAnsi="仿宋" w:eastAsia="仿宋" w:cs="仿宋"/>
          <w:b/>
          <w:bCs/>
          <w:color w:val="auto"/>
          <w:sz w:val="21"/>
          <w:szCs w:val="21"/>
        </w:rPr>
        <w:t xml:space="preserve">扬尘污染防治和建筑垃圾处置方案 </w:t>
      </w: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rPr>
          <w:rFonts w:ascii="仿宋" w:hAnsi="仿宋" w:eastAsia="仿宋" w:cs="仿宋"/>
          <w:b/>
          <w:bCs/>
          <w:color w:val="auto"/>
          <w:sz w:val="21"/>
          <w:szCs w:val="21"/>
        </w:rPr>
      </w:pPr>
    </w:p>
    <w:p>
      <w:pPr>
        <w:pStyle w:val="61"/>
        <w:jc w:val="center"/>
        <w:rPr>
          <w:rFonts w:ascii="仿宋" w:hAnsi="仿宋" w:eastAsia="仿宋" w:cs="仿宋"/>
          <w:b/>
          <w:bCs/>
          <w:color w:val="auto"/>
          <w:sz w:val="21"/>
          <w:szCs w:val="21"/>
        </w:rPr>
      </w:pPr>
      <w:r>
        <w:rPr>
          <w:rFonts w:hint="eastAsia" w:ascii="仿宋" w:hAnsi="仿宋" w:eastAsia="仿宋" w:cs="仿宋"/>
          <w:b/>
          <w:bCs/>
          <w:color w:val="auto"/>
          <w:sz w:val="21"/>
          <w:szCs w:val="21"/>
        </w:rPr>
        <w:t>九、其他工程技术管理要素</w:t>
      </w: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rPr>
          <w:rFonts w:ascii="仿宋" w:hAnsi="仿宋" w:eastAsia="仿宋" w:cs="仿宋"/>
          <w:color w:val="auto"/>
        </w:rPr>
      </w:pPr>
    </w:p>
    <w:p>
      <w:pPr>
        <w:pStyle w:val="61"/>
        <w:jc w:val="center"/>
        <w:rPr>
          <w:rFonts w:ascii="仿宋" w:hAnsi="仿宋" w:eastAsia="仿宋" w:cs="仿宋"/>
          <w:b/>
          <w:bCs/>
          <w:color w:val="auto"/>
          <w:sz w:val="21"/>
          <w:szCs w:val="21"/>
        </w:rPr>
      </w:pPr>
      <w:r>
        <w:rPr>
          <w:rFonts w:hint="eastAsia" w:ascii="仿宋" w:hAnsi="仿宋" w:eastAsia="仿宋" w:cs="仿宋"/>
          <w:b/>
          <w:bCs/>
          <w:color w:val="auto"/>
          <w:sz w:val="21"/>
          <w:szCs w:val="21"/>
        </w:rPr>
        <w:t>十、其他资料</w:t>
      </w:r>
    </w:p>
    <w:p>
      <w:pPr>
        <w:spacing w:line="400" w:lineRule="exact"/>
        <w:rPr>
          <w:rFonts w:ascii="仿宋" w:hAnsi="仿宋" w:eastAsia="仿宋" w:cs="仿宋"/>
          <w:b/>
          <w:bCs/>
          <w:color w:val="auto"/>
          <w:szCs w:val="21"/>
        </w:rPr>
      </w:pPr>
    </w:p>
    <w:p>
      <w:pPr>
        <w:spacing w:line="400" w:lineRule="exact"/>
        <w:jc w:val="left"/>
        <w:rPr>
          <w:rFonts w:ascii="仿宋" w:hAnsi="仿宋" w:eastAsia="仿宋" w:cs="仿宋"/>
          <w:color w:val="auto"/>
          <w:szCs w:val="21"/>
          <w:u w:val="single"/>
        </w:rPr>
      </w:pPr>
    </w:p>
    <w:sectPr>
      <w:footerReference r:id="rId6"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2628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90500" cy="262890"/>
                      </a:xfrm>
                      <a:prstGeom prst="rect">
                        <a:avLst/>
                      </a:prstGeom>
                      <a:noFill/>
                      <a:ln>
                        <a:noFill/>
                      </a:ln>
                      <a:effectLst/>
                    </wps:spPr>
                    <wps:txbx>
                      <w:txbxContent>
                        <w:p>
                          <w:pPr>
                            <w:pStyle w:val="20"/>
                          </w:pPr>
                          <w:r>
                            <w:fldChar w:fldCharType="begin"/>
                          </w:r>
                          <w:r>
                            <w:instrText xml:space="preserve"> PAGE  \* MERGEFORMAT </w:instrText>
                          </w:r>
                          <w:r>
                            <w:fldChar w:fldCharType="separate"/>
                          </w:r>
                          <w:r>
                            <w:t>- 8 -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20.7pt;width:15pt;mso-position-horizontal:center;mso-position-horizontal-relative:margin;mso-wrap-style:none;z-index:251659264;mso-width-relative:page;mso-height-relative:page;" filled="f" stroked="f" coordsize="21600,21600" o:gfxdata="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xxe&#10;3NAAAAADAQAADwAAAAAAAAABACAAAAAiAAAAZHJzL2Rvd25yZXYueG1sUEsBAhQAFAAAAAgAh07i&#10;QL2Np024AQAAVwMAAA4AAAAAAAAAAQAgAAAAHwEAAGRycy9lMm9Eb2MueG1sUEsFBgAAAAAGAAYA&#10;WQEAAEkFAAAAAA==&#10;">
              <v:fill on="f" focussize="0,0"/>
              <v:stroke on="f"/>
              <v:imagedata o:title=""/>
              <o:lock v:ext="edit" aspectratio="f"/>
              <v:textbox inset="0mm,0mm,0mm,0mm" style="mso-fit-shape-to-text:t;">
                <w:txbxContent>
                  <w:p>
                    <w:pPr>
                      <w:pStyle w:val="20"/>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5C0955"/>
    <w:multiLevelType w:val="singleLevel"/>
    <w:tmpl w:val="845C0955"/>
    <w:lvl w:ilvl="0" w:tentative="0">
      <w:start w:val="3"/>
      <w:numFmt w:val="decimal"/>
      <w:lvlText w:val="%1."/>
      <w:lvlJc w:val="left"/>
      <w:pPr>
        <w:tabs>
          <w:tab w:val="left" w:pos="312"/>
        </w:tabs>
      </w:pPr>
    </w:lvl>
  </w:abstractNum>
  <w:abstractNum w:abstractNumId="1">
    <w:nsid w:val="866E1F21"/>
    <w:multiLevelType w:val="singleLevel"/>
    <w:tmpl w:val="866E1F21"/>
    <w:lvl w:ilvl="0" w:tentative="0">
      <w:start w:val="1"/>
      <w:numFmt w:val="decimal"/>
      <w:suff w:val="nothing"/>
      <w:lvlText w:val="%1、"/>
      <w:lvlJc w:val="left"/>
      <w:rPr>
        <w:b/>
      </w:rPr>
    </w:lvl>
  </w:abstractNum>
  <w:abstractNum w:abstractNumId="2">
    <w:nsid w:val="1A61D7F0"/>
    <w:multiLevelType w:val="singleLevel"/>
    <w:tmpl w:val="1A61D7F0"/>
    <w:lvl w:ilvl="0" w:tentative="0">
      <w:start w:val="8"/>
      <w:numFmt w:val="chineseCounting"/>
      <w:suff w:val="nothing"/>
      <w:lvlText w:val="%1、"/>
      <w:lvlJc w:val="left"/>
      <w:rPr>
        <w:rFonts w:hint="eastAsia"/>
      </w:rPr>
    </w:lvl>
  </w:abstractNum>
  <w:abstractNum w:abstractNumId="3">
    <w:nsid w:val="6FE570A8"/>
    <w:multiLevelType w:val="multilevel"/>
    <w:tmpl w:val="6FE570A8"/>
    <w:lvl w:ilvl="0" w:tentative="0">
      <w:start w:val="1"/>
      <w:numFmt w:val="japaneseCounting"/>
      <w:lvlText w:val="第%1章"/>
      <w:lvlJc w:val="left"/>
      <w:pPr>
        <w:ind w:left="1215" w:hanging="121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CBA"/>
    <w:rsid w:val="00011A4D"/>
    <w:rsid w:val="00014260"/>
    <w:rsid w:val="0001603C"/>
    <w:rsid w:val="0002680A"/>
    <w:rsid w:val="0003042E"/>
    <w:rsid w:val="0004115A"/>
    <w:rsid w:val="00043784"/>
    <w:rsid w:val="00056515"/>
    <w:rsid w:val="00057789"/>
    <w:rsid w:val="00062DD1"/>
    <w:rsid w:val="00062FA5"/>
    <w:rsid w:val="00071D80"/>
    <w:rsid w:val="00073E41"/>
    <w:rsid w:val="000776E2"/>
    <w:rsid w:val="00083410"/>
    <w:rsid w:val="000861AA"/>
    <w:rsid w:val="000865ED"/>
    <w:rsid w:val="000872EC"/>
    <w:rsid w:val="000B7260"/>
    <w:rsid w:val="000C612E"/>
    <w:rsid w:val="000D1375"/>
    <w:rsid w:val="000D18C8"/>
    <w:rsid w:val="000D743A"/>
    <w:rsid w:val="000D75DE"/>
    <w:rsid w:val="000E4259"/>
    <w:rsid w:val="0011080A"/>
    <w:rsid w:val="001160ED"/>
    <w:rsid w:val="00121A08"/>
    <w:rsid w:val="001307C9"/>
    <w:rsid w:val="00152EC9"/>
    <w:rsid w:val="00172642"/>
    <w:rsid w:val="001743A2"/>
    <w:rsid w:val="00174E3F"/>
    <w:rsid w:val="001831B9"/>
    <w:rsid w:val="0018501A"/>
    <w:rsid w:val="00186332"/>
    <w:rsid w:val="00193B64"/>
    <w:rsid w:val="001A008B"/>
    <w:rsid w:val="001A03CD"/>
    <w:rsid w:val="001D1733"/>
    <w:rsid w:val="001D1DA4"/>
    <w:rsid w:val="001D287C"/>
    <w:rsid w:val="001E0ABC"/>
    <w:rsid w:val="001E68CE"/>
    <w:rsid w:val="00200119"/>
    <w:rsid w:val="00206D41"/>
    <w:rsid w:val="00230C7B"/>
    <w:rsid w:val="00234316"/>
    <w:rsid w:val="002660EE"/>
    <w:rsid w:val="00266990"/>
    <w:rsid w:val="0027064A"/>
    <w:rsid w:val="00270E3C"/>
    <w:rsid w:val="002776DE"/>
    <w:rsid w:val="002830AD"/>
    <w:rsid w:val="002912D9"/>
    <w:rsid w:val="002947EF"/>
    <w:rsid w:val="00297B90"/>
    <w:rsid w:val="002A1ED7"/>
    <w:rsid w:val="002A2425"/>
    <w:rsid w:val="002A2657"/>
    <w:rsid w:val="002B407C"/>
    <w:rsid w:val="002B5A4B"/>
    <w:rsid w:val="002E4364"/>
    <w:rsid w:val="002E5DA5"/>
    <w:rsid w:val="002F04FF"/>
    <w:rsid w:val="002F1BEA"/>
    <w:rsid w:val="002F35FC"/>
    <w:rsid w:val="002F3DCD"/>
    <w:rsid w:val="00300002"/>
    <w:rsid w:val="003035F7"/>
    <w:rsid w:val="00305B65"/>
    <w:rsid w:val="00323E1C"/>
    <w:rsid w:val="00330BEF"/>
    <w:rsid w:val="00333FAC"/>
    <w:rsid w:val="00335D7F"/>
    <w:rsid w:val="003532D9"/>
    <w:rsid w:val="00373AEF"/>
    <w:rsid w:val="00383DBE"/>
    <w:rsid w:val="00393D2E"/>
    <w:rsid w:val="00395272"/>
    <w:rsid w:val="00395884"/>
    <w:rsid w:val="003A0D0F"/>
    <w:rsid w:val="003B21B8"/>
    <w:rsid w:val="003B4F2A"/>
    <w:rsid w:val="003D55D6"/>
    <w:rsid w:val="003E3121"/>
    <w:rsid w:val="003E3C03"/>
    <w:rsid w:val="003E427A"/>
    <w:rsid w:val="003F3CFF"/>
    <w:rsid w:val="00400360"/>
    <w:rsid w:val="00416B45"/>
    <w:rsid w:val="004255AF"/>
    <w:rsid w:val="0043570A"/>
    <w:rsid w:val="00445F05"/>
    <w:rsid w:val="00450EAC"/>
    <w:rsid w:val="004514CC"/>
    <w:rsid w:val="00461805"/>
    <w:rsid w:val="00475020"/>
    <w:rsid w:val="00481DC7"/>
    <w:rsid w:val="00482440"/>
    <w:rsid w:val="004900C3"/>
    <w:rsid w:val="00492949"/>
    <w:rsid w:val="004A58A0"/>
    <w:rsid w:val="004B2569"/>
    <w:rsid w:val="004C5A0B"/>
    <w:rsid w:val="004D5531"/>
    <w:rsid w:val="004D7C03"/>
    <w:rsid w:val="004E21B2"/>
    <w:rsid w:val="004E412F"/>
    <w:rsid w:val="004F130B"/>
    <w:rsid w:val="005111D8"/>
    <w:rsid w:val="0051573F"/>
    <w:rsid w:val="0053412F"/>
    <w:rsid w:val="00536664"/>
    <w:rsid w:val="00544579"/>
    <w:rsid w:val="00545673"/>
    <w:rsid w:val="0055448C"/>
    <w:rsid w:val="00556B67"/>
    <w:rsid w:val="00571E3C"/>
    <w:rsid w:val="005731E1"/>
    <w:rsid w:val="005757D2"/>
    <w:rsid w:val="005773BF"/>
    <w:rsid w:val="00592D2A"/>
    <w:rsid w:val="005930D2"/>
    <w:rsid w:val="005930F5"/>
    <w:rsid w:val="005B4D1E"/>
    <w:rsid w:val="005B750F"/>
    <w:rsid w:val="005D668A"/>
    <w:rsid w:val="005F1961"/>
    <w:rsid w:val="005F3B15"/>
    <w:rsid w:val="005F4D60"/>
    <w:rsid w:val="005F5B62"/>
    <w:rsid w:val="006177FF"/>
    <w:rsid w:val="006222EC"/>
    <w:rsid w:val="00627C51"/>
    <w:rsid w:val="00637FE2"/>
    <w:rsid w:val="00656C97"/>
    <w:rsid w:val="006604B8"/>
    <w:rsid w:val="00660A24"/>
    <w:rsid w:val="00661A77"/>
    <w:rsid w:val="00665248"/>
    <w:rsid w:val="0067130E"/>
    <w:rsid w:val="00671669"/>
    <w:rsid w:val="006759C6"/>
    <w:rsid w:val="006A1DD8"/>
    <w:rsid w:val="006A2320"/>
    <w:rsid w:val="006A605C"/>
    <w:rsid w:val="006C5718"/>
    <w:rsid w:val="006D4EE8"/>
    <w:rsid w:val="006E4CF9"/>
    <w:rsid w:val="006F127F"/>
    <w:rsid w:val="006F6E99"/>
    <w:rsid w:val="0070216C"/>
    <w:rsid w:val="00710200"/>
    <w:rsid w:val="007157BC"/>
    <w:rsid w:val="007271D8"/>
    <w:rsid w:val="00740384"/>
    <w:rsid w:val="00741CBC"/>
    <w:rsid w:val="007443F5"/>
    <w:rsid w:val="00746FBA"/>
    <w:rsid w:val="007571F7"/>
    <w:rsid w:val="007745DA"/>
    <w:rsid w:val="007802DB"/>
    <w:rsid w:val="007819BD"/>
    <w:rsid w:val="00791EAB"/>
    <w:rsid w:val="007A2F8C"/>
    <w:rsid w:val="007B562B"/>
    <w:rsid w:val="007C01F8"/>
    <w:rsid w:val="007C06D6"/>
    <w:rsid w:val="007C15B7"/>
    <w:rsid w:val="007C341A"/>
    <w:rsid w:val="007C4BC2"/>
    <w:rsid w:val="007E23B0"/>
    <w:rsid w:val="007E65CB"/>
    <w:rsid w:val="007F33DB"/>
    <w:rsid w:val="008055A3"/>
    <w:rsid w:val="008072AC"/>
    <w:rsid w:val="008211CB"/>
    <w:rsid w:val="00824CF5"/>
    <w:rsid w:val="00845050"/>
    <w:rsid w:val="00845845"/>
    <w:rsid w:val="00863E16"/>
    <w:rsid w:val="00875C43"/>
    <w:rsid w:val="00877BB2"/>
    <w:rsid w:val="0088349B"/>
    <w:rsid w:val="008A35B3"/>
    <w:rsid w:val="008A403D"/>
    <w:rsid w:val="008A517D"/>
    <w:rsid w:val="008B243E"/>
    <w:rsid w:val="008B65AA"/>
    <w:rsid w:val="008C4B60"/>
    <w:rsid w:val="008C4E9F"/>
    <w:rsid w:val="008D3066"/>
    <w:rsid w:val="008E0798"/>
    <w:rsid w:val="008E71C4"/>
    <w:rsid w:val="009019E6"/>
    <w:rsid w:val="0090479F"/>
    <w:rsid w:val="00921DC6"/>
    <w:rsid w:val="009235D0"/>
    <w:rsid w:val="009335F2"/>
    <w:rsid w:val="00936AB3"/>
    <w:rsid w:val="009430E2"/>
    <w:rsid w:val="009479C9"/>
    <w:rsid w:val="0095265E"/>
    <w:rsid w:val="00960545"/>
    <w:rsid w:val="009734D2"/>
    <w:rsid w:val="009774B0"/>
    <w:rsid w:val="009A4034"/>
    <w:rsid w:val="009B1A1F"/>
    <w:rsid w:val="009B1D7A"/>
    <w:rsid w:val="009B5708"/>
    <w:rsid w:val="009C5706"/>
    <w:rsid w:val="009F1AEF"/>
    <w:rsid w:val="009F3103"/>
    <w:rsid w:val="009F4C70"/>
    <w:rsid w:val="009F51AB"/>
    <w:rsid w:val="009F5737"/>
    <w:rsid w:val="00A02959"/>
    <w:rsid w:val="00A04319"/>
    <w:rsid w:val="00A07D0C"/>
    <w:rsid w:val="00A216CE"/>
    <w:rsid w:val="00A322F4"/>
    <w:rsid w:val="00A37027"/>
    <w:rsid w:val="00A44BEC"/>
    <w:rsid w:val="00A5322B"/>
    <w:rsid w:val="00A539E2"/>
    <w:rsid w:val="00A556E3"/>
    <w:rsid w:val="00A5692D"/>
    <w:rsid w:val="00A653B2"/>
    <w:rsid w:val="00A65657"/>
    <w:rsid w:val="00A6763F"/>
    <w:rsid w:val="00A75CC1"/>
    <w:rsid w:val="00A76588"/>
    <w:rsid w:val="00A81242"/>
    <w:rsid w:val="00A82524"/>
    <w:rsid w:val="00A87436"/>
    <w:rsid w:val="00AB1C52"/>
    <w:rsid w:val="00AC12A2"/>
    <w:rsid w:val="00AD05C4"/>
    <w:rsid w:val="00AD4298"/>
    <w:rsid w:val="00AD686A"/>
    <w:rsid w:val="00AD7BB2"/>
    <w:rsid w:val="00AE20CC"/>
    <w:rsid w:val="00AE21E0"/>
    <w:rsid w:val="00AE51DA"/>
    <w:rsid w:val="00AE5AAF"/>
    <w:rsid w:val="00AF1C7A"/>
    <w:rsid w:val="00AF27D2"/>
    <w:rsid w:val="00AF3648"/>
    <w:rsid w:val="00B01D6E"/>
    <w:rsid w:val="00B102B8"/>
    <w:rsid w:val="00B3341E"/>
    <w:rsid w:val="00B37457"/>
    <w:rsid w:val="00B661A4"/>
    <w:rsid w:val="00B67CA9"/>
    <w:rsid w:val="00B72647"/>
    <w:rsid w:val="00B7755C"/>
    <w:rsid w:val="00B80F1C"/>
    <w:rsid w:val="00B827BC"/>
    <w:rsid w:val="00B847FE"/>
    <w:rsid w:val="00B86CBA"/>
    <w:rsid w:val="00B90E1D"/>
    <w:rsid w:val="00B92862"/>
    <w:rsid w:val="00B948DC"/>
    <w:rsid w:val="00B94F98"/>
    <w:rsid w:val="00BA280E"/>
    <w:rsid w:val="00BA6EFC"/>
    <w:rsid w:val="00BD0C78"/>
    <w:rsid w:val="00BD6239"/>
    <w:rsid w:val="00BE3746"/>
    <w:rsid w:val="00C003E1"/>
    <w:rsid w:val="00C01508"/>
    <w:rsid w:val="00C01F64"/>
    <w:rsid w:val="00C13483"/>
    <w:rsid w:val="00C279E7"/>
    <w:rsid w:val="00C32B08"/>
    <w:rsid w:val="00C367D4"/>
    <w:rsid w:val="00C3708B"/>
    <w:rsid w:val="00C42210"/>
    <w:rsid w:val="00C4392C"/>
    <w:rsid w:val="00C51BCF"/>
    <w:rsid w:val="00C63B5B"/>
    <w:rsid w:val="00C64543"/>
    <w:rsid w:val="00C656C5"/>
    <w:rsid w:val="00C65EED"/>
    <w:rsid w:val="00C72176"/>
    <w:rsid w:val="00C80D0D"/>
    <w:rsid w:val="00C86D75"/>
    <w:rsid w:val="00C9370A"/>
    <w:rsid w:val="00CB3C6D"/>
    <w:rsid w:val="00CD5D34"/>
    <w:rsid w:val="00CE0747"/>
    <w:rsid w:val="00CE3A28"/>
    <w:rsid w:val="00CE4490"/>
    <w:rsid w:val="00D02D6D"/>
    <w:rsid w:val="00D04C1E"/>
    <w:rsid w:val="00D05E88"/>
    <w:rsid w:val="00D176B8"/>
    <w:rsid w:val="00D268EB"/>
    <w:rsid w:val="00D34D5C"/>
    <w:rsid w:val="00D37FE0"/>
    <w:rsid w:val="00D5086E"/>
    <w:rsid w:val="00D51830"/>
    <w:rsid w:val="00D87362"/>
    <w:rsid w:val="00D960FE"/>
    <w:rsid w:val="00DB101C"/>
    <w:rsid w:val="00DB4F12"/>
    <w:rsid w:val="00DB5F56"/>
    <w:rsid w:val="00DC7F58"/>
    <w:rsid w:val="00DE38C9"/>
    <w:rsid w:val="00DE4335"/>
    <w:rsid w:val="00DF4F11"/>
    <w:rsid w:val="00E01B67"/>
    <w:rsid w:val="00E26457"/>
    <w:rsid w:val="00E33FCB"/>
    <w:rsid w:val="00E46845"/>
    <w:rsid w:val="00E500E2"/>
    <w:rsid w:val="00E501BB"/>
    <w:rsid w:val="00E51235"/>
    <w:rsid w:val="00E55625"/>
    <w:rsid w:val="00E7143B"/>
    <w:rsid w:val="00E8096A"/>
    <w:rsid w:val="00E876B0"/>
    <w:rsid w:val="00E91B20"/>
    <w:rsid w:val="00EA10CD"/>
    <w:rsid w:val="00EA436A"/>
    <w:rsid w:val="00EC6196"/>
    <w:rsid w:val="00EC75AE"/>
    <w:rsid w:val="00F15B8F"/>
    <w:rsid w:val="00F4369D"/>
    <w:rsid w:val="00F55B18"/>
    <w:rsid w:val="00F60E05"/>
    <w:rsid w:val="00F63412"/>
    <w:rsid w:val="00F71FBE"/>
    <w:rsid w:val="00F9550D"/>
    <w:rsid w:val="00FA0DFC"/>
    <w:rsid w:val="00FA27A0"/>
    <w:rsid w:val="00FC0DAE"/>
    <w:rsid w:val="00FC6268"/>
    <w:rsid w:val="00FD1C18"/>
    <w:rsid w:val="00FD3B0B"/>
    <w:rsid w:val="00FE191E"/>
    <w:rsid w:val="00FF788F"/>
    <w:rsid w:val="01034BD1"/>
    <w:rsid w:val="01092C2F"/>
    <w:rsid w:val="014D39D7"/>
    <w:rsid w:val="015E2276"/>
    <w:rsid w:val="0193048D"/>
    <w:rsid w:val="019A147F"/>
    <w:rsid w:val="01AE744F"/>
    <w:rsid w:val="01D06ABA"/>
    <w:rsid w:val="01D712DD"/>
    <w:rsid w:val="021760CC"/>
    <w:rsid w:val="02412214"/>
    <w:rsid w:val="02AA57B6"/>
    <w:rsid w:val="02AA633D"/>
    <w:rsid w:val="02B219F4"/>
    <w:rsid w:val="02B31CBD"/>
    <w:rsid w:val="02B36353"/>
    <w:rsid w:val="033054ED"/>
    <w:rsid w:val="033D1201"/>
    <w:rsid w:val="03481A96"/>
    <w:rsid w:val="035557CE"/>
    <w:rsid w:val="039D1199"/>
    <w:rsid w:val="03AF784B"/>
    <w:rsid w:val="03C0284F"/>
    <w:rsid w:val="03C6317F"/>
    <w:rsid w:val="03F418F9"/>
    <w:rsid w:val="040D7D07"/>
    <w:rsid w:val="041F0994"/>
    <w:rsid w:val="047A2036"/>
    <w:rsid w:val="04D077CB"/>
    <w:rsid w:val="04F7600F"/>
    <w:rsid w:val="04F946FB"/>
    <w:rsid w:val="052C339E"/>
    <w:rsid w:val="054F23E4"/>
    <w:rsid w:val="059E3BC2"/>
    <w:rsid w:val="05A4730F"/>
    <w:rsid w:val="05E522F8"/>
    <w:rsid w:val="05F442DA"/>
    <w:rsid w:val="06A67110"/>
    <w:rsid w:val="06E627D0"/>
    <w:rsid w:val="06F33B2D"/>
    <w:rsid w:val="070D7429"/>
    <w:rsid w:val="071C4D17"/>
    <w:rsid w:val="0743148C"/>
    <w:rsid w:val="076166A4"/>
    <w:rsid w:val="0769257F"/>
    <w:rsid w:val="077025B8"/>
    <w:rsid w:val="07A5494F"/>
    <w:rsid w:val="07AA3DD5"/>
    <w:rsid w:val="07CA34C1"/>
    <w:rsid w:val="08191607"/>
    <w:rsid w:val="085B5E7A"/>
    <w:rsid w:val="089860D2"/>
    <w:rsid w:val="08EB4172"/>
    <w:rsid w:val="091D258C"/>
    <w:rsid w:val="092C3D5F"/>
    <w:rsid w:val="0958437A"/>
    <w:rsid w:val="09644700"/>
    <w:rsid w:val="09904AC5"/>
    <w:rsid w:val="0993354A"/>
    <w:rsid w:val="09D524DE"/>
    <w:rsid w:val="09D76185"/>
    <w:rsid w:val="0A0A2C05"/>
    <w:rsid w:val="0A0E002A"/>
    <w:rsid w:val="0A20250A"/>
    <w:rsid w:val="0A2A63F7"/>
    <w:rsid w:val="0A2F5BE8"/>
    <w:rsid w:val="0A770891"/>
    <w:rsid w:val="0A89687A"/>
    <w:rsid w:val="0AEB4335"/>
    <w:rsid w:val="0AF74655"/>
    <w:rsid w:val="0B660089"/>
    <w:rsid w:val="0B7053F9"/>
    <w:rsid w:val="0B825141"/>
    <w:rsid w:val="0B9B7B27"/>
    <w:rsid w:val="0BCD42AE"/>
    <w:rsid w:val="0BEC40F0"/>
    <w:rsid w:val="0C10675B"/>
    <w:rsid w:val="0C20552D"/>
    <w:rsid w:val="0C2D550B"/>
    <w:rsid w:val="0CAC2471"/>
    <w:rsid w:val="0CB4578A"/>
    <w:rsid w:val="0D077212"/>
    <w:rsid w:val="0D18162C"/>
    <w:rsid w:val="0D1A58CC"/>
    <w:rsid w:val="0D7E5BDE"/>
    <w:rsid w:val="0D881184"/>
    <w:rsid w:val="0D9416D5"/>
    <w:rsid w:val="0DA243C5"/>
    <w:rsid w:val="0DA86A37"/>
    <w:rsid w:val="0DAC01F6"/>
    <w:rsid w:val="0E1A3B0A"/>
    <w:rsid w:val="0E267B93"/>
    <w:rsid w:val="0E283A71"/>
    <w:rsid w:val="0E3667F2"/>
    <w:rsid w:val="0E5A6729"/>
    <w:rsid w:val="0E692498"/>
    <w:rsid w:val="0E7866EE"/>
    <w:rsid w:val="0EB00243"/>
    <w:rsid w:val="0ED66386"/>
    <w:rsid w:val="0EEF4A1B"/>
    <w:rsid w:val="0F4E71CE"/>
    <w:rsid w:val="0F667D7C"/>
    <w:rsid w:val="0F673282"/>
    <w:rsid w:val="0F774CB8"/>
    <w:rsid w:val="0FAE28B6"/>
    <w:rsid w:val="0FB4041C"/>
    <w:rsid w:val="0FC44E44"/>
    <w:rsid w:val="0FD90470"/>
    <w:rsid w:val="101515DB"/>
    <w:rsid w:val="10337941"/>
    <w:rsid w:val="105C526F"/>
    <w:rsid w:val="107C7A71"/>
    <w:rsid w:val="1085746F"/>
    <w:rsid w:val="10931FAD"/>
    <w:rsid w:val="109E6BE0"/>
    <w:rsid w:val="10E15729"/>
    <w:rsid w:val="11084BCD"/>
    <w:rsid w:val="112D6D4F"/>
    <w:rsid w:val="1135166D"/>
    <w:rsid w:val="114345D6"/>
    <w:rsid w:val="115E6C6F"/>
    <w:rsid w:val="11844F70"/>
    <w:rsid w:val="119933C0"/>
    <w:rsid w:val="119A6A3D"/>
    <w:rsid w:val="11D56FA8"/>
    <w:rsid w:val="120674DC"/>
    <w:rsid w:val="126E554F"/>
    <w:rsid w:val="129C6501"/>
    <w:rsid w:val="139B5760"/>
    <w:rsid w:val="13ED73D5"/>
    <w:rsid w:val="13FF03B3"/>
    <w:rsid w:val="141006FA"/>
    <w:rsid w:val="142B1B6D"/>
    <w:rsid w:val="144D7507"/>
    <w:rsid w:val="146561E5"/>
    <w:rsid w:val="149468DE"/>
    <w:rsid w:val="14BB7912"/>
    <w:rsid w:val="14C9353F"/>
    <w:rsid w:val="150343B6"/>
    <w:rsid w:val="15111525"/>
    <w:rsid w:val="156E6166"/>
    <w:rsid w:val="159459F1"/>
    <w:rsid w:val="163A6E03"/>
    <w:rsid w:val="163C6408"/>
    <w:rsid w:val="165A72B6"/>
    <w:rsid w:val="16A440CA"/>
    <w:rsid w:val="16DE0220"/>
    <w:rsid w:val="16E04A89"/>
    <w:rsid w:val="17055B88"/>
    <w:rsid w:val="172F4001"/>
    <w:rsid w:val="17393CB6"/>
    <w:rsid w:val="17580C5E"/>
    <w:rsid w:val="176A66A8"/>
    <w:rsid w:val="178D2420"/>
    <w:rsid w:val="178D7B4F"/>
    <w:rsid w:val="179A1F9F"/>
    <w:rsid w:val="17B141CF"/>
    <w:rsid w:val="17C147C5"/>
    <w:rsid w:val="184464B6"/>
    <w:rsid w:val="184D554E"/>
    <w:rsid w:val="185373B4"/>
    <w:rsid w:val="188D1F63"/>
    <w:rsid w:val="1892655E"/>
    <w:rsid w:val="18971639"/>
    <w:rsid w:val="18CE6AB4"/>
    <w:rsid w:val="18F06E86"/>
    <w:rsid w:val="195F7AA6"/>
    <w:rsid w:val="196470BD"/>
    <w:rsid w:val="197059D6"/>
    <w:rsid w:val="19CA2F30"/>
    <w:rsid w:val="19F32E35"/>
    <w:rsid w:val="1A4C7411"/>
    <w:rsid w:val="1A80789F"/>
    <w:rsid w:val="1A847FE9"/>
    <w:rsid w:val="1A8648A3"/>
    <w:rsid w:val="1AA73C53"/>
    <w:rsid w:val="1B1140EE"/>
    <w:rsid w:val="1B2213FB"/>
    <w:rsid w:val="1B662E16"/>
    <w:rsid w:val="1B6A1E11"/>
    <w:rsid w:val="1B6C4D10"/>
    <w:rsid w:val="1B79249F"/>
    <w:rsid w:val="1B962A91"/>
    <w:rsid w:val="1B9D3F22"/>
    <w:rsid w:val="1BA85C4E"/>
    <w:rsid w:val="1BDB7694"/>
    <w:rsid w:val="1C080761"/>
    <w:rsid w:val="1C0D2162"/>
    <w:rsid w:val="1C516CDD"/>
    <w:rsid w:val="1CA15525"/>
    <w:rsid w:val="1CDB6F03"/>
    <w:rsid w:val="1CE9171D"/>
    <w:rsid w:val="1D3167D0"/>
    <w:rsid w:val="1D950ADD"/>
    <w:rsid w:val="1E93717E"/>
    <w:rsid w:val="1EA920EB"/>
    <w:rsid w:val="1EB64FA3"/>
    <w:rsid w:val="1EDC6F7C"/>
    <w:rsid w:val="1EE05075"/>
    <w:rsid w:val="1F095E94"/>
    <w:rsid w:val="1F2B5A1A"/>
    <w:rsid w:val="1F40561B"/>
    <w:rsid w:val="1F433AE2"/>
    <w:rsid w:val="1F75263C"/>
    <w:rsid w:val="1FAD3574"/>
    <w:rsid w:val="1FB13CE8"/>
    <w:rsid w:val="1FF946A5"/>
    <w:rsid w:val="20275ABA"/>
    <w:rsid w:val="202D1ADD"/>
    <w:rsid w:val="20E47E0B"/>
    <w:rsid w:val="211B7A43"/>
    <w:rsid w:val="213B051A"/>
    <w:rsid w:val="21DA3B43"/>
    <w:rsid w:val="221C3760"/>
    <w:rsid w:val="2222561D"/>
    <w:rsid w:val="22233FD1"/>
    <w:rsid w:val="22BB43D7"/>
    <w:rsid w:val="22CF4936"/>
    <w:rsid w:val="236314C8"/>
    <w:rsid w:val="23662372"/>
    <w:rsid w:val="237570F7"/>
    <w:rsid w:val="238F513A"/>
    <w:rsid w:val="23DB095E"/>
    <w:rsid w:val="23EB6104"/>
    <w:rsid w:val="23F73992"/>
    <w:rsid w:val="240E7DD3"/>
    <w:rsid w:val="24294F27"/>
    <w:rsid w:val="243F1E9B"/>
    <w:rsid w:val="2447759A"/>
    <w:rsid w:val="24820743"/>
    <w:rsid w:val="24984FBB"/>
    <w:rsid w:val="24D03BE0"/>
    <w:rsid w:val="254C012C"/>
    <w:rsid w:val="255B47D6"/>
    <w:rsid w:val="256A0968"/>
    <w:rsid w:val="25887263"/>
    <w:rsid w:val="259D38FF"/>
    <w:rsid w:val="25A81DC2"/>
    <w:rsid w:val="25D37405"/>
    <w:rsid w:val="25EB7947"/>
    <w:rsid w:val="263C6D3C"/>
    <w:rsid w:val="26666794"/>
    <w:rsid w:val="266A025B"/>
    <w:rsid w:val="266D3988"/>
    <w:rsid w:val="26714C5A"/>
    <w:rsid w:val="26C66AA9"/>
    <w:rsid w:val="26DE6C68"/>
    <w:rsid w:val="275C21BD"/>
    <w:rsid w:val="27B8351B"/>
    <w:rsid w:val="27EB44FC"/>
    <w:rsid w:val="27F20291"/>
    <w:rsid w:val="282A2ACC"/>
    <w:rsid w:val="28301FA5"/>
    <w:rsid w:val="285A5D83"/>
    <w:rsid w:val="28C04691"/>
    <w:rsid w:val="29106897"/>
    <w:rsid w:val="2934413A"/>
    <w:rsid w:val="294625DF"/>
    <w:rsid w:val="294939D6"/>
    <w:rsid w:val="29514D03"/>
    <w:rsid w:val="29940FDE"/>
    <w:rsid w:val="29965B97"/>
    <w:rsid w:val="299F7E44"/>
    <w:rsid w:val="2A146407"/>
    <w:rsid w:val="2A1B1596"/>
    <w:rsid w:val="2A2F3BF6"/>
    <w:rsid w:val="2A970ED1"/>
    <w:rsid w:val="2AD33A05"/>
    <w:rsid w:val="2B3B5AA3"/>
    <w:rsid w:val="2B5D4D57"/>
    <w:rsid w:val="2BBC6350"/>
    <w:rsid w:val="2BC4727B"/>
    <w:rsid w:val="2BCA199F"/>
    <w:rsid w:val="2C29590B"/>
    <w:rsid w:val="2C486DF7"/>
    <w:rsid w:val="2C4B72BD"/>
    <w:rsid w:val="2C6E7873"/>
    <w:rsid w:val="2CA941C5"/>
    <w:rsid w:val="2CC37932"/>
    <w:rsid w:val="2CF253B9"/>
    <w:rsid w:val="2D0A756D"/>
    <w:rsid w:val="2D271075"/>
    <w:rsid w:val="2D412C6D"/>
    <w:rsid w:val="2D8E2FD7"/>
    <w:rsid w:val="2DBF4CF6"/>
    <w:rsid w:val="2DF05E2B"/>
    <w:rsid w:val="2DFC316D"/>
    <w:rsid w:val="2E2E2DF6"/>
    <w:rsid w:val="2E6B781A"/>
    <w:rsid w:val="2EEA2580"/>
    <w:rsid w:val="2EF130BB"/>
    <w:rsid w:val="2EF72A30"/>
    <w:rsid w:val="2F436052"/>
    <w:rsid w:val="2F4F1799"/>
    <w:rsid w:val="2F602994"/>
    <w:rsid w:val="2F743761"/>
    <w:rsid w:val="2F8E7DAC"/>
    <w:rsid w:val="2F9C5C01"/>
    <w:rsid w:val="2FB33231"/>
    <w:rsid w:val="2FBA0529"/>
    <w:rsid w:val="2FDE4040"/>
    <w:rsid w:val="2FF703F8"/>
    <w:rsid w:val="307C04CA"/>
    <w:rsid w:val="308936B0"/>
    <w:rsid w:val="30C744F4"/>
    <w:rsid w:val="30FD45DB"/>
    <w:rsid w:val="31563717"/>
    <w:rsid w:val="322F3B30"/>
    <w:rsid w:val="324F36F0"/>
    <w:rsid w:val="32CD5168"/>
    <w:rsid w:val="32EB1281"/>
    <w:rsid w:val="32F20C2E"/>
    <w:rsid w:val="33143D66"/>
    <w:rsid w:val="33243C94"/>
    <w:rsid w:val="33B3215C"/>
    <w:rsid w:val="33BF390E"/>
    <w:rsid w:val="3405655D"/>
    <w:rsid w:val="34603256"/>
    <w:rsid w:val="34941D6B"/>
    <w:rsid w:val="349A3936"/>
    <w:rsid w:val="34C95430"/>
    <w:rsid w:val="34DC33D5"/>
    <w:rsid w:val="34EB2328"/>
    <w:rsid w:val="35301BD0"/>
    <w:rsid w:val="355F308C"/>
    <w:rsid w:val="3575368E"/>
    <w:rsid w:val="35924C09"/>
    <w:rsid w:val="35AB45C5"/>
    <w:rsid w:val="36215656"/>
    <w:rsid w:val="362B0573"/>
    <w:rsid w:val="3646082B"/>
    <w:rsid w:val="364B26D7"/>
    <w:rsid w:val="36A7037B"/>
    <w:rsid w:val="36D94DD2"/>
    <w:rsid w:val="37932F38"/>
    <w:rsid w:val="37AC33E9"/>
    <w:rsid w:val="37AD67A7"/>
    <w:rsid w:val="37C45461"/>
    <w:rsid w:val="37F9658D"/>
    <w:rsid w:val="3807315B"/>
    <w:rsid w:val="38583D7B"/>
    <w:rsid w:val="38B21F87"/>
    <w:rsid w:val="38F8730B"/>
    <w:rsid w:val="38FA3F05"/>
    <w:rsid w:val="39000D80"/>
    <w:rsid w:val="39062C11"/>
    <w:rsid w:val="392C6C7A"/>
    <w:rsid w:val="39327085"/>
    <w:rsid w:val="39407FB4"/>
    <w:rsid w:val="394743C4"/>
    <w:rsid w:val="39EF59FC"/>
    <w:rsid w:val="39FC6532"/>
    <w:rsid w:val="3A2644E2"/>
    <w:rsid w:val="3A2D4E9A"/>
    <w:rsid w:val="3A50651A"/>
    <w:rsid w:val="3AB97B70"/>
    <w:rsid w:val="3ADC1F64"/>
    <w:rsid w:val="3AF91EAF"/>
    <w:rsid w:val="3B2348BF"/>
    <w:rsid w:val="3B3151AC"/>
    <w:rsid w:val="3B3A6EE1"/>
    <w:rsid w:val="3B55728C"/>
    <w:rsid w:val="3B744436"/>
    <w:rsid w:val="3BA27104"/>
    <w:rsid w:val="3BE70D9E"/>
    <w:rsid w:val="3C142079"/>
    <w:rsid w:val="3C154565"/>
    <w:rsid w:val="3C1A0DA3"/>
    <w:rsid w:val="3C307CF1"/>
    <w:rsid w:val="3C3B6812"/>
    <w:rsid w:val="3C7A7C41"/>
    <w:rsid w:val="3CAB042A"/>
    <w:rsid w:val="3CC55195"/>
    <w:rsid w:val="3CCB0805"/>
    <w:rsid w:val="3D1A0FB8"/>
    <w:rsid w:val="3D3E7504"/>
    <w:rsid w:val="3D7440A7"/>
    <w:rsid w:val="3DA4792A"/>
    <w:rsid w:val="3DBC373F"/>
    <w:rsid w:val="3DCC7DC4"/>
    <w:rsid w:val="3DD64377"/>
    <w:rsid w:val="3DE03EE0"/>
    <w:rsid w:val="3E0519D3"/>
    <w:rsid w:val="3E1214E0"/>
    <w:rsid w:val="3E4648C9"/>
    <w:rsid w:val="3E503881"/>
    <w:rsid w:val="3E50599C"/>
    <w:rsid w:val="3E873787"/>
    <w:rsid w:val="3EF961C6"/>
    <w:rsid w:val="3F006BFB"/>
    <w:rsid w:val="3F0657EB"/>
    <w:rsid w:val="3F2514FF"/>
    <w:rsid w:val="3F497D5A"/>
    <w:rsid w:val="3FDD301F"/>
    <w:rsid w:val="3FF042DA"/>
    <w:rsid w:val="3FFA6286"/>
    <w:rsid w:val="40016180"/>
    <w:rsid w:val="4083494E"/>
    <w:rsid w:val="40A35556"/>
    <w:rsid w:val="40A66746"/>
    <w:rsid w:val="40B70D1A"/>
    <w:rsid w:val="41005223"/>
    <w:rsid w:val="417369EA"/>
    <w:rsid w:val="41C816AA"/>
    <w:rsid w:val="42017395"/>
    <w:rsid w:val="420D1572"/>
    <w:rsid w:val="421E4C76"/>
    <w:rsid w:val="424A02E9"/>
    <w:rsid w:val="425A48A0"/>
    <w:rsid w:val="42625B50"/>
    <w:rsid w:val="426601D3"/>
    <w:rsid w:val="42A77784"/>
    <w:rsid w:val="43183A71"/>
    <w:rsid w:val="43200138"/>
    <w:rsid w:val="434444F4"/>
    <w:rsid w:val="438278F8"/>
    <w:rsid w:val="43B6730A"/>
    <w:rsid w:val="43DE5E61"/>
    <w:rsid w:val="44342F91"/>
    <w:rsid w:val="446D0622"/>
    <w:rsid w:val="44844AE8"/>
    <w:rsid w:val="44C450CA"/>
    <w:rsid w:val="45384D7A"/>
    <w:rsid w:val="456F0ED8"/>
    <w:rsid w:val="45B43703"/>
    <w:rsid w:val="45D25CB7"/>
    <w:rsid w:val="45E63110"/>
    <w:rsid w:val="45E710E3"/>
    <w:rsid w:val="45FB371A"/>
    <w:rsid w:val="4622616E"/>
    <w:rsid w:val="46291430"/>
    <w:rsid w:val="46302274"/>
    <w:rsid w:val="46497100"/>
    <w:rsid w:val="468F2E2B"/>
    <w:rsid w:val="468F3805"/>
    <w:rsid w:val="46BA4901"/>
    <w:rsid w:val="46BE2A89"/>
    <w:rsid w:val="471F0444"/>
    <w:rsid w:val="47341D27"/>
    <w:rsid w:val="473A0DB2"/>
    <w:rsid w:val="473C745A"/>
    <w:rsid w:val="47805F56"/>
    <w:rsid w:val="47A011A2"/>
    <w:rsid w:val="47A1371A"/>
    <w:rsid w:val="47A6511D"/>
    <w:rsid w:val="47C8206A"/>
    <w:rsid w:val="47F15B96"/>
    <w:rsid w:val="480201CB"/>
    <w:rsid w:val="48232C57"/>
    <w:rsid w:val="48261C0F"/>
    <w:rsid w:val="48E0312C"/>
    <w:rsid w:val="490936B0"/>
    <w:rsid w:val="490C25FD"/>
    <w:rsid w:val="49323B93"/>
    <w:rsid w:val="496C378E"/>
    <w:rsid w:val="497E1A73"/>
    <w:rsid w:val="49E24907"/>
    <w:rsid w:val="49E27B53"/>
    <w:rsid w:val="4A207D7C"/>
    <w:rsid w:val="4A5962B6"/>
    <w:rsid w:val="4A631B80"/>
    <w:rsid w:val="4AE47FBE"/>
    <w:rsid w:val="4B1C4979"/>
    <w:rsid w:val="4B3C29A4"/>
    <w:rsid w:val="4B3E5DEB"/>
    <w:rsid w:val="4B510E04"/>
    <w:rsid w:val="4B76661B"/>
    <w:rsid w:val="4B9D1E9F"/>
    <w:rsid w:val="4C124D98"/>
    <w:rsid w:val="4C494DDE"/>
    <w:rsid w:val="4C9D4B39"/>
    <w:rsid w:val="4CEA1AAB"/>
    <w:rsid w:val="4D1250D6"/>
    <w:rsid w:val="4D206528"/>
    <w:rsid w:val="4D5661BD"/>
    <w:rsid w:val="4D723DDB"/>
    <w:rsid w:val="4D787D65"/>
    <w:rsid w:val="4DC11153"/>
    <w:rsid w:val="4DE86401"/>
    <w:rsid w:val="4DFA1C57"/>
    <w:rsid w:val="4E020CC9"/>
    <w:rsid w:val="4E2270A2"/>
    <w:rsid w:val="4E2A305D"/>
    <w:rsid w:val="4E8D6D86"/>
    <w:rsid w:val="4EDA367C"/>
    <w:rsid w:val="4F277937"/>
    <w:rsid w:val="4FAB71D8"/>
    <w:rsid w:val="500107EC"/>
    <w:rsid w:val="50031183"/>
    <w:rsid w:val="50317322"/>
    <w:rsid w:val="50D26697"/>
    <w:rsid w:val="50D84239"/>
    <w:rsid w:val="51016BB1"/>
    <w:rsid w:val="510B115E"/>
    <w:rsid w:val="516A1E95"/>
    <w:rsid w:val="51EF0C2E"/>
    <w:rsid w:val="5249151C"/>
    <w:rsid w:val="52775E44"/>
    <w:rsid w:val="52AB39B4"/>
    <w:rsid w:val="52B13A9C"/>
    <w:rsid w:val="53052153"/>
    <w:rsid w:val="534035BC"/>
    <w:rsid w:val="535B2A29"/>
    <w:rsid w:val="53612330"/>
    <w:rsid w:val="53622701"/>
    <w:rsid w:val="53901348"/>
    <w:rsid w:val="539364DC"/>
    <w:rsid w:val="53A97F40"/>
    <w:rsid w:val="53CF3651"/>
    <w:rsid w:val="542A7EDC"/>
    <w:rsid w:val="54A82F09"/>
    <w:rsid w:val="54BE7CFF"/>
    <w:rsid w:val="55383D3E"/>
    <w:rsid w:val="55733F1C"/>
    <w:rsid w:val="55784CCA"/>
    <w:rsid w:val="55D84B45"/>
    <w:rsid w:val="565D7E5D"/>
    <w:rsid w:val="56780165"/>
    <w:rsid w:val="567D2878"/>
    <w:rsid w:val="56AE454E"/>
    <w:rsid w:val="570916A3"/>
    <w:rsid w:val="57111A24"/>
    <w:rsid w:val="57177F69"/>
    <w:rsid w:val="573A611D"/>
    <w:rsid w:val="57695FD0"/>
    <w:rsid w:val="578E2F97"/>
    <w:rsid w:val="57AE23AC"/>
    <w:rsid w:val="57E12ACA"/>
    <w:rsid w:val="58117BC2"/>
    <w:rsid w:val="582E57CE"/>
    <w:rsid w:val="58C00690"/>
    <w:rsid w:val="58E5175F"/>
    <w:rsid w:val="58FD1463"/>
    <w:rsid w:val="58FF7BDD"/>
    <w:rsid w:val="59034BFA"/>
    <w:rsid w:val="594E55BF"/>
    <w:rsid w:val="59563491"/>
    <w:rsid w:val="597113A0"/>
    <w:rsid w:val="598F257A"/>
    <w:rsid w:val="59CC6F5A"/>
    <w:rsid w:val="59D24513"/>
    <w:rsid w:val="59ED38E6"/>
    <w:rsid w:val="5A1316A1"/>
    <w:rsid w:val="5A3D6AE5"/>
    <w:rsid w:val="5A5B0270"/>
    <w:rsid w:val="5A626560"/>
    <w:rsid w:val="5A633E88"/>
    <w:rsid w:val="5A692319"/>
    <w:rsid w:val="5A6C07F8"/>
    <w:rsid w:val="5AF226F8"/>
    <w:rsid w:val="5B005A6B"/>
    <w:rsid w:val="5B0246AA"/>
    <w:rsid w:val="5B421FEA"/>
    <w:rsid w:val="5B526011"/>
    <w:rsid w:val="5B89669F"/>
    <w:rsid w:val="5BA33D83"/>
    <w:rsid w:val="5BA731DE"/>
    <w:rsid w:val="5BA965DB"/>
    <w:rsid w:val="5BBE6438"/>
    <w:rsid w:val="5BE81D07"/>
    <w:rsid w:val="5C065A25"/>
    <w:rsid w:val="5C1A49D5"/>
    <w:rsid w:val="5C651F0D"/>
    <w:rsid w:val="5C6F0246"/>
    <w:rsid w:val="5C7A0A4B"/>
    <w:rsid w:val="5C944D9D"/>
    <w:rsid w:val="5C964491"/>
    <w:rsid w:val="5CBD3CA6"/>
    <w:rsid w:val="5CC10D19"/>
    <w:rsid w:val="5CC16890"/>
    <w:rsid w:val="5D0811CC"/>
    <w:rsid w:val="5D5B4A6E"/>
    <w:rsid w:val="5DBB381B"/>
    <w:rsid w:val="5DF27735"/>
    <w:rsid w:val="5DF8316F"/>
    <w:rsid w:val="5E8140F6"/>
    <w:rsid w:val="5E9927D6"/>
    <w:rsid w:val="5EF52DD3"/>
    <w:rsid w:val="5EF87E10"/>
    <w:rsid w:val="5F190F6A"/>
    <w:rsid w:val="5F3B600B"/>
    <w:rsid w:val="5F4B6A1F"/>
    <w:rsid w:val="5F503B25"/>
    <w:rsid w:val="5FC654FF"/>
    <w:rsid w:val="60100A49"/>
    <w:rsid w:val="606D672B"/>
    <w:rsid w:val="60724DB7"/>
    <w:rsid w:val="60872622"/>
    <w:rsid w:val="60B55D20"/>
    <w:rsid w:val="60C831F2"/>
    <w:rsid w:val="60F06461"/>
    <w:rsid w:val="614C1C9C"/>
    <w:rsid w:val="61540DD4"/>
    <w:rsid w:val="6176510A"/>
    <w:rsid w:val="61795870"/>
    <w:rsid w:val="61B01CAF"/>
    <w:rsid w:val="61C83E10"/>
    <w:rsid w:val="61DA224E"/>
    <w:rsid w:val="62355B6E"/>
    <w:rsid w:val="63112F0F"/>
    <w:rsid w:val="631F77E8"/>
    <w:rsid w:val="63427536"/>
    <w:rsid w:val="6355006D"/>
    <w:rsid w:val="637F1082"/>
    <w:rsid w:val="63912024"/>
    <w:rsid w:val="63AE2396"/>
    <w:rsid w:val="63DE36B8"/>
    <w:rsid w:val="63EF7287"/>
    <w:rsid w:val="640125A1"/>
    <w:rsid w:val="643C5B5A"/>
    <w:rsid w:val="64763037"/>
    <w:rsid w:val="64987653"/>
    <w:rsid w:val="64DE2B4E"/>
    <w:rsid w:val="65086436"/>
    <w:rsid w:val="650875D0"/>
    <w:rsid w:val="652218BB"/>
    <w:rsid w:val="65232012"/>
    <w:rsid w:val="652C0ECA"/>
    <w:rsid w:val="65332CB4"/>
    <w:rsid w:val="65582F0E"/>
    <w:rsid w:val="65677067"/>
    <w:rsid w:val="65B065CA"/>
    <w:rsid w:val="65B542BA"/>
    <w:rsid w:val="65BE0454"/>
    <w:rsid w:val="65D21CB1"/>
    <w:rsid w:val="65F664D3"/>
    <w:rsid w:val="661E2547"/>
    <w:rsid w:val="6624209A"/>
    <w:rsid w:val="669130B9"/>
    <w:rsid w:val="669C4AC2"/>
    <w:rsid w:val="66A3297D"/>
    <w:rsid w:val="66BA2CFB"/>
    <w:rsid w:val="66BA364F"/>
    <w:rsid w:val="66EE10E5"/>
    <w:rsid w:val="6701564D"/>
    <w:rsid w:val="671C7EE4"/>
    <w:rsid w:val="672459E1"/>
    <w:rsid w:val="672B25C5"/>
    <w:rsid w:val="676C3382"/>
    <w:rsid w:val="67965A51"/>
    <w:rsid w:val="67A038BE"/>
    <w:rsid w:val="67A76B99"/>
    <w:rsid w:val="68011663"/>
    <w:rsid w:val="68073A01"/>
    <w:rsid w:val="681B21D5"/>
    <w:rsid w:val="683C3B9C"/>
    <w:rsid w:val="68475378"/>
    <w:rsid w:val="686B508C"/>
    <w:rsid w:val="6876396F"/>
    <w:rsid w:val="688D4042"/>
    <w:rsid w:val="689B5909"/>
    <w:rsid w:val="68C96B3D"/>
    <w:rsid w:val="68DC3FB0"/>
    <w:rsid w:val="693718B5"/>
    <w:rsid w:val="6940236E"/>
    <w:rsid w:val="698E3794"/>
    <w:rsid w:val="69B21FBA"/>
    <w:rsid w:val="69B23FAB"/>
    <w:rsid w:val="69C80747"/>
    <w:rsid w:val="69F4162C"/>
    <w:rsid w:val="69FD3F3D"/>
    <w:rsid w:val="6A117B31"/>
    <w:rsid w:val="6A2B4BCE"/>
    <w:rsid w:val="6A7426AB"/>
    <w:rsid w:val="6AB557E6"/>
    <w:rsid w:val="6AD745F1"/>
    <w:rsid w:val="6B81394C"/>
    <w:rsid w:val="6B880860"/>
    <w:rsid w:val="6BAD402F"/>
    <w:rsid w:val="6BD44BC4"/>
    <w:rsid w:val="6BE024AF"/>
    <w:rsid w:val="6BF1725C"/>
    <w:rsid w:val="6C096F34"/>
    <w:rsid w:val="6C2B62C3"/>
    <w:rsid w:val="6CAE1349"/>
    <w:rsid w:val="6CDB79B9"/>
    <w:rsid w:val="6CE71C40"/>
    <w:rsid w:val="6CF167DE"/>
    <w:rsid w:val="6CFF1018"/>
    <w:rsid w:val="6D400C13"/>
    <w:rsid w:val="6D54540D"/>
    <w:rsid w:val="6D8B5A08"/>
    <w:rsid w:val="6D954C8A"/>
    <w:rsid w:val="6E01125E"/>
    <w:rsid w:val="6E3A6B39"/>
    <w:rsid w:val="6E427D41"/>
    <w:rsid w:val="6E8505E9"/>
    <w:rsid w:val="6F2C0A88"/>
    <w:rsid w:val="6F3B08B5"/>
    <w:rsid w:val="6F44620C"/>
    <w:rsid w:val="6FCC2FA7"/>
    <w:rsid w:val="6FF32A76"/>
    <w:rsid w:val="70677A08"/>
    <w:rsid w:val="707A75F3"/>
    <w:rsid w:val="70B410E2"/>
    <w:rsid w:val="70BC25D8"/>
    <w:rsid w:val="70BD2752"/>
    <w:rsid w:val="70E67901"/>
    <w:rsid w:val="716F6F26"/>
    <w:rsid w:val="71EA2438"/>
    <w:rsid w:val="72161C94"/>
    <w:rsid w:val="7221682F"/>
    <w:rsid w:val="725E7180"/>
    <w:rsid w:val="72607DBF"/>
    <w:rsid w:val="72645F4D"/>
    <w:rsid w:val="727259D5"/>
    <w:rsid w:val="72B04C60"/>
    <w:rsid w:val="72B35ACC"/>
    <w:rsid w:val="73285227"/>
    <w:rsid w:val="73386A53"/>
    <w:rsid w:val="73C03827"/>
    <w:rsid w:val="73F411E9"/>
    <w:rsid w:val="74132357"/>
    <w:rsid w:val="74AB60E3"/>
    <w:rsid w:val="74CD30F9"/>
    <w:rsid w:val="74D24161"/>
    <w:rsid w:val="7515293B"/>
    <w:rsid w:val="752F4156"/>
    <w:rsid w:val="754915E0"/>
    <w:rsid w:val="7551244B"/>
    <w:rsid w:val="7578175E"/>
    <w:rsid w:val="75B43DC4"/>
    <w:rsid w:val="7611145E"/>
    <w:rsid w:val="76143098"/>
    <w:rsid w:val="76317996"/>
    <w:rsid w:val="76385CEC"/>
    <w:rsid w:val="76443E81"/>
    <w:rsid w:val="76761081"/>
    <w:rsid w:val="7705568B"/>
    <w:rsid w:val="771B1F88"/>
    <w:rsid w:val="77486ADE"/>
    <w:rsid w:val="774A54C2"/>
    <w:rsid w:val="775A13F8"/>
    <w:rsid w:val="776F31FD"/>
    <w:rsid w:val="7860248D"/>
    <w:rsid w:val="7894288D"/>
    <w:rsid w:val="793B36AA"/>
    <w:rsid w:val="7953333B"/>
    <w:rsid w:val="796F234D"/>
    <w:rsid w:val="79822CAB"/>
    <w:rsid w:val="79BF5D77"/>
    <w:rsid w:val="79E474E7"/>
    <w:rsid w:val="79EB797A"/>
    <w:rsid w:val="79F0152B"/>
    <w:rsid w:val="7A1648CA"/>
    <w:rsid w:val="7A242E2E"/>
    <w:rsid w:val="7A271852"/>
    <w:rsid w:val="7A280826"/>
    <w:rsid w:val="7A9151F2"/>
    <w:rsid w:val="7AAC32C4"/>
    <w:rsid w:val="7AF96B2F"/>
    <w:rsid w:val="7AFA051A"/>
    <w:rsid w:val="7B263D86"/>
    <w:rsid w:val="7B401FCB"/>
    <w:rsid w:val="7B974A33"/>
    <w:rsid w:val="7BC01F14"/>
    <w:rsid w:val="7BC35325"/>
    <w:rsid w:val="7BFF41E1"/>
    <w:rsid w:val="7C331AC8"/>
    <w:rsid w:val="7C753601"/>
    <w:rsid w:val="7CCE7D6A"/>
    <w:rsid w:val="7CDF720B"/>
    <w:rsid w:val="7D1B6931"/>
    <w:rsid w:val="7D4847D7"/>
    <w:rsid w:val="7D753554"/>
    <w:rsid w:val="7D86151D"/>
    <w:rsid w:val="7D9D7EDC"/>
    <w:rsid w:val="7DDE257F"/>
    <w:rsid w:val="7DE41180"/>
    <w:rsid w:val="7DF23082"/>
    <w:rsid w:val="7E1D29CB"/>
    <w:rsid w:val="7E4A46B3"/>
    <w:rsid w:val="7E8B4D42"/>
    <w:rsid w:val="7EB40370"/>
    <w:rsid w:val="7EDC4847"/>
    <w:rsid w:val="7FB75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2"/>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6"/>
    <w:basedOn w:val="1"/>
    <w:next w:val="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11">
    <w:name w:val="Normal Indent"/>
    <w:basedOn w:val="1"/>
    <w:qFormat/>
    <w:uiPriority w:val="0"/>
    <w:pPr>
      <w:ind w:firstLine="420" w:firstLineChars="200"/>
    </w:pPr>
  </w:style>
  <w:style w:type="paragraph" w:styleId="12">
    <w:name w:val="Document Map"/>
    <w:basedOn w:val="1"/>
    <w:link w:val="54"/>
    <w:qFormat/>
    <w:uiPriority w:val="0"/>
    <w:rPr>
      <w:rFonts w:ascii="宋体"/>
      <w:sz w:val="18"/>
      <w:szCs w:val="18"/>
    </w:rPr>
  </w:style>
  <w:style w:type="paragraph" w:styleId="13">
    <w:name w:val="annotation text"/>
    <w:basedOn w:val="1"/>
    <w:link w:val="51"/>
    <w:semiHidden/>
    <w:qFormat/>
    <w:uiPriority w:val="0"/>
    <w:pPr>
      <w:jc w:val="left"/>
    </w:pPr>
  </w:style>
  <w:style w:type="paragraph" w:styleId="14">
    <w:name w:val="Body Text 3"/>
    <w:basedOn w:val="1"/>
    <w:qFormat/>
    <w:uiPriority w:val="0"/>
    <w:rPr>
      <w:rFonts w:ascii="宋体"/>
      <w:sz w:val="24"/>
      <w:szCs w:val="20"/>
    </w:rPr>
  </w:style>
  <w:style w:type="paragraph" w:styleId="15">
    <w:name w:val="Body Text Indent"/>
    <w:basedOn w:val="1"/>
    <w:link w:val="50"/>
    <w:qFormat/>
    <w:uiPriority w:val="0"/>
    <w:pPr>
      <w:spacing w:after="120"/>
      <w:ind w:left="420" w:leftChars="200"/>
    </w:pPr>
  </w:style>
  <w:style w:type="paragraph" w:styleId="16">
    <w:name w:val="toc 3"/>
    <w:basedOn w:val="1"/>
    <w:next w:val="1"/>
    <w:semiHidden/>
    <w:qFormat/>
    <w:uiPriority w:val="0"/>
    <w:pPr>
      <w:ind w:left="840" w:leftChars="400"/>
    </w:pPr>
  </w:style>
  <w:style w:type="paragraph" w:styleId="17">
    <w:name w:val="Plain Text"/>
    <w:basedOn w:val="1"/>
    <w:qFormat/>
    <w:uiPriority w:val="0"/>
    <w:rPr>
      <w:rFonts w:ascii="宋体" w:hAnsi="Courier New"/>
      <w:szCs w:val="20"/>
    </w:rPr>
  </w:style>
  <w:style w:type="paragraph" w:styleId="18">
    <w:name w:val="Date"/>
    <w:basedOn w:val="1"/>
    <w:next w:val="1"/>
    <w:qFormat/>
    <w:uiPriority w:val="0"/>
    <w:rPr>
      <w:sz w:val="24"/>
      <w:szCs w:val="20"/>
    </w:rPr>
  </w:style>
  <w:style w:type="paragraph" w:styleId="19">
    <w:name w:val="Balloon Text"/>
    <w:basedOn w:val="1"/>
    <w:semiHidden/>
    <w:qFormat/>
    <w:uiPriority w:val="0"/>
    <w:rPr>
      <w:sz w:val="18"/>
      <w:szCs w:val="18"/>
    </w:r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qFormat/>
    <w:uiPriority w:val="0"/>
    <w:pPr>
      <w:spacing w:line="440" w:lineRule="exact"/>
    </w:pPr>
  </w:style>
  <w:style w:type="paragraph" w:styleId="23">
    <w:name w:val="Subtitle"/>
    <w:basedOn w:val="1"/>
    <w:next w:val="3"/>
    <w:qFormat/>
    <w:uiPriority w:val="0"/>
    <w:pPr>
      <w:spacing w:before="240" w:after="60" w:line="312" w:lineRule="auto"/>
      <w:jc w:val="center"/>
      <w:outlineLvl w:val="1"/>
    </w:pPr>
    <w:rPr>
      <w:rFonts w:ascii="Cambria" w:hAnsi="Cambria"/>
      <w:b/>
      <w:kern w:val="28"/>
      <w:sz w:val="32"/>
      <w:szCs w:val="20"/>
    </w:rPr>
  </w:style>
  <w:style w:type="paragraph" w:styleId="24">
    <w:name w:val="Body Text Indent 3"/>
    <w:basedOn w:val="1"/>
    <w:qFormat/>
    <w:uiPriority w:val="0"/>
    <w:pPr>
      <w:spacing w:after="120"/>
      <w:ind w:left="420" w:leftChars="200"/>
    </w:pPr>
    <w:rPr>
      <w:sz w:val="16"/>
      <w:szCs w:val="16"/>
    </w:rPr>
  </w:style>
  <w:style w:type="paragraph" w:styleId="25">
    <w:name w:val="toc 2"/>
    <w:basedOn w:val="1"/>
    <w:next w:val="1"/>
    <w:semiHidden/>
    <w:qFormat/>
    <w:uiPriority w:val="0"/>
    <w:pPr>
      <w:ind w:left="420" w:leftChars="200"/>
    </w:pPr>
  </w:style>
  <w:style w:type="paragraph" w:styleId="2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qFormat/>
    <w:uiPriority w:val="99"/>
    <w:pPr>
      <w:jc w:val="left"/>
    </w:pPr>
    <w:rPr>
      <w:kern w:val="0"/>
      <w:sz w:val="24"/>
    </w:rPr>
  </w:style>
  <w:style w:type="paragraph" w:styleId="28">
    <w:name w:val="index 1"/>
    <w:basedOn w:val="1"/>
    <w:next w:val="1"/>
    <w:semiHidden/>
    <w:qFormat/>
    <w:uiPriority w:val="0"/>
    <w:pPr>
      <w:spacing w:line="220" w:lineRule="exact"/>
      <w:jc w:val="center"/>
    </w:pPr>
    <w:rPr>
      <w:rFonts w:ascii="仿宋_GB2312" w:eastAsia="仿宋_GB2312"/>
      <w:szCs w:val="21"/>
    </w:rPr>
  </w:style>
  <w:style w:type="paragraph" w:styleId="29">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0">
    <w:name w:val="annotation subject"/>
    <w:basedOn w:val="13"/>
    <w:next w:val="13"/>
    <w:link w:val="56"/>
    <w:qFormat/>
    <w:uiPriority w:val="0"/>
    <w:rPr>
      <w:b/>
      <w:bCs/>
    </w:rPr>
  </w:style>
  <w:style w:type="paragraph" w:styleId="31">
    <w:name w:val="Body Text First Indent 2"/>
    <w:basedOn w:val="15"/>
    <w:link w:val="53"/>
    <w:unhideWhenUsed/>
    <w:qFormat/>
    <w:uiPriority w:val="99"/>
    <w:pPr>
      <w:ind w:firstLine="420" w:firstLineChars="200"/>
    </w:pPr>
    <w:rPr>
      <w:rFonts w:ascii="Calibri" w:hAnsi="Calibri"/>
    </w:r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5">
    <w:name w:val="Strong"/>
    <w:basedOn w:val="34"/>
    <w:qFormat/>
    <w:uiPriority w:val="0"/>
  </w:style>
  <w:style w:type="character" w:styleId="36">
    <w:name w:val="page number"/>
    <w:basedOn w:val="34"/>
    <w:qFormat/>
    <w:uiPriority w:val="0"/>
  </w:style>
  <w:style w:type="character" w:styleId="37">
    <w:name w:val="FollowedHyperlink"/>
    <w:qFormat/>
    <w:uiPriority w:val="0"/>
    <w:rPr>
      <w:color w:val="800080"/>
      <w:u w:val="singl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qFormat/>
    <w:uiPriority w:val="0"/>
    <w:rPr>
      <w:color w:val="0000FF"/>
      <w:u w:val="single"/>
    </w:rPr>
  </w:style>
  <w:style w:type="character" w:styleId="44">
    <w:name w:val="HTML Code"/>
    <w:basedOn w:val="34"/>
    <w:qFormat/>
    <w:uiPriority w:val="0"/>
    <w:rPr>
      <w:rFonts w:hint="default" w:ascii="monospace" w:hAnsi="monospace" w:eastAsia="monospace" w:cs="monospace"/>
      <w:sz w:val="20"/>
    </w:rPr>
  </w:style>
  <w:style w:type="character" w:styleId="45">
    <w:name w:val="annotation reference"/>
    <w:qFormat/>
    <w:uiPriority w:val="0"/>
    <w:rPr>
      <w:sz w:val="21"/>
      <w:szCs w:val="21"/>
    </w:rPr>
  </w:style>
  <w:style w:type="character" w:styleId="46">
    <w:name w:val="HTML Cite"/>
    <w:basedOn w:val="34"/>
    <w:qFormat/>
    <w:uiPriority w:val="0"/>
  </w:style>
  <w:style w:type="character" w:styleId="47">
    <w:name w:val="HTML Keyboard"/>
    <w:basedOn w:val="34"/>
    <w:qFormat/>
    <w:uiPriority w:val="0"/>
    <w:rPr>
      <w:rFonts w:hint="default" w:ascii="monospace" w:hAnsi="monospace" w:eastAsia="monospace" w:cs="monospace"/>
      <w:sz w:val="20"/>
    </w:rPr>
  </w:style>
  <w:style w:type="character" w:styleId="48">
    <w:name w:val="HTML Sample"/>
    <w:basedOn w:val="34"/>
    <w:qFormat/>
    <w:uiPriority w:val="0"/>
    <w:rPr>
      <w:rFonts w:hint="default" w:ascii="monospace" w:hAnsi="monospace" w:eastAsia="monospace" w:cs="monospace"/>
    </w:rPr>
  </w:style>
  <w:style w:type="paragraph" w:customStyle="1" w:styleId="49">
    <w:name w:val="Default"/>
    <w:next w:val="1"/>
    <w:qFormat/>
    <w:uiPriority w:val="0"/>
    <w:pPr>
      <w:widowControl w:val="0"/>
      <w:autoSpaceDE w:val="0"/>
      <w:autoSpaceDN w:val="0"/>
      <w:adjustRightInd w:val="0"/>
    </w:pPr>
    <w:rPr>
      <w:rFonts w:ascii="宋体" w:hAnsi="Times New Roman" w:eastAsia="宋体" w:cs="Times New Roman"/>
      <w:color w:val="000000"/>
      <w:sz w:val="24"/>
      <w:szCs w:val="22"/>
      <w:lang w:val="en-US" w:eastAsia="zh-CN" w:bidi="ar-SA"/>
    </w:rPr>
  </w:style>
  <w:style w:type="character" w:customStyle="1" w:styleId="50">
    <w:name w:val="正文文本缩进 Char"/>
    <w:link w:val="15"/>
    <w:qFormat/>
    <w:uiPriority w:val="0"/>
    <w:rPr>
      <w:kern w:val="2"/>
      <w:sz w:val="21"/>
      <w:szCs w:val="24"/>
    </w:rPr>
  </w:style>
  <w:style w:type="character" w:customStyle="1" w:styleId="51">
    <w:name w:val="批注文字 Char"/>
    <w:link w:val="13"/>
    <w:semiHidden/>
    <w:qFormat/>
    <w:uiPriority w:val="0"/>
    <w:rPr>
      <w:kern w:val="2"/>
      <w:sz w:val="21"/>
      <w:szCs w:val="24"/>
    </w:rPr>
  </w:style>
  <w:style w:type="character" w:customStyle="1" w:styleId="52">
    <w:name w:val="标题 2 Char"/>
    <w:link w:val="4"/>
    <w:qFormat/>
    <w:uiPriority w:val="0"/>
    <w:rPr>
      <w:rFonts w:ascii="Arial" w:hAnsi="Arial" w:eastAsia="黑体"/>
      <w:b/>
      <w:bCs/>
      <w:kern w:val="2"/>
      <w:sz w:val="32"/>
      <w:szCs w:val="32"/>
      <w:lang w:val="en-US" w:eastAsia="zh-CN" w:bidi="ar-SA"/>
    </w:rPr>
  </w:style>
  <w:style w:type="character" w:customStyle="1" w:styleId="53">
    <w:name w:val="正文首行缩进 2 Char"/>
    <w:link w:val="31"/>
    <w:qFormat/>
    <w:uiPriority w:val="99"/>
    <w:rPr>
      <w:rFonts w:ascii="Calibri" w:hAnsi="Calibri"/>
      <w:kern w:val="2"/>
      <w:sz w:val="21"/>
      <w:szCs w:val="24"/>
    </w:rPr>
  </w:style>
  <w:style w:type="character" w:customStyle="1" w:styleId="54">
    <w:name w:val="文档结构图 Char"/>
    <w:link w:val="12"/>
    <w:qFormat/>
    <w:uiPriority w:val="0"/>
    <w:rPr>
      <w:rFonts w:ascii="宋体"/>
      <w:kern w:val="2"/>
      <w:sz w:val="18"/>
      <w:szCs w:val="18"/>
    </w:rPr>
  </w:style>
  <w:style w:type="character" w:customStyle="1" w:styleId="55">
    <w:name w:val="font161"/>
    <w:qFormat/>
    <w:uiPriority w:val="0"/>
    <w:rPr>
      <w:b/>
      <w:bCs/>
      <w:sz w:val="32"/>
      <w:szCs w:val="32"/>
    </w:rPr>
  </w:style>
  <w:style w:type="character" w:customStyle="1" w:styleId="56">
    <w:name w:val="批注主题 Char"/>
    <w:basedOn w:val="51"/>
    <w:link w:val="30"/>
    <w:qFormat/>
    <w:uiPriority w:val="0"/>
    <w:rPr>
      <w:kern w:val="2"/>
      <w:sz w:val="21"/>
      <w:szCs w:val="24"/>
    </w:rPr>
  </w:style>
  <w:style w:type="paragraph" w:customStyle="1" w:styleId="57">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58">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59">
    <w:name w:val="表格文字"/>
    <w:basedOn w:val="1"/>
    <w:qFormat/>
    <w:uiPriority w:val="0"/>
    <w:pPr>
      <w:adjustRightInd w:val="0"/>
      <w:spacing w:line="420" w:lineRule="atLeast"/>
      <w:jc w:val="left"/>
      <w:textAlignment w:val="baseline"/>
    </w:pPr>
    <w:rPr>
      <w:kern w:val="0"/>
      <w:szCs w:val="20"/>
    </w:rPr>
  </w:style>
  <w:style w:type="paragraph" w:customStyle="1" w:styleId="60">
    <w:name w:val="1"/>
    <w:basedOn w:val="1"/>
    <w:next w:val="1"/>
    <w:qFormat/>
    <w:uiPriority w:val="0"/>
  </w:style>
  <w:style w:type="paragraph" w:customStyle="1" w:styleId="6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62">
    <w:name w:val="表格"/>
    <w:basedOn w:val="1"/>
    <w:qFormat/>
    <w:uiPriority w:val="0"/>
    <w:pPr>
      <w:jc w:val="center"/>
      <w:textAlignment w:val="center"/>
    </w:pPr>
    <w:rPr>
      <w:rFonts w:ascii="华文细黑" w:hAnsi="华文细黑"/>
      <w:kern w:val="0"/>
      <w:szCs w:val="20"/>
    </w:rPr>
  </w:style>
  <w:style w:type="paragraph" w:customStyle="1" w:styleId="6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styleId="64">
    <w:name w:val="List Paragraph"/>
    <w:basedOn w:val="1"/>
    <w:unhideWhenUsed/>
    <w:qFormat/>
    <w:uiPriority w:val="99"/>
    <w:pPr>
      <w:ind w:firstLine="420" w:firstLineChars="200"/>
    </w:pPr>
  </w:style>
  <w:style w:type="character" w:customStyle="1" w:styleId="65">
    <w:name w:val="hover15"/>
    <w:basedOn w:val="34"/>
    <w:qFormat/>
    <w:uiPriority w:val="0"/>
  </w:style>
  <w:style w:type="character" w:customStyle="1" w:styleId="66">
    <w:name w:val="hover16"/>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14679</Words>
  <Characters>15690</Characters>
  <Lines>137</Lines>
  <Paragraphs>38</Paragraphs>
  <TotalTime>38</TotalTime>
  <ScaleCrop>false</ScaleCrop>
  <LinksUpToDate>false</LinksUpToDate>
  <CharactersWithSpaces>16302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2019-03-29T05:29:00Z</dcterms:created>
  <dc:creator>ibm</dc:creator>
  <cp:lastModifiedBy>Administrator</cp:lastModifiedBy>
  <cp:lastPrinted>2020-11-17T00:23:00Z</cp:lastPrinted>
  <dcterms:modified xsi:type="dcterms:W3CDTF">2022-05-09T08:18:46Z</dcterms:modified>
  <dc:title>附件一：</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FDB359CAB6E5478AAE0332335FE30102</vt:lpwstr>
  </property>
</Properties>
</file>